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石家庄市鹿泉区</w:t>
      </w:r>
      <w:r>
        <w:rPr>
          <w:rFonts w:hint="eastAsia" w:ascii="宋体" w:hAnsi="宋体" w:eastAsia="方正小标宋简体" w:cs="方正小标宋简体"/>
          <w:sz w:val="44"/>
          <w:szCs w:val="44"/>
          <w:lang w:eastAsia="zh-CN"/>
        </w:rPr>
        <w:t>司法局</w:t>
      </w:r>
      <w:r>
        <w:rPr>
          <w:rFonts w:hint="eastAsia" w:ascii="宋体" w:hAnsi="宋体" w:eastAsia="方正小标宋简体" w:cs="方正小标宋简体"/>
          <w:sz w:val="44"/>
          <w:szCs w:val="44"/>
        </w:rPr>
        <w:t>职责任务清单</w:t>
      </w:r>
    </w:p>
    <w:p>
      <w:pPr>
        <w:rPr>
          <w:rFonts w:hint="default" w:ascii="宋体" w:hAnsi="宋体" w:eastAsia="仿宋_GB2312" w:cs="仿宋_GB2312"/>
          <w:szCs w:val="21"/>
          <w:lang w:val="en-US" w:eastAsia="zh-CN"/>
        </w:rPr>
      </w:pPr>
      <w:r>
        <w:rPr>
          <w:rFonts w:hint="eastAsia" w:ascii="宋体" w:hAnsi="宋体" w:eastAsia="仿宋_GB2312" w:cs="仿宋_GB2312"/>
          <w:szCs w:val="21"/>
        </w:rPr>
        <w:t xml:space="preserve">         </w:t>
      </w:r>
    </w:p>
    <w:tbl>
      <w:tblPr>
        <w:tblStyle w:val="3"/>
        <w:tblW w:w="147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5"/>
        <w:gridCol w:w="1216"/>
        <w:gridCol w:w="2808"/>
        <w:gridCol w:w="751"/>
        <w:gridCol w:w="6491"/>
        <w:gridCol w:w="22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3" w:hRule="atLeast"/>
          <w:tblHeader/>
        </w:trPr>
        <w:tc>
          <w:tcPr>
            <w:tcW w:w="1155"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序号</w:t>
            </w:r>
          </w:p>
        </w:tc>
        <w:tc>
          <w:tcPr>
            <w:tcW w:w="1216"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内设机构</w:t>
            </w:r>
          </w:p>
          <w:p>
            <w:pPr>
              <w:adjustRightInd w:val="0"/>
              <w:snapToGrid w:val="0"/>
              <w:jc w:val="center"/>
              <w:rPr>
                <w:rFonts w:hint="eastAsia" w:ascii="宋体" w:hAnsi="宋体" w:eastAsia="黑体" w:cs="黑体"/>
                <w:sz w:val="24"/>
              </w:rPr>
            </w:pPr>
            <w:r>
              <w:rPr>
                <w:rFonts w:hint="eastAsia" w:ascii="宋体" w:hAnsi="宋体" w:eastAsia="黑体" w:cs="黑体"/>
                <w:sz w:val="24"/>
              </w:rPr>
              <w:t>名称</w:t>
            </w:r>
          </w:p>
        </w:tc>
        <w:tc>
          <w:tcPr>
            <w:tcW w:w="2808"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对应部门“三定”规定</w:t>
            </w:r>
          </w:p>
          <w:p>
            <w:pPr>
              <w:adjustRightInd w:val="0"/>
              <w:snapToGrid w:val="0"/>
              <w:jc w:val="center"/>
              <w:rPr>
                <w:rFonts w:hint="eastAsia" w:ascii="宋体" w:hAnsi="宋体" w:eastAsia="黑体" w:cs="黑体"/>
                <w:sz w:val="24"/>
              </w:rPr>
            </w:pPr>
            <w:r>
              <w:rPr>
                <w:rFonts w:hint="eastAsia" w:ascii="宋体" w:hAnsi="宋体" w:eastAsia="黑体" w:cs="黑体"/>
                <w:sz w:val="24"/>
              </w:rPr>
              <w:t>主要职责及内设机构职责</w:t>
            </w:r>
          </w:p>
        </w:tc>
        <w:tc>
          <w:tcPr>
            <w:tcW w:w="751"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序号</w:t>
            </w:r>
          </w:p>
        </w:tc>
        <w:tc>
          <w:tcPr>
            <w:tcW w:w="6491"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内设机构细化分解工作任务</w:t>
            </w:r>
          </w:p>
        </w:tc>
        <w:tc>
          <w:tcPr>
            <w:tcW w:w="2279" w:type="dxa"/>
            <w:noWrap w:val="0"/>
            <w:vAlign w:val="center"/>
          </w:tcPr>
          <w:p>
            <w:pPr>
              <w:adjustRightInd w:val="0"/>
              <w:snapToGrid w:val="0"/>
              <w:jc w:val="center"/>
              <w:rPr>
                <w:rFonts w:hint="eastAsia" w:ascii="宋体" w:hAnsi="宋体" w:eastAsia="黑体" w:cs="黑体"/>
                <w:sz w:val="24"/>
              </w:rPr>
            </w:pPr>
            <w:r>
              <w:rPr>
                <w:rFonts w:hint="eastAsia" w:ascii="宋体" w:hAnsi="宋体" w:eastAsia="黑体" w:cs="黑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55"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1216" w:type="dxa"/>
            <w:vMerge w:val="restart"/>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lang w:eastAsia="zh-CN"/>
              </w:rPr>
              <w:t>办公室</w:t>
            </w:r>
          </w:p>
        </w:tc>
        <w:tc>
          <w:tcPr>
            <w:tcW w:w="2808" w:type="dxa"/>
            <w:vMerge w:val="restart"/>
            <w:noWrap w:val="0"/>
            <w:vAlign w:val="center"/>
          </w:tcPr>
          <w:p>
            <w:pPr>
              <w:adjustRightInd w:val="0"/>
              <w:snapToGrid w:val="0"/>
              <w:spacing w:line="240" w:lineRule="auto"/>
              <w:jc w:val="left"/>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 xml:space="preserve"> 负责机关和所属单位日常工作的协调和督查，负责机关文电、会务、机要、保密、档案、宣传、后勤保障和信息化工作；制定经费保障、财务管理、资产装备、技术业务用房建设等方面管理制度；负责财务、物资装备和基本建设管理工作；负责警车管理工作；负责机关和所属单位的财务和国有资产管理工作。</w:t>
            </w: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负责机关和所属单位日常工作的协调和督查，负责机关文电、会务、机要、保密、档案、宣传、后勤保障和信息化工作</w:t>
            </w:r>
          </w:p>
        </w:tc>
        <w:tc>
          <w:tcPr>
            <w:tcW w:w="2279" w:type="dxa"/>
            <w:noWrap w:val="0"/>
            <w:vAlign w:val="center"/>
          </w:tcPr>
          <w:p>
            <w:pPr>
              <w:adjustRightInd w:val="0"/>
              <w:snapToGrid w:val="0"/>
              <w:jc w:val="left"/>
              <w:rPr>
                <w:rFonts w:hint="eastAsia" w:ascii="仿宋" w:hAnsi="仿宋" w:eastAsia="仿宋" w:cs="仿宋"/>
                <w:sz w:val="18"/>
                <w:szCs w:val="1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spacing w:line="360" w:lineRule="auto"/>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制定经费保障、财务管理、资产装备、技术业务用房建设等方面管理制度</w:t>
            </w:r>
          </w:p>
        </w:tc>
        <w:tc>
          <w:tcPr>
            <w:tcW w:w="2279" w:type="dxa"/>
            <w:noWrap w:val="0"/>
            <w:vAlign w:val="center"/>
          </w:tcPr>
          <w:p>
            <w:pPr>
              <w:adjustRightInd w:val="0"/>
              <w:snapToGrid w:val="0"/>
              <w:rPr>
                <w:rFonts w:hint="eastAsia" w:ascii="仿宋" w:hAnsi="仿宋" w:eastAsia="仿宋" w:cs="仿宋"/>
                <w:sz w:val="18"/>
                <w:szCs w:val="1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spacing w:line="360" w:lineRule="auto"/>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负责财务、物资装备和基本建设管理工作</w:t>
            </w:r>
          </w:p>
        </w:tc>
        <w:tc>
          <w:tcPr>
            <w:tcW w:w="2279" w:type="dxa"/>
            <w:noWrap w:val="0"/>
            <w:vAlign w:val="center"/>
          </w:tcPr>
          <w:p>
            <w:pPr>
              <w:adjustRightInd w:val="0"/>
              <w:snapToGrid w:val="0"/>
              <w:jc w:val="left"/>
              <w:rPr>
                <w:rFonts w:hint="eastAsia" w:ascii="仿宋" w:hAnsi="仿宋" w:eastAsia="仿宋" w:cs="仿宋"/>
                <w:sz w:val="18"/>
                <w:szCs w:val="1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spacing w:line="360" w:lineRule="auto"/>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负责警车管理工作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spacing w:line="360" w:lineRule="auto"/>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负责机关和所属单位的财务和国有资产管理工作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2</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依法治理和普法</w:t>
            </w:r>
            <w:r>
              <w:rPr>
                <w:rFonts w:hint="eastAsia" w:ascii="仿宋" w:hAnsi="仿宋" w:eastAsia="仿宋" w:cs="仿宋"/>
                <w:sz w:val="18"/>
                <w:szCs w:val="18"/>
                <w:lang w:eastAsia="zh-CN"/>
              </w:rPr>
              <w:t>股</w:t>
            </w:r>
          </w:p>
        </w:tc>
        <w:tc>
          <w:tcPr>
            <w:tcW w:w="2808"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200"/>
              <w:textAlignment w:val="auto"/>
              <w:rPr>
                <w:rFonts w:hint="eastAsia" w:ascii="仿宋" w:hAnsi="仿宋" w:eastAsia="仿宋" w:cs="仿宋"/>
                <w:sz w:val="18"/>
                <w:szCs w:val="18"/>
              </w:rPr>
            </w:pPr>
            <w:r>
              <w:rPr>
                <w:rFonts w:hint="eastAsia" w:ascii="仿宋" w:hAnsi="仿宋" w:eastAsia="仿宋" w:cs="仿宋"/>
                <w:sz w:val="18"/>
                <w:szCs w:val="18"/>
              </w:rPr>
              <w:t>承担全面依法治区重大问题的政策研究。组织协调有关方面提出全面依法治区中长期规划建议，负责有关重大决策部署督察工作。</w:t>
            </w:r>
          </w:p>
          <w:p>
            <w:pPr>
              <w:adjustRightInd w:val="0"/>
              <w:snapToGrid w:val="0"/>
              <w:spacing w:line="360" w:lineRule="auto"/>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承办全面依法治区理论和实践调查研究工作，提出政策建议</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承办全面依法治区工作规划建议的协调工作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组织起草全面依法治区有关重要文件</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研究提出建设法治政府、推进依法行政的意见和措施</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5</w:t>
            </w:r>
          </w:p>
        </w:tc>
        <w:tc>
          <w:tcPr>
            <w:tcW w:w="649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仿宋" w:hAnsi="仿宋" w:eastAsia="仿宋" w:cs="仿宋"/>
                <w:sz w:val="18"/>
                <w:szCs w:val="18"/>
              </w:rPr>
            </w:pPr>
            <w:r>
              <w:rPr>
                <w:rFonts w:hint="eastAsia" w:ascii="仿宋" w:hAnsi="仿宋" w:eastAsia="仿宋" w:cs="仿宋"/>
                <w:sz w:val="18"/>
                <w:szCs w:val="18"/>
              </w:rPr>
              <w:t>负责全面依法治区重大决策部署和政策措施的督促检查工作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负责拟订区委全面依法治区办年度督察工作计划，组织开展重点工作督察，提出督察意见、问责建议</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负责拟订法治宣传教育规划并组织实施，指导、监督区直各部门、各乡（镇、区）“谁执法谁普法”的普法责任制落实，推进全民普法工作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负责拟订本系统发展战略、中长期规划、重大政策；负责推进全区司法行政改革工作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9</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指导、监督国家工作人员学法用法工作</w:t>
            </w:r>
            <w:r>
              <w:rPr>
                <w:rFonts w:hint="eastAsia" w:ascii="仿宋" w:hAnsi="仿宋" w:eastAsia="仿宋" w:cs="仿宋"/>
                <w:sz w:val="18"/>
                <w:szCs w:val="18"/>
                <w:lang w:eastAsia="zh-CN"/>
              </w:rPr>
              <w:t>，</w:t>
            </w:r>
            <w:r>
              <w:rPr>
                <w:rFonts w:hint="eastAsia" w:ascii="仿宋" w:hAnsi="仿宋" w:eastAsia="仿宋" w:cs="仿宋"/>
                <w:sz w:val="18"/>
                <w:szCs w:val="18"/>
              </w:rPr>
              <w:t>指导、监督区直各部门、各乡（镇、区）、各行业依法治理和基层法治创建工作</w:t>
            </w:r>
            <w:r>
              <w:rPr>
                <w:rFonts w:hint="eastAsia" w:ascii="仿宋" w:hAnsi="仿宋" w:eastAsia="仿宋" w:cs="仿宋"/>
                <w:sz w:val="18"/>
                <w:szCs w:val="18"/>
                <w:lang w:eastAsia="zh-CN"/>
              </w:rPr>
              <w:t>，</w:t>
            </w:r>
            <w:r>
              <w:rPr>
                <w:rFonts w:hint="eastAsia" w:ascii="仿宋" w:hAnsi="仿宋" w:eastAsia="仿宋" w:cs="仿宋"/>
                <w:sz w:val="18"/>
                <w:szCs w:val="18"/>
              </w:rPr>
              <w:t>负责社会主义法治文化建设工作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3</w:t>
            </w:r>
          </w:p>
        </w:tc>
        <w:tc>
          <w:tcPr>
            <w:tcW w:w="1216" w:type="dxa"/>
            <w:vMerge w:val="restart"/>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lang w:eastAsia="zh-CN"/>
              </w:rPr>
              <w:t>行政复议应诉股</w:t>
            </w:r>
          </w:p>
        </w:tc>
        <w:tc>
          <w:tcPr>
            <w:tcW w:w="2808"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负责区政府各部门、各乡（镇、区）政府规范性文件的备案审查工作。负责对区政府政策措施、规范性文件和合同协议的合法性审核工作；承办区政府交办的涉法事务；承办区政府规范性文件上报市政府和区人大常委会备案工作。依法承办行政复议案件；受区政府委托，代理行政诉讼案件的应诉；受区政府委托，代理由市政府审理的行政复议裁决案件；指导、监督全区行政复议和行政应诉工作。</w:t>
            </w: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依法受理行政复议申请，履行《中华人民共和国行政复议法》规定的各项职责</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承办由区政府、区政府各部门、各乡（镇、区）政府行政行为引起的行政复议案件</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监督、指导全区行政复议工作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负责行政复议案件的统计分析、评价、问题建议和综合等事项</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负责区司法局机关行政复议案件办理工作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受区政府委托，代理以区政府为被告的行政诉讼案件应诉工作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监督、指导全区的行政应诉工作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受区政府委托，代理由市政府审理的行政复议裁决案件</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9</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负责行政应诉案件的统计分析、评价、问题建议和综合等事项</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10</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负责区司法局机关行政应诉案件应诉工作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负责规范性文件备案审查和区政府规范性文件上报备案</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组织开展政府规范性文件清理工作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承办以区政府或区政府办公室名义印发的规范性文件审核工作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承办区政府重大行政决策合法性审查</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承办区司法局规范性文件审查</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16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办理区政府交办的各类合同、协议等涉法事务</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4</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行政执法协调监督</w:t>
            </w:r>
            <w:r>
              <w:rPr>
                <w:rFonts w:hint="eastAsia" w:ascii="仿宋" w:hAnsi="仿宋" w:eastAsia="仿宋" w:cs="仿宋"/>
                <w:sz w:val="18"/>
                <w:szCs w:val="18"/>
                <w:lang w:eastAsia="zh-CN"/>
              </w:rPr>
              <w:t>股</w:t>
            </w:r>
          </w:p>
        </w:tc>
        <w:tc>
          <w:tcPr>
            <w:tcW w:w="2808" w:type="dxa"/>
            <w:vMerge w:val="restart"/>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rPr>
              <w:t>承担统筹推进鹿泉法治政府建设的责任。指导、监督区政府各部门、各乡（镇、区）政府依法行政工作；负责综合协调行政执法，推进行政执法体制改革有关工作，推进严格规范公正文明执法</w:t>
            </w:r>
            <w:r>
              <w:rPr>
                <w:rFonts w:hint="eastAsia" w:ascii="仿宋" w:hAnsi="仿宋" w:eastAsia="仿宋" w:cs="仿宋"/>
                <w:sz w:val="18"/>
                <w:szCs w:val="18"/>
                <w:lang w:eastAsia="zh-CN"/>
              </w:rPr>
              <w:t>。</w:t>
            </w: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负责全区行政执法综合协调工作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指导、监督区直各部门、各乡（镇、区）行政执法工作，推进严格规范公正文明执法</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协调全区行政执法体制改革和行政执法普遍性重要性问题，协调部门之间行政执法中有关争议和问题，负责行政裁决工作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负责行政执法队伍规范化、制度化建设和行政执法人员培训工作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负责区政府职能转变、“放管服”等改革措施的法制协调工作，牵头负责区司法局“放管服”有关工作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社区矫正管理</w:t>
            </w:r>
            <w:r>
              <w:rPr>
                <w:rFonts w:hint="eastAsia" w:ascii="仿宋" w:hAnsi="仿宋" w:eastAsia="仿宋" w:cs="仿宋"/>
                <w:sz w:val="18"/>
                <w:szCs w:val="18"/>
                <w:lang w:eastAsia="zh-CN"/>
              </w:rPr>
              <w:t>股</w:t>
            </w:r>
          </w:p>
        </w:tc>
        <w:tc>
          <w:tcPr>
            <w:tcW w:w="2808" w:type="dxa"/>
            <w:vMerge w:val="restart"/>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rPr>
              <w:t>负责全区社区矫正工作，负责刑满释放人员帮教安置工作</w:t>
            </w:r>
            <w:r>
              <w:rPr>
                <w:rFonts w:hint="eastAsia" w:ascii="仿宋" w:hAnsi="仿宋" w:eastAsia="仿宋" w:cs="仿宋"/>
                <w:sz w:val="18"/>
                <w:szCs w:val="18"/>
                <w:lang w:eastAsia="zh-CN"/>
              </w:rPr>
              <w:t>。</w:t>
            </w: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负责检查、监督社区矫正法律法规和政策的执行情况</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拟订全区社区矫正工作发展规划、管理制度并组织实施</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负责对社区矫正对象的刑罚执行、管理教育和帮扶工作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pacing w:val="-6"/>
                <w:sz w:val="18"/>
                <w:szCs w:val="18"/>
              </w:rPr>
            </w:pPr>
            <w:r>
              <w:rPr>
                <w:rFonts w:hint="eastAsia" w:ascii="仿宋" w:hAnsi="仿宋" w:eastAsia="仿宋" w:cs="仿宋"/>
                <w:spacing w:val="-6"/>
                <w:sz w:val="18"/>
                <w:szCs w:val="18"/>
              </w:rPr>
              <w:t>指导社区矫正场所建设和管理工作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pacing w:val="-6"/>
                <w:sz w:val="18"/>
                <w:szCs w:val="18"/>
              </w:rPr>
            </w:pPr>
            <w:r>
              <w:rPr>
                <w:rFonts w:hint="eastAsia" w:ascii="仿宋" w:hAnsi="仿宋" w:eastAsia="仿宋" w:cs="仿宋"/>
                <w:spacing w:val="-6"/>
                <w:sz w:val="18"/>
                <w:szCs w:val="18"/>
              </w:rPr>
              <w:t>指导社会力量和志愿者参与社区矫正工作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pacing w:val="-6"/>
                <w:sz w:val="18"/>
                <w:szCs w:val="18"/>
              </w:rPr>
              <w:t>负责刑满释放人员帮教安置工作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人民参与和促进法治</w:t>
            </w:r>
            <w:r>
              <w:rPr>
                <w:rFonts w:hint="eastAsia" w:ascii="仿宋" w:hAnsi="仿宋" w:eastAsia="仿宋" w:cs="仿宋"/>
                <w:sz w:val="18"/>
                <w:szCs w:val="18"/>
                <w:lang w:eastAsia="zh-CN"/>
              </w:rPr>
              <w:t>股</w:t>
            </w:r>
          </w:p>
        </w:tc>
        <w:tc>
          <w:tcPr>
            <w:tcW w:w="2808"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360" w:firstLineChars="200"/>
              <w:textAlignment w:val="auto"/>
              <w:rPr>
                <w:rFonts w:hint="eastAsia" w:ascii="仿宋" w:hAnsi="仿宋" w:eastAsia="仿宋" w:cs="仿宋"/>
                <w:sz w:val="18"/>
                <w:szCs w:val="18"/>
              </w:rPr>
            </w:pPr>
            <w:r>
              <w:rPr>
                <w:rFonts w:hint="eastAsia" w:ascii="仿宋" w:hAnsi="仿宋" w:eastAsia="仿宋" w:cs="仿宋"/>
                <w:sz w:val="18"/>
                <w:szCs w:val="18"/>
              </w:rPr>
              <w:t>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负责制定全区保障人民群众参与、促进、监督法治建设的制度措施</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参与面向社会征集法律法规制定项目建议</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指导人民团体、群众自治组织和社会组织参与、支持法治社会建设工作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负责人民监督员、人民陪审员选任管理工作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负责规划和推进公共法律服务体系和平台建设工作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lang w:val="en-US" w:eastAsia="zh-CN"/>
              </w:rPr>
            </w:pPr>
          </w:p>
        </w:tc>
        <w:tc>
          <w:tcPr>
            <w:tcW w:w="1216" w:type="dxa"/>
            <w:vMerge w:val="continue"/>
            <w:noWrap w:val="0"/>
            <w:vAlign w:val="center"/>
          </w:tcPr>
          <w:p>
            <w:pPr>
              <w:adjustRightInd w:val="0"/>
              <w:snapToGrid w:val="0"/>
              <w:jc w:val="center"/>
              <w:rPr>
                <w:rFonts w:hint="eastAsia" w:ascii="仿宋" w:hAnsi="仿宋" w:eastAsia="仿宋" w:cs="仿宋"/>
                <w:sz w:val="18"/>
                <w:szCs w:val="18"/>
                <w:lang w:eastAsia="zh-CN"/>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负责全区司法所建设工作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55" w:type="dxa"/>
            <w:vMerge w:val="continue"/>
            <w:noWrap w:val="0"/>
            <w:vAlign w:val="center"/>
          </w:tcPr>
          <w:p>
            <w:pPr>
              <w:adjustRightInd w:val="0"/>
              <w:snapToGrid w:val="0"/>
              <w:jc w:val="center"/>
              <w:rPr>
                <w:rFonts w:hint="eastAsia" w:ascii="仿宋" w:hAnsi="仿宋" w:eastAsia="仿宋" w:cs="仿宋"/>
                <w:sz w:val="18"/>
                <w:szCs w:val="18"/>
                <w:lang w:val="en-US" w:eastAsia="zh-CN"/>
              </w:rPr>
            </w:pPr>
          </w:p>
        </w:tc>
        <w:tc>
          <w:tcPr>
            <w:tcW w:w="1216" w:type="dxa"/>
            <w:vMerge w:val="continue"/>
            <w:noWrap w:val="0"/>
            <w:vAlign w:val="center"/>
          </w:tcPr>
          <w:p>
            <w:pPr>
              <w:adjustRightInd w:val="0"/>
              <w:snapToGrid w:val="0"/>
              <w:jc w:val="center"/>
              <w:rPr>
                <w:rFonts w:hint="eastAsia" w:ascii="仿宋" w:hAnsi="仿宋" w:eastAsia="仿宋" w:cs="仿宋"/>
                <w:sz w:val="18"/>
                <w:szCs w:val="18"/>
                <w:lang w:eastAsia="zh-CN"/>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指导人民调解、行政调解、行业性专业性调解工作指导诉调对接相关工作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lang w:val="en-US" w:eastAsia="zh-CN"/>
              </w:rPr>
            </w:pPr>
          </w:p>
        </w:tc>
        <w:tc>
          <w:tcPr>
            <w:tcW w:w="1216" w:type="dxa"/>
            <w:vMerge w:val="continue"/>
            <w:noWrap w:val="0"/>
            <w:vAlign w:val="center"/>
          </w:tcPr>
          <w:p>
            <w:pPr>
              <w:adjustRightInd w:val="0"/>
              <w:snapToGrid w:val="0"/>
              <w:jc w:val="center"/>
              <w:rPr>
                <w:rFonts w:hint="eastAsia" w:ascii="仿宋" w:hAnsi="仿宋" w:eastAsia="仿宋" w:cs="仿宋"/>
                <w:sz w:val="18"/>
                <w:szCs w:val="18"/>
                <w:lang w:eastAsia="zh-CN"/>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组织、指导社会组织和志愿者开展法律服务工作</w:t>
            </w:r>
            <w:r>
              <w:rPr>
                <w:rFonts w:hint="eastAsia" w:ascii="仿宋" w:hAnsi="仿宋" w:eastAsia="仿宋" w:cs="仿宋"/>
                <w:sz w:val="18"/>
                <w:szCs w:val="18"/>
                <w:lang w:eastAsia="zh-CN"/>
              </w:rPr>
              <w:t>，</w:t>
            </w:r>
            <w:r>
              <w:rPr>
                <w:rFonts w:hint="eastAsia" w:ascii="仿宋" w:hAnsi="仿宋" w:eastAsia="仿宋" w:cs="仿宋"/>
                <w:sz w:val="18"/>
                <w:szCs w:val="18"/>
              </w:rPr>
              <w:t>指导、监督区人民调解员相关工作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法律服务管理股</w:t>
            </w:r>
          </w:p>
        </w:tc>
        <w:tc>
          <w:tcPr>
            <w:tcW w:w="2808" w:type="dxa"/>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360" w:firstLineChars="200"/>
              <w:textAlignment w:val="auto"/>
              <w:rPr>
                <w:rFonts w:hint="eastAsia" w:ascii="仿宋" w:hAnsi="仿宋" w:eastAsia="仿宋" w:cs="仿宋"/>
                <w:sz w:val="18"/>
                <w:szCs w:val="18"/>
              </w:rPr>
            </w:pPr>
            <w:r>
              <w:rPr>
                <w:rFonts w:hint="eastAsia" w:ascii="仿宋" w:hAnsi="仿宋" w:eastAsia="仿宋" w:cs="仿宋"/>
                <w:sz w:val="18"/>
                <w:szCs w:val="18"/>
              </w:rPr>
              <w:t>负责拟订公共法律服务体系建设规划并组织实施，统筹和布局全区法律服务资源；负责全区律师、公证、法律援助、司法鉴定和基层法律服务管理工作。</w:t>
            </w:r>
          </w:p>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6491" w:type="dxa"/>
            <w:noWrap w:val="0"/>
            <w:vAlign w:val="center"/>
          </w:tcPr>
          <w:p>
            <w:pPr>
              <w:keepNext w:val="0"/>
              <w:keepLines w:val="0"/>
              <w:widowControl/>
              <w:suppressLineNumbers w:val="0"/>
              <w:jc w:val="left"/>
              <w:textAlignment w:val="center"/>
              <w:rPr>
                <w:rFonts w:hint="eastAsia" w:ascii="仿宋" w:hAnsi="仿宋" w:eastAsia="仿宋" w:cs="仿宋"/>
                <w:sz w:val="18"/>
                <w:szCs w:val="18"/>
              </w:rPr>
            </w:pPr>
            <w:r>
              <w:rPr>
                <w:rFonts w:hint="eastAsia" w:ascii="仿宋" w:hAnsi="仿宋" w:eastAsia="仿宋" w:cs="仿宋"/>
                <w:i w:val="0"/>
                <w:color w:val="000000"/>
                <w:kern w:val="0"/>
                <w:sz w:val="18"/>
                <w:szCs w:val="18"/>
                <w:u w:val="none"/>
                <w:lang w:val="en-US" w:eastAsia="zh-CN" w:bidi="ar"/>
              </w:rPr>
              <w:t>对基层法律服务工作者执业情况的行政处罚，对基层法律服务所日常执业和内部管理情况的行政处罚，对律师违规承办法律援助案件的行政处罚，对律师事务所拒绝法律援助机构指派的行政处罚，对没有取得律师执业证书的人员以律师名义从事法律服务业务的处罚，对鉴定人和鉴定机构的行政处罚</w:t>
            </w:r>
          </w:p>
        </w:tc>
        <w:tc>
          <w:tcPr>
            <w:tcW w:w="2279" w:type="dxa"/>
            <w:noWrap w:val="0"/>
            <w:vAlign w:val="center"/>
          </w:tcPr>
          <w:p>
            <w:pPr>
              <w:adjustRightInd w:val="0"/>
              <w:snapToGrid w:val="0"/>
              <w:jc w:val="center"/>
              <w:rPr>
                <w:rFonts w:hint="eastAsia" w:ascii="仿宋" w:hAnsi="仿宋" w:eastAsia="仿宋" w:cs="仿宋"/>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2</w:t>
            </w:r>
          </w:p>
        </w:tc>
        <w:tc>
          <w:tcPr>
            <w:tcW w:w="6491" w:type="dxa"/>
            <w:noWrap w:val="0"/>
            <w:vAlign w:val="center"/>
          </w:tcPr>
          <w:p>
            <w:pPr>
              <w:keepNext w:val="0"/>
              <w:keepLines w:val="0"/>
              <w:widowControl/>
              <w:suppressLineNumbers w:val="0"/>
              <w:tabs>
                <w:tab w:val="left" w:pos="1730"/>
              </w:tabs>
              <w:jc w:val="left"/>
              <w:textAlignment w:val="center"/>
              <w:rPr>
                <w:rFonts w:hint="eastAsia" w:ascii="仿宋" w:hAnsi="仿宋" w:eastAsia="仿宋" w:cs="仿宋"/>
                <w:sz w:val="18"/>
                <w:szCs w:val="18"/>
                <w:lang w:eastAsia="zh-CN"/>
              </w:rPr>
            </w:pPr>
            <w:r>
              <w:rPr>
                <w:rFonts w:hint="eastAsia" w:ascii="仿宋" w:hAnsi="仿宋" w:eastAsia="仿宋" w:cs="仿宋"/>
                <w:i w:val="0"/>
                <w:color w:val="000000"/>
                <w:kern w:val="0"/>
                <w:sz w:val="18"/>
                <w:szCs w:val="18"/>
                <w:u w:val="none"/>
                <w:lang w:val="en-US" w:eastAsia="zh-CN" w:bidi="ar"/>
              </w:rPr>
              <w:t>对基层法律服务工作者执业情况的行政检查，对基层法律</w:t>
            </w:r>
            <w:r>
              <w:rPr>
                <w:rFonts w:hint="eastAsia" w:ascii="仿宋" w:hAnsi="仿宋" w:eastAsia="仿宋" w:cs="仿宋"/>
                <w:i w:val="0"/>
                <w:color w:val="auto"/>
                <w:kern w:val="0"/>
                <w:sz w:val="18"/>
                <w:szCs w:val="18"/>
                <w:u w:val="none"/>
                <w:lang w:val="en-US" w:eastAsia="zh-CN" w:bidi="ar"/>
              </w:rPr>
              <w:t>服务所日常执业和内部管理情况的行政检查，对律所及律师承办法律援助事项的行政检查，</w:t>
            </w:r>
            <w:r>
              <w:rPr>
                <w:rFonts w:hint="eastAsia" w:ascii="仿宋" w:hAnsi="仿宋" w:eastAsia="仿宋" w:cs="仿宋"/>
                <w:i w:val="0"/>
                <w:color w:val="auto"/>
                <w:kern w:val="0"/>
                <w:sz w:val="18"/>
                <w:szCs w:val="18"/>
                <w:u w:val="none"/>
                <w:lang w:val="en-US" w:eastAsia="zh-CN" w:bidi="ar"/>
              </w:rPr>
              <w:fldChar w:fldCharType="begin"/>
            </w:r>
            <w:r>
              <w:rPr>
                <w:rFonts w:hint="eastAsia" w:ascii="仿宋" w:hAnsi="仿宋" w:eastAsia="仿宋" w:cs="仿宋"/>
                <w:i w:val="0"/>
                <w:color w:val="auto"/>
                <w:kern w:val="0"/>
                <w:sz w:val="18"/>
                <w:szCs w:val="18"/>
                <w:u w:val="none"/>
                <w:lang w:val="en-US" w:eastAsia="zh-CN" w:bidi="ar"/>
              </w:rPr>
              <w:instrText xml:space="preserve"> HYPERLINK "http://www.hbzwfw.gov.cn/art/2019/9/7/art_20944_7978.html" \o "对律师事务所（分所）的行政检查" </w:instrText>
            </w:r>
            <w:r>
              <w:rPr>
                <w:rFonts w:hint="eastAsia" w:ascii="仿宋" w:hAnsi="仿宋" w:eastAsia="仿宋" w:cs="仿宋"/>
                <w:i w:val="0"/>
                <w:color w:val="auto"/>
                <w:kern w:val="0"/>
                <w:sz w:val="18"/>
                <w:szCs w:val="18"/>
                <w:u w:val="none"/>
                <w:lang w:val="en-US" w:eastAsia="zh-CN" w:bidi="ar"/>
              </w:rPr>
              <w:fldChar w:fldCharType="separate"/>
            </w:r>
            <w:r>
              <w:rPr>
                <w:rStyle w:val="5"/>
                <w:rFonts w:hint="eastAsia" w:ascii="仿宋" w:hAnsi="仿宋" w:eastAsia="仿宋" w:cs="仿宋"/>
                <w:i w:val="0"/>
                <w:color w:val="auto"/>
                <w:sz w:val="18"/>
                <w:szCs w:val="18"/>
                <w:u w:val="none"/>
              </w:rPr>
              <w:t>对律师事务所（分所）的行政检查</w:t>
            </w:r>
            <w:r>
              <w:rPr>
                <w:rFonts w:hint="eastAsia" w:ascii="仿宋" w:hAnsi="仿宋" w:eastAsia="仿宋" w:cs="仿宋"/>
                <w:i w:val="0"/>
                <w:color w:val="auto"/>
                <w:kern w:val="0"/>
                <w:sz w:val="18"/>
                <w:szCs w:val="18"/>
                <w:u w:val="none"/>
                <w:lang w:val="en-US" w:eastAsia="zh-CN" w:bidi="ar"/>
              </w:rPr>
              <w:fldChar w:fldCharType="end"/>
            </w:r>
            <w:r>
              <w:rPr>
                <w:rFonts w:hint="eastAsia" w:ascii="仿宋" w:hAnsi="仿宋" w:eastAsia="仿宋" w:cs="仿宋"/>
                <w:i w:val="0"/>
                <w:color w:val="auto"/>
                <w:kern w:val="0"/>
                <w:sz w:val="18"/>
                <w:szCs w:val="18"/>
                <w:u w:val="none"/>
                <w:lang w:val="en-US" w:eastAsia="zh-CN" w:bidi="ar"/>
              </w:rPr>
              <w:t>，对律师的行政检查，对鉴定人的行政检查，对鉴</w:t>
            </w:r>
            <w:r>
              <w:rPr>
                <w:rFonts w:hint="eastAsia" w:ascii="仿宋" w:hAnsi="仿宋" w:eastAsia="仿宋" w:cs="仿宋"/>
                <w:i w:val="0"/>
                <w:color w:val="000000"/>
                <w:kern w:val="0"/>
                <w:sz w:val="18"/>
                <w:szCs w:val="18"/>
                <w:u w:val="none"/>
                <w:lang w:val="en-US" w:eastAsia="zh-CN" w:bidi="ar"/>
              </w:rPr>
              <w:t>定机构的行政检查，对公证员办理公证业务情况的行政检查，对公证机构的行政检查</w:t>
            </w:r>
          </w:p>
        </w:tc>
        <w:tc>
          <w:tcPr>
            <w:tcW w:w="2279" w:type="dxa"/>
            <w:noWrap w:val="0"/>
            <w:vAlign w:val="center"/>
          </w:tcPr>
          <w:p>
            <w:pPr>
              <w:adjustRightInd w:val="0"/>
              <w:snapToGrid w:val="0"/>
              <w:jc w:val="center"/>
              <w:rPr>
                <w:rFonts w:hint="eastAsia" w:ascii="仿宋" w:hAnsi="仿宋" w:eastAsia="仿宋" w:cs="仿宋"/>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3</w:t>
            </w:r>
          </w:p>
        </w:tc>
        <w:tc>
          <w:tcPr>
            <w:tcW w:w="6491" w:type="dxa"/>
            <w:noWrap w:val="0"/>
            <w:vAlign w:val="center"/>
          </w:tcPr>
          <w:p>
            <w:pPr>
              <w:keepNext w:val="0"/>
              <w:keepLines w:val="0"/>
              <w:widowControl/>
              <w:suppressLineNumbers w:val="0"/>
              <w:jc w:val="left"/>
              <w:textAlignment w:val="center"/>
              <w:rPr>
                <w:rFonts w:hint="eastAsia" w:ascii="仿宋" w:hAnsi="仿宋" w:eastAsia="仿宋" w:cs="仿宋"/>
                <w:sz w:val="18"/>
                <w:szCs w:val="18"/>
              </w:rPr>
            </w:pPr>
            <w:r>
              <w:rPr>
                <w:rFonts w:hint="eastAsia" w:ascii="仿宋" w:hAnsi="仿宋" w:eastAsia="仿宋" w:cs="仿宋"/>
                <w:sz w:val="18"/>
                <w:szCs w:val="18"/>
              </w:rPr>
              <w:t>对基层法律服务所变更名称、法定代表人或者负责人、合伙人、住所和修改章程的初审,对基层法律服务所办理注销手续的初审,对公证员执业资格的初审,对公证机构执业资格的初审,对公证机构变更名称、办公场所、负责人的初审</w:t>
            </w:r>
          </w:p>
        </w:tc>
        <w:tc>
          <w:tcPr>
            <w:tcW w:w="2279" w:type="dxa"/>
            <w:noWrap w:val="0"/>
            <w:vAlign w:val="center"/>
          </w:tcPr>
          <w:p>
            <w:pPr>
              <w:adjustRightInd w:val="0"/>
              <w:snapToGrid w:val="0"/>
              <w:jc w:val="center"/>
              <w:rPr>
                <w:rFonts w:hint="eastAsia" w:ascii="仿宋" w:hAnsi="仿宋" w:eastAsia="仿宋" w:cs="仿宋"/>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4</w:t>
            </w:r>
          </w:p>
        </w:tc>
        <w:tc>
          <w:tcPr>
            <w:tcW w:w="6491" w:type="dxa"/>
            <w:noWrap w:val="0"/>
            <w:vAlign w:val="center"/>
          </w:tcPr>
          <w:p>
            <w:pPr>
              <w:keepNext w:val="0"/>
              <w:keepLines w:val="0"/>
              <w:widowControl/>
              <w:suppressLineNumbers w:val="0"/>
              <w:jc w:val="left"/>
              <w:textAlignment w:val="center"/>
              <w:rPr>
                <w:rFonts w:hint="eastAsia" w:ascii="仿宋" w:hAnsi="仿宋" w:eastAsia="仿宋" w:cs="仿宋"/>
                <w:sz w:val="18"/>
                <w:szCs w:val="18"/>
                <w:lang w:eastAsia="zh-CN"/>
              </w:rPr>
            </w:pPr>
            <w:r>
              <w:rPr>
                <w:rFonts w:hint="eastAsia" w:ascii="仿宋" w:hAnsi="仿宋" w:eastAsia="仿宋" w:cs="仿宋"/>
                <w:sz w:val="18"/>
                <w:szCs w:val="18"/>
                <w:lang w:eastAsia="zh-CN"/>
              </w:rPr>
              <w:t>对律师事务所、律师进行表彰奖励，对基层法律服务所、基层法律服务工作者进行表彰奖励，对在法律援助工作中作出突出贡献的组织和个人的表彰奖励</w:t>
            </w:r>
          </w:p>
        </w:tc>
        <w:tc>
          <w:tcPr>
            <w:tcW w:w="2279" w:type="dxa"/>
            <w:noWrap w:val="0"/>
            <w:vAlign w:val="center"/>
          </w:tcPr>
          <w:p>
            <w:pPr>
              <w:adjustRightInd w:val="0"/>
              <w:snapToGrid w:val="0"/>
              <w:jc w:val="center"/>
              <w:rPr>
                <w:rFonts w:hint="eastAsia" w:ascii="仿宋" w:hAnsi="仿宋" w:eastAsia="仿宋" w:cs="仿宋"/>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noWrap w:val="0"/>
            <w:vAlign w:val="center"/>
          </w:tcPr>
          <w:p>
            <w:pPr>
              <w:adjustRightInd w:val="0"/>
              <w:snapToGrid w:val="0"/>
              <w:jc w:val="center"/>
              <w:rPr>
                <w:rFonts w:hint="default" w:ascii="仿宋" w:hAnsi="仿宋" w:eastAsia="仿宋" w:cs="仿宋"/>
                <w:sz w:val="18"/>
                <w:szCs w:val="18"/>
                <w:lang w:val="en-US" w:eastAsia="zh-CN"/>
              </w:rPr>
            </w:pPr>
            <w:r>
              <w:rPr>
                <w:rFonts w:hint="eastAsia" w:ascii="仿宋" w:hAnsi="仿宋" w:eastAsia="仿宋" w:cs="仿宋"/>
                <w:sz w:val="18"/>
                <w:szCs w:val="18"/>
                <w:lang w:val="en-US" w:eastAsia="zh-CN"/>
              </w:rPr>
              <w:t>7</w:t>
            </w:r>
          </w:p>
        </w:tc>
        <w:tc>
          <w:tcPr>
            <w:tcW w:w="1216" w:type="dxa"/>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rPr>
              <w:t>法律服务管理股</w:t>
            </w:r>
          </w:p>
        </w:tc>
        <w:tc>
          <w:tcPr>
            <w:tcW w:w="280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360" w:firstLineChars="200"/>
              <w:textAlignment w:val="auto"/>
              <w:rPr>
                <w:rFonts w:hint="eastAsia" w:ascii="仿宋" w:hAnsi="仿宋" w:eastAsia="仿宋" w:cs="仿宋"/>
                <w:sz w:val="18"/>
                <w:szCs w:val="18"/>
              </w:rPr>
            </w:pPr>
            <w:r>
              <w:rPr>
                <w:rFonts w:hint="eastAsia" w:ascii="仿宋" w:hAnsi="仿宋" w:eastAsia="仿宋" w:cs="仿宋"/>
                <w:sz w:val="18"/>
                <w:szCs w:val="18"/>
              </w:rPr>
              <w:t>负责拟订公共法律服务体系建设规划并组织实施，统筹和布局全区法律服务资源；负责全区律师、公证、法律援助、司法鉴定和基层法律服务管理工作。</w:t>
            </w:r>
          </w:p>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法律援助工作；负责指导、监督全区律师工作；负责公职律师、公司律师和基层法律服务工作；指导、监督党政机关、企事业单位和村居法律顾问工作；指导律师行业党建工作。指导、监督区律师协会工作。负责全区公证管理工作；指导、监督全区公证机构和公证员的执业活动。指导、监督、管理司法鉴定机构和鉴定人执业活动</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restart"/>
            <w:noWrap w:val="0"/>
            <w:vAlign w:val="center"/>
          </w:tcPr>
          <w:p>
            <w:pPr>
              <w:adjustRightInd w:val="0"/>
              <w:snapToGrid w:val="0"/>
              <w:jc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8</w:t>
            </w:r>
          </w:p>
        </w:tc>
        <w:tc>
          <w:tcPr>
            <w:tcW w:w="1216" w:type="dxa"/>
            <w:vMerge w:val="restart"/>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eastAsia="zh-CN"/>
              </w:rPr>
              <w:t>政治思想工作股</w:t>
            </w:r>
          </w:p>
        </w:tc>
        <w:tc>
          <w:tcPr>
            <w:tcW w:w="2808" w:type="dxa"/>
            <w:vMerge w:val="restart"/>
            <w:noWrap w:val="0"/>
            <w:vAlign w:val="center"/>
          </w:tcPr>
          <w:p>
            <w:pPr>
              <w:adjustRightInd w:val="0"/>
              <w:snapToGrid w:val="0"/>
              <w:jc w:val="center"/>
              <w:rPr>
                <w:rFonts w:hint="eastAsia" w:ascii="仿宋" w:hAnsi="仿宋" w:eastAsia="仿宋" w:cs="仿宋"/>
                <w:sz w:val="18"/>
                <w:szCs w:val="18"/>
                <w:lang w:eastAsia="zh-CN"/>
              </w:rPr>
            </w:pPr>
            <w:r>
              <w:rPr>
                <w:rFonts w:hint="eastAsia" w:ascii="仿宋" w:hAnsi="仿宋" w:eastAsia="仿宋" w:cs="仿宋"/>
                <w:sz w:val="18"/>
                <w:szCs w:val="18"/>
              </w:rPr>
              <w:t>规划、协调、指导全区法治人才队伍建设相关工作；负责本系统队伍建设</w:t>
            </w:r>
            <w:r>
              <w:rPr>
                <w:rFonts w:hint="eastAsia" w:ascii="仿宋" w:hAnsi="仿宋" w:eastAsia="仿宋" w:cs="仿宋"/>
                <w:sz w:val="18"/>
                <w:szCs w:val="18"/>
                <w:lang w:eastAsia="zh-CN"/>
              </w:rPr>
              <w:t>。</w:t>
            </w:r>
            <w:bookmarkStart w:id="0" w:name="_GoBack"/>
            <w:bookmarkEnd w:id="0"/>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1</w:t>
            </w:r>
          </w:p>
        </w:tc>
        <w:tc>
          <w:tcPr>
            <w:tcW w:w="6491" w:type="dxa"/>
            <w:noWrap w:val="0"/>
            <w:vAlign w:val="center"/>
          </w:tcPr>
          <w:p>
            <w:pPr>
              <w:adjustRightInd w:val="0"/>
              <w:snapToGrid w:val="0"/>
              <w:jc w:val="left"/>
              <w:rPr>
                <w:rFonts w:hint="eastAsia" w:ascii="仿宋" w:hAnsi="仿宋" w:eastAsia="仿宋" w:cs="仿宋"/>
                <w:sz w:val="18"/>
                <w:szCs w:val="18"/>
                <w:lang w:eastAsia="zh-CN"/>
              </w:rPr>
            </w:pPr>
            <w:r>
              <w:rPr>
                <w:rFonts w:hint="eastAsia" w:ascii="仿宋" w:hAnsi="仿宋" w:eastAsia="仿宋" w:cs="仿宋"/>
                <w:sz w:val="18"/>
                <w:szCs w:val="18"/>
              </w:rPr>
              <w:t>负责机关和所属单位的机构编制、人事管理</w:t>
            </w:r>
            <w:r>
              <w:rPr>
                <w:rFonts w:hint="eastAsia" w:ascii="仿宋" w:hAnsi="仿宋" w:eastAsia="仿宋" w:cs="仿宋"/>
                <w:sz w:val="18"/>
                <w:szCs w:val="18"/>
                <w:lang w:eastAsia="zh-CN"/>
              </w:rPr>
              <w:t>、工资等工作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2</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负责司法系统思想政治工作、组织工作、队伍建设，指导、监督党的建设</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rPr>
              <w:t>3</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负责协调、指导法治人才队伍建设相关工作，负责司法干部教育培训工作；负责表扬表彰奖励工作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4</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承担机关和所属单位党风廉政建设具体工作，协助局党组落实党风廉政建设主体责任，组织开展检查、监督工作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5</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负责机关和所属单位的宣传、精神文明建设及群团等工作</w:t>
            </w:r>
          </w:p>
        </w:tc>
        <w:tc>
          <w:tcPr>
            <w:tcW w:w="2279" w:type="dxa"/>
            <w:noWrap w:val="0"/>
            <w:vAlign w:val="center"/>
          </w:tcPr>
          <w:p>
            <w:pPr>
              <w:adjustRightInd w:val="0"/>
              <w:snapToGrid w:val="0"/>
              <w:jc w:val="center"/>
              <w:rPr>
                <w:rFonts w:hint="eastAsia" w:ascii="仿宋" w:hAnsi="仿宋" w:eastAsia="仿宋" w:cs="仿宋"/>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1155" w:type="dxa"/>
            <w:vMerge w:val="continue"/>
            <w:noWrap w:val="0"/>
            <w:vAlign w:val="center"/>
          </w:tcPr>
          <w:p>
            <w:pPr>
              <w:adjustRightInd w:val="0"/>
              <w:snapToGrid w:val="0"/>
              <w:jc w:val="center"/>
              <w:rPr>
                <w:rFonts w:hint="eastAsia" w:ascii="仿宋" w:hAnsi="仿宋" w:eastAsia="仿宋" w:cs="仿宋"/>
                <w:sz w:val="18"/>
                <w:szCs w:val="18"/>
              </w:rPr>
            </w:pPr>
          </w:p>
        </w:tc>
        <w:tc>
          <w:tcPr>
            <w:tcW w:w="1216" w:type="dxa"/>
            <w:vMerge w:val="continue"/>
            <w:noWrap w:val="0"/>
            <w:vAlign w:val="center"/>
          </w:tcPr>
          <w:p>
            <w:pPr>
              <w:adjustRightInd w:val="0"/>
              <w:snapToGrid w:val="0"/>
              <w:jc w:val="center"/>
              <w:rPr>
                <w:rFonts w:hint="eastAsia" w:ascii="仿宋" w:hAnsi="仿宋" w:eastAsia="仿宋" w:cs="仿宋"/>
                <w:sz w:val="18"/>
                <w:szCs w:val="18"/>
              </w:rPr>
            </w:pPr>
          </w:p>
        </w:tc>
        <w:tc>
          <w:tcPr>
            <w:tcW w:w="2808" w:type="dxa"/>
            <w:vMerge w:val="continue"/>
            <w:noWrap w:val="0"/>
            <w:vAlign w:val="center"/>
          </w:tcPr>
          <w:p>
            <w:pPr>
              <w:adjustRightInd w:val="0"/>
              <w:snapToGrid w:val="0"/>
              <w:jc w:val="center"/>
              <w:rPr>
                <w:rFonts w:hint="eastAsia" w:ascii="仿宋" w:hAnsi="仿宋" w:eastAsia="仿宋" w:cs="仿宋"/>
                <w:sz w:val="18"/>
                <w:szCs w:val="18"/>
              </w:rPr>
            </w:pPr>
          </w:p>
        </w:tc>
        <w:tc>
          <w:tcPr>
            <w:tcW w:w="751" w:type="dxa"/>
            <w:noWrap w:val="0"/>
            <w:vAlign w:val="center"/>
          </w:tcPr>
          <w:p>
            <w:pPr>
              <w:adjustRightInd w:val="0"/>
              <w:snapToGrid w:val="0"/>
              <w:jc w:val="center"/>
              <w:rPr>
                <w:rFonts w:hint="eastAsia" w:ascii="仿宋" w:hAnsi="仿宋" w:eastAsia="仿宋" w:cs="仿宋"/>
                <w:sz w:val="18"/>
                <w:szCs w:val="18"/>
              </w:rPr>
            </w:pPr>
            <w:r>
              <w:rPr>
                <w:rFonts w:hint="eastAsia" w:ascii="仿宋" w:hAnsi="仿宋" w:eastAsia="仿宋" w:cs="仿宋"/>
                <w:sz w:val="18"/>
                <w:szCs w:val="18"/>
                <w:lang w:val="en-US" w:eastAsia="zh-CN"/>
              </w:rPr>
              <w:t>6</w:t>
            </w:r>
          </w:p>
        </w:tc>
        <w:tc>
          <w:tcPr>
            <w:tcW w:w="6491" w:type="dxa"/>
            <w:noWrap w:val="0"/>
            <w:vAlign w:val="center"/>
          </w:tcPr>
          <w:p>
            <w:pPr>
              <w:adjustRightInd w:val="0"/>
              <w:snapToGrid w:val="0"/>
              <w:jc w:val="left"/>
              <w:rPr>
                <w:rFonts w:hint="eastAsia" w:ascii="仿宋" w:hAnsi="仿宋" w:eastAsia="仿宋" w:cs="仿宋"/>
                <w:sz w:val="18"/>
                <w:szCs w:val="18"/>
              </w:rPr>
            </w:pPr>
            <w:r>
              <w:rPr>
                <w:rFonts w:hint="eastAsia" w:ascii="仿宋" w:hAnsi="仿宋" w:eastAsia="仿宋" w:cs="仿宋"/>
                <w:sz w:val="18"/>
                <w:szCs w:val="18"/>
              </w:rPr>
              <w:t>负责局机关和所属单位纪检监察工作，履行监督执纪问责职责</w:t>
            </w:r>
          </w:p>
        </w:tc>
        <w:tc>
          <w:tcPr>
            <w:tcW w:w="2279" w:type="dxa"/>
            <w:noWrap w:val="0"/>
            <w:vAlign w:val="center"/>
          </w:tcPr>
          <w:p>
            <w:pPr>
              <w:adjustRightInd w:val="0"/>
              <w:snapToGrid w:val="0"/>
              <w:jc w:val="center"/>
              <w:rPr>
                <w:rFonts w:hint="eastAsia" w:ascii="仿宋" w:hAnsi="仿宋" w:eastAsia="仿宋" w:cs="仿宋"/>
                <w:sz w:val="18"/>
                <w:szCs w:val="18"/>
              </w:rPr>
            </w:pPr>
          </w:p>
        </w:tc>
      </w:tr>
    </w:tbl>
    <w:p>
      <w:pPr>
        <w:widowControl/>
        <w:shd w:val="clear" w:color="auto" w:fill="FFFFFF"/>
        <w:spacing w:line="340" w:lineRule="exact"/>
        <w:jc w:val="left"/>
        <w:outlineLvl w:val="2"/>
        <w:rPr>
          <w:rFonts w:hint="eastAsia" w:ascii="仿宋" w:hAnsi="仿宋" w:eastAsia="仿宋" w:cs="仿宋"/>
          <w:sz w:val="18"/>
          <w:szCs w:val="18"/>
        </w:rPr>
      </w:pPr>
    </w:p>
    <w:sectPr>
      <w:pgSz w:w="16838" w:h="11906" w:orient="landscape"/>
      <w:pgMar w:top="1803" w:right="1440" w:bottom="850" w:left="144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1C7B36"/>
    <w:rsid w:val="03F124FF"/>
    <w:rsid w:val="05E32CDC"/>
    <w:rsid w:val="11D0127F"/>
    <w:rsid w:val="11D63B11"/>
    <w:rsid w:val="3C7E6539"/>
    <w:rsid w:val="3DD107E8"/>
    <w:rsid w:val="4192219E"/>
    <w:rsid w:val="50BA4DD6"/>
    <w:rsid w:val="57313E12"/>
    <w:rsid w:val="5A1C7B36"/>
    <w:rsid w:val="71B573F2"/>
    <w:rsid w:val="73167F1D"/>
    <w:rsid w:val="73D46E70"/>
    <w:rsid w:val="7DC95C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_Style 1"/>
    <w:unhideWhenUsed/>
    <w:qFormat/>
    <w:uiPriority w:val="1"/>
    <w:pPr>
      <w:widowControl w:val="0"/>
      <w:jc w:val="both"/>
    </w:pPr>
    <w:rPr>
      <w:rFonts w:hint="eastAsia" w:ascii="宋体" w:hAnsi="宋体" w:eastAsia="宋体" w:cs="Times New Roman"/>
      <w:kern w:val="2"/>
      <w:sz w:val="32"/>
      <w:szCs w:val="22"/>
      <w:lang w:val="en-US" w:eastAsia="zh-CN" w:bidi="ar-SA"/>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2021-11-04T08:14:00Z</dcterms:created>
  <dc:creator>admine</dc:creator>
  <cp:lastModifiedBy>Administrator</cp:lastModifiedBy>
  <cp:lastPrinted>2021-12-07T03:58:00Z</cp:lastPrinted>
  <dcterms:modified xsi:type="dcterms:W3CDTF">2022-06-08T01:54:22Z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5990140587CA4E2F838890BCD4DCD5DE</vt:lpwstr>
  </property>
</Properties>
</file>