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20" w:lineRule="atLeast"/>
        <w:rPr>
          <w:rFonts w:hint="eastAsia" w:ascii="宋体" w:hAnsi="宋体" w:eastAsia="宋体" w:cs="宋体"/>
          <w:sz w:val="32"/>
          <w:szCs w:val="32"/>
          <w:lang w:eastAsia="zh-CN"/>
        </w:rPr>
      </w:pPr>
      <w:r>
        <w:rPr>
          <w:rFonts w:hint="eastAsia" w:ascii="宋体" w:hAnsi="宋体" w:eastAsia="宋体" w:cs="宋体"/>
          <w:sz w:val="32"/>
          <w:szCs w:val="32"/>
          <w:lang w:eastAsia="zh-CN"/>
        </w:rPr>
        <w:t>附件：</w:t>
      </w:r>
    </w:p>
    <w:p>
      <w:pPr>
        <w:spacing w:line="220" w:lineRule="atLeast"/>
        <w:rPr>
          <w:rFonts w:hint="eastAsia" w:ascii="宋体" w:hAnsi="宋体" w:eastAsia="宋体" w:cs="宋体"/>
          <w:sz w:val="32"/>
          <w:szCs w:val="32"/>
          <w:lang w:eastAsia="zh-CN"/>
        </w:rPr>
      </w:pPr>
    </w:p>
    <w:p>
      <w:pPr>
        <w:spacing w:line="220" w:lineRule="atLeast"/>
        <w:jc w:val="center"/>
        <w:rPr>
          <w:rFonts w:hint="eastAsia" w:ascii="宋体" w:hAnsi="宋体" w:eastAsia="宋体" w:cs="宋体"/>
          <w:sz w:val="36"/>
          <w:szCs w:val="36"/>
          <w:lang w:eastAsia="zh-CN"/>
        </w:rPr>
      </w:pPr>
      <w:r>
        <w:rPr>
          <w:rFonts w:hint="eastAsia" w:ascii="宋体" w:hAnsi="宋体" w:eastAsia="宋体" w:cs="宋体"/>
          <w:sz w:val="36"/>
          <w:szCs w:val="36"/>
          <w:lang w:eastAsia="zh-CN"/>
        </w:rPr>
        <w:t>河北鹿泉经济开发区管理委员会固定资产占用情况表</w:t>
      </w:r>
    </w:p>
    <w:p>
      <w:pPr>
        <w:spacing w:line="220" w:lineRule="atLeast"/>
        <w:jc w:val="right"/>
        <w:rPr>
          <w:rFonts w:hint="eastAsia" w:ascii="宋体" w:hAnsi="宋体" w:eastAsia="宋体" w:cs="宋体"/>
          <w:sz w:val="36"/>
          <w:szCs w:val="36"/>
          <w:lang w:val="en-US" w:eastAsia="zh-CN"/>
        </w:rPr>
      </w:pPr>
      <w:r>
        <w:rPr>
          <w:rFonts w:hint="eastAsia" w:ascii="宋体" w:hAnsi="宋体" w:eastAsia="宋体" w:cs="宋体"/>
          <w:sz w:val="36"/>
          <w:szCs w:val="36"/>
          <w:lang w:val="en-US" w:eastAsia="zh-CN"/>
        </w:rPr>
        <w:t>2</w:t>
      </w:r>
      <w:bookmarkStart w:id="0" w:name="_GoBack"/>
      <w:bookmarkEnd w:id="0"/>
      <w:r>
        <w:rPr>
          <w:rFonts w:hint="eastAsia" w:ascii="宋体" w:hAnsi="宋体" w:eastAsia="宋体" w:cs="宋体"/>
          <w:sz w:val="36"/>
          <w:szCs w:val="36"/>
          <w:lang w:val="en-US" w:eastAsia="zh-CN"/>
        </w:rPr>
        <w:t>020年12月31日</w:t>
      </w:r>
    </w:p>
    <w:tbl>
      <w:tblPr>
        <w:tblStyle w:val="3"/>
        <w:tblW w:w="8970" w:type="dxa"/>
        <w:tblInd w:w="-35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69"/>
        <w:gridCol w:w="1496"/>
        <w:gridCol w:w="22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5269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项目</w:t>
            </w:r>
          </w:p>
        </w:tc>
        <w:tc>
          <w:tcPr>
            <w:tcW w:w="1496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数量</w:t>
            </w:r>
          </w:p>
        </w:tc>
        <w:tc>
          <w:tcPr>
            <w:tcW w:w="2205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价值（万元）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5" w:hRule="atLeast"/>
        </w:trPr>
        <w:tc>
          <w:tcPr>
            <w:tcW w:w="5269" w:type="dxa"/>
            <w:vAlign w:val="center"/>
          </w:tcPr>
          <w:p>
            <w:pPr>
              <w:widowControl w:val="0"/>
              <w:spacing w:line="220" w:lineRule="atLeast"/>
              <w:jc w:val="left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固定资产总额</w:t>
            </w:r>
          </w:p>
        </w:tc>
        <w:tc>
          <w:tcPr>
            <w:tcW w:w="1496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——</w:t>
            </w:r>
          </w:p>
        </w:tc>
        <w:tc>
          <w:tcPr>
            <w:tcW w:w="2205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default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2098.53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5" w:hRule="atLeast"/>
        </w:trPr>
        <w:tc>
          <w:tcPr>
            <w:tcW w:w="5269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（一）房屋及构筑物（平方米）</w:t>
            </w:r>
          </w:p>
        </w:tc>
        <w:tc>
          <w:tcPr>
            <w:tcW w:w="1496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default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16373.42</w:t>
            </w:r>
          </w:p>
        </w:tc>
        <w:tc>
          <w:tcPr>
            <w:tcW w:w="2205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——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</w:trPr>
        <w:tc>
          <w:tcPr>
            <w:tcW w:w="5269" w:type="dxa"/>
            <w:vAlign w:val="center"/>
          </w:tcPr>
          <w:p>
            <w:pPr>
              <w:widowControl w:val="0"/>
              <w:spacing w:line="220" w:lineRule="atLeast"/>
              <w:ind w:firstLine="960" w:firstLineChars="300"/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其中：办公用房</w:t>
            </w:r>
          </w:p>
        </w:tc>
        <w:tc>
          <w:tcPr>
            <w:tcW w:w="1496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default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16373.42</w:t>
            </w:r>
          </w:p>
        </w:tc>
        <w:tc>
          <w:tcPr>
            <w:tcW w:w="2205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——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0" w:hRule="atLeast"/>
        </w:trPr>
        <w:tc>
          <w:tcPr>
            <w:tcW w:w="5269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（二）通用设备（个、台、辆等）</w:t>
            </w:r>
          </w:p>
        </w:tc>
        <w:tc>
          <w:tcPr>
            <w:tcW w:w="1496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default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834</w:t>
            </w:r>
          </w:p>
        </w:tc>
        <w:tc>
          <w:tcPr>
            <w:tcW w:w="2205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default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693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5269" w:type="dxa"/>
            <w:vAlign w:val="center"/>
          </w:tcPr>
          <w:p>
            <w:pPr>
              <w:widowControl w:val="0"/>
              <w:spacing w:line="220" w:lineRule="atLeast"/>
              <w:ind w:firstLine="960" w:firstLineChars="300"/>
              <w:jc w:val="both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其中：车辆</w:t>
            </w:r>
          </w:p>
        </w:tc>
        <w:tc>
          <w:tcPr>
            <w:tcW w:w="1496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default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8</w:t>
            </w:r>
          </w:p>
        </w:tc>
        <w:tc>
          <w:tcPr>
            <w:tcW w:w="2205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default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144.42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5269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（三）专用设备（个、台等）</w:t>
            </w:r>
          </w:p>
        </w:tc>
        <w:tc>
          <w:tcPr>
            <w:tcW w:w="1496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default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482</w:t>
            </w:r>
          </w:p>
        </w:tc>
        <w:tc>
          <w:tcPr>
            <w:tcW w:w="2205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default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297.05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69" w:type="dxa"/>
            <w:vAlign w:val="center"/>
          </w:tcPr>
          <w:p>
            <w:pPr>
              <w:widowControl w:val="0"/>
              <w:spacing w:line="220" w:lineRule="atLeast"/>
              <w:ind w:firstLine="960" w:firstLineChars="300"/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 xml:space="preserve">   其中：单价100万（含）以上</w:t>
            </w:r>
          </w:p>
        </w:tc>
        <w:tc>
          <w:tcPr>
            <w:tcW w:w="1496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default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  <w:tc>
          <w:tcPr>
            <w:tcW w:w="2205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default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5269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（四）其他固定资产</w:t>
            </w:r>
          </w:p>
        </w:tc>
        <w:tc>
          <w:tcPr>
            <w:tcW w:w="1496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default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4890</w:t>
            </w:r>
          </w:p>
        </w:tc>
        <w:tc>
          <w:tcPr>
            <w:tcW w:w="2205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default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141.39</w:t>
            </w:r>
          </w:p>
        </w:tc>
      </w:tr>
    </w:tbl>
    <w:p>
      <w:pPr>
        <w:spacing w:line="220" w:lineRule="atLeast"/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nforcement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D31D50"/>
    <w:rsid w:val="00323B43"/>
    <w:rsid w:val="003D37D8"/>
    <w:rsid w:val="00426133"/>
    <w:rsid w:val="004358AB"/>
    <w:rsid w:val="008B7726"/>
    <w:rsid w:val="00D31D50"/>
    <w:rsid w:val="174240E5"/>
    <w:rsid w:val="4F407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="微软雅黑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7E2C7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1</Lines>
  <Paragraphs>1</Paragraphs>
  <TotalTime>98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Administrator</cp:lastModifiedBy>
  <dcterms:modified xsi:type="dcterms:W3CDTF">2021-10-22T06:07:10Z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