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r>
        <w:pict>
          <v:shape id="_x0000_s1026" o:spid="_x0000_s1026" o:spt="202" type="#_x0000_t202" style="position:absolute;left:0pt;margin-left:128.25pt;margin-top:619.9pt;height:40.75pt;width:167.85pt;z-index:251659264;mso-width-relative:page;mso-height-relative:page;" filled="f" stroked="f" coordsize="21600,21600">
            <v:path/>
            <v:fill on="f" focussize="0,0"/>
            <v:stroke on="f" weight="0.5pt" joinstyle="miter"/>
            <v:imagedata o:title=""/>
            <o:lock v:ext="edit"/>
            <v:textbox>
              <w:txbxContent>
                <w:p>
                  <w:pPr>
                    <w:jc w:val="center"/>
                    <w:rPr>
                      <w:rFonts w:ascii="楷体_GB2312" w:hAnsi="楷体_GB2312" w:eastAsia="楷体_GB2312" w:cs="楷体_GB2312"/>
                      <w:sz w:val="44"/>
                      <w:szCs w:val="52"/>
                    </w:rPr>
                  </w:pPr>
                  <w:r>
                    <w:rPr>
                      <w:rFonts w:ascii="楷体_GB2312" w:hAnsi="楷体_GB2312" w:eastAsia="楷体_GB2312" w:cs="楷体_GB2312"/>
                      <w:sz w:val="44"/>
                      <w:szCs w:val="52"/>
                    </w:rPr>
                    <w:t>2021</w:t>
                  </w:r>
                  <w:r>
                    <w:rPr>
                      <w:rFonts w:hint="eastAsia" w:ascii="楷体_GB2312" w:hAnsi="楷体_GB2312" w:eastAsia="楷体_GB2312" w:cs="楷体_GB2312"/>
                      <w:sz w:val="44"/>
                      <w:szCs w:val="52"/>
                    </w:rPr>
                    <w:t>年十月</w:t>
                  </w:r>
                </w:p>
              </w:txbxContent>
            </v:textbox>
          </v:shape>
        </w:pict>
      </w:r>
      <w:r>
        <w:pict>
          <v:shape id="图片 4" o:spid="_x0000_s1027" o:spt="75" alt="决算封面无" type="#_x0000_t75" style="position:absolute;left:0pt;margin-left:-78.55pt;margin-top:-107.1pt;height:845.65pt;width:597.8pt;z-index:-251656192;mso-width-relative:page;mso-height-relative:page;" filled="f" o:preferrelative="t" stroked="f" coordsize="21600,21600">
            <v:path/>
            <v:fill on="f" focussize="0,0"/>
            <v:stroke on="f" joinstyle="miter"/>
            <v:imagedata r:id="rId10" o:title=""/>
            <o:lock v:ext="edit" aspectratio="t"/>
          </v:shape>
        </w:pict>
      </w:r>
      <w:r>
        <w:br w:type="page"/>
      </w:r>
    </w:p>
    <w:p>
      <w:pPr>
        <w:rPr>
          <w:rFonts w:ascii="黑体" w:hAnsi="黑体" w:eastAsia="黑体" w:cs="黑体"/>
          <w:sz w:val="72"/>
          <w:szCs w:val="96"/>
        </w:rPr>
      </w:pPr>
    </w:p>
    <w:p>
      <w:pPr>
        <w:rPr>
          <w:rFonts w:ascii="黑体" w:hAnsi="黑体" w:eastAsia="黑体" w:cs="黑体"/>
          <w:sz w:val="72"/>
          <w:szCs w:val="96"/>
        </w:rPr>
      </w:pPr>
      <w:r>
        <w:rPr>
          <w:rFonts w:ascii="黑体" w:hAnsi="黑体" w:eastAsia="黑体" w:cs="黑体"/>
          <w:sz w:val="72"/>
          <w:szCs w:val="96"/>
        </w:rPr>
        <w:t>2020</w:t>
      </w:r>
      <w:r>
        <w:rPr>
          <w:rFonts w:hint="eastAsia" w:ascii="黑体" w:hAnsi="黑体" w:eastAsia="黑体" w:cs="黑体"/>
          <w:sz w:val="72"/>
          <w:szCs w:val="96"/>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石家庄市鹿泉区教育局</w:t>
      </w:r>
    </w:p>
    <w:p>
      <w:pPr>
        <w:snapToGrid w:val="0"/>
        <w:jc w:val="center"/>
        <w:rPr>
          <w:rFonts w:ascii="楷体_GB2312" w:hAnsi="楷体_GB2312" w:eastAsia="楷体_GB2312" w:cs="楷体_GB2312"/>
          <w:color w:val="000000"/>
          <w:kern w:val="0"/>
          <w:sz w:val="40"/>
          <w:szCs w:val="40"/>
        </w:rPr>
      </w:pPr>
      <w:r>
        <w:rPr>
          <w:rFonts w:hint="eastAsia" w:ascii="楷体_GB2312" w:hAnsi="楷体_GB2312" w:eastAsia="楷体_GB2312" w:cs="楷体_GB2312"/>
          <w:color w:val="000000"/>
          <w:kern w:val="0"/>
          <w:sz w:val="40"/>
          <w:szCs w:val="40"/>
        </w:rPr>
        <w:t>二〇二一年十月</w:t>
      </w:r>
    </w:p>
    <w:p>
      <w:pPr>
        <w:snapToGrid w:val="0"/>
        <w:jc w:val="center"/>
        <w:rPr>
          <w:rFonts w:ascii="楷体_GB2312" w:hAnsi="楷体_GB2312" w:eastAsia="楷体_GB2312" w:cs="楷体_GB2312"/>
          <w:color w:val="000000"/>
          <w:kern w:val="0"/>
          <w:sz w:val="40"/>
          <w:szCs w:val="40"/>
        </w:rPr>
      </w:pPr>
    </w:p>
    <w:p>
      <w:pPr>
        <w:jc w:val="center"/>
        <w:rPr>
          <w:rFonts w:ascii="黑体" w:hAnsi="黑体" w:eastAsia="黑体" w:cs="黑体"/>
          <w:sz w:val="72"/>
          <w:szCs w:val="96"/>
        </w:rPr>
      </w:pPr>
      <w:r>
        <w:rPr>
          <w:rFonts w:hint="eastAsia" w:ascii="黑体" w:hAnsi="黑体" w:eastAsia="黑体" w:cs="黑体"/>
          <w:sz w:val="72"/>
          <w:szCs w:val="96"/>
        </w:rPr>
        <w:t>石家庄市鹿泉区教育局</w:t>
      </w:r>
    </w:p>
    <w:p>
      <w:pPr>
        <w:rPr>
          <w:rFonts w:ascii="黑体" w:hAnsi="黑体" w:eastAsia="黑体" w:cs="黑体"/>
          <w:sz w:val="72"/>
          <w:szCs w:val="96"/>
        </w:rPr>
      </w:pPr>
      <w:r>
        <w:rPr>
          <w:rFonts w:ascii="黑体" w:hAnsi="黑体" w:eastAsia="黑体" w:cs="黑体"/>
          <w:sz w:val="72"/>
          <w:szCs w:val="96"/>
        </w:rPr>
        <w:t>2020</w:t>
      </w:r>
      <w:r>
        <w:rPr>
          <w:rFonts w:hint="eastAsia" w:ascii="黑体" w:hAnsi="黑体" w:eastAsia="黑体" w:cs="黑体"/>
          <w:sz w:val="72"/>
          <w:szCs w:val="96"/>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kern w:val="0"/>
          <w:sz w:val="40"/>
          <w:szCs w:val="40"/>
        </w:rPr>
        <w:t>二〇二一年十月</w:t>
      </w:r>
    </w:p>
    <w:p>
      <w:pPr>
        <w:rPr>
          <w:rFonts w:ascii="黑体" w:hAnsi="Times New Roman" w:eastAsia="黑体"/>
          <w:sz w:val="48"/>
          <w:szCs w:val="48"/>
        </w:rPr>
      </w:pPr>
      <w:r>
        <w:rPr>
          <w:rFonts w:ascii="黑体" w:hAnsi="Times New Roman" w:eastAsia="黑体"/>
          <w:sz w:val="48"/>
          <w:szCs w:val="48"/>
        </w:rPr>
        <w:br w:type="page"/>
      </w:r>
    </w:p>
    <w:p>
      <w:pPr>
        <w:tabs>
          <w:tab w:val="left" w:pos="2728"/>
        </w:tabs>
        <w:jc w:val="center"/>
        <w:rPr>
          <w:rFonts w:ascii="黑体" w:hAnsi="Times New Roman" w:eastAsia="黑体"/>
          <w:sz w:val="48"/>
          <w:szCs w:val="48"/>
        </w:rPr>
      </w:pPr>
      <w:r>
        <w:rPr>
          <w:rFonts w:hint="eastAsia" w:ascii="黑体" w:hAnsi="Times New Roman" w:eastAsia="黑体"/>
          <w:sz w:val="48"/>
          <w:szCs w:val="48"/>
        </w:rPr>
        <w:t>目</w:t>
      </w:r>
      <w:r>
        <w:rPr>
          <w:rFonts w:ascii="黑体" w:hAnsi="Times New Roman" w:eastAsia="黑体"/>
          <w:sz w:val="48"/>
          <w:szCs w:val="48"/>
        </w:rPr>
        <w:t xml:space="preserve">    </w:t>
      </w:r>
      <w:r>
        <w:rPr>
          <w:rFonts w:hint="eastAsia" w:ascii="黑体" w:hAnsi="Times New Roman" w:eastAsia="黑体"/>
          <w:sz w:val="48"/>
          <w:szCs w:val="48"/>
        </w:rPr>
        <w:t>录</w:t>
      </w:r>
    </w:p>
    <w:p>
      <w:pPr>
        <w:widowControl/>
        <w:spacing w:after="160" w:line="580" w:lineRule="exact"/>
        <w:ind w:firstLine="640" w:firstLineChars="200"/>
        <w:rPr>
          <w:rFonts w:ascii="Times New Roman" w:hAnsi="Times New Roman" w:eastAsia="黑体"/>
          <w:sz w:val="32"/>
          <w:szCs w:val="32"/>
        </w:rPr>
      </w:pPr>
    </w:p>
    <w:p>
      <w:pPr>
        <w:widowControl/>
        <w:spacing w:line="640" w:lineRule="exact"/>
        <w:ind w:firstLine="640" w:firstLineChars="200"/>
        <w:rPr>
          <w:rFonts w:ascii="Times New Roman" w:hAnsi="Times New Roman" w:eastAsia="仿宋_GB2312"/>
          <w:sz w:val="24"/>
          <w:szCs w:val="32"/>
        </w:rPr>
      </w:pPr>
      <w:r>
        <w:rPr>
          <w:rFonts w:hint="eastAsia" w:ascii="Times New Roman" w:hAnsi="Times New Roman" w:eastAsia="黑体"/>
          <w:sz w:val="32"/>
          <w:szCs w:val="32"/>
        </w:rPr>
        <w:t>第一部分</w:t>
      </w:r>
      <w:r>
        <w:rPr>
          <w:rFonts w:ascii="Times New Roman" w:hAnsi="Times New Roman" w:eastAsia="黑体"/>
          <w:sz w:val="32"/>
          <w:szCs w:val="32"/>
        </w:rPr>
        <w:t xml:space="preserve">   </w:t>
      </w:r>
      <w:r>
        <w:rPr>
          <w:rFonts w:hint="eastAsia" w:ascii="Times New Roman" w:hAnsi="Times New Roman" w:eastAsia="黑体"/>
          <w:sz w:val="32"/>
          <w:szCs w:val="32"/>
        </w:rPr>
        <w:t>部门概况</w:t>
      </w:r>
    </w:p>
    <w:p>
      <w:pPr>
        <w:widowControl/>
        <w:spacing w:line="640" w:lineRule="exact"/>
        <w:ind w:firstLine="1273" w:firstLineChars="398"/>
        <w:rPr>
          <w:rFonts w:ascii="Times New Roman" w:hAnsi="Times New Roman" w:eastAsia="仿宋_GB2312"/>
          <w:sz w:val="32"/>
          <w:szCs w:val="32"/>
        </w:rPr>
      </w:pPr>
      <w:r>
        <w:rPr>
          <w:rFonts w:hint="eastAsia" w:ascii="Times New Roman" w:hAnsi="Times New Roman" w:eastAsia="仿宋_GB2312"/>
          <w:sz w:val="32"/>
          <w:szCs w:val="32"/>
        </w:rPr>
        <w:t>一、部门职责</w:t>
      </w:r>
    </w:p>
    <w:p>
      <w:pPr>
        <w:widowControl/>
        <w:spacing w:line="640" w:lineRule="exact"/>
        <w:ind w:firstLine="1273" w:firstLineChars="398"/>
        <w:rPr>
          <w:rFonts w:ascii="Times New Roman" w:hAnsi="Times New Roman" w:eastAsia="仿宋_GB2312"/>
          <w:sz w:val="32"/>
          <w:szCs w:val="32"/>
        </w:rPr>
      </w:pPr>
      <w:r>
        <w:rPr>
          <w:rFonts w:hint="eastAsia" w:ascii="Times New Roman" w:hAnsi="Times New Roman" w:eastAsia="仿宋_GB2312"/>
          <w:sz w:val="32"/>
          <w:szCs w:val="32"/>
        </w:rPr>
        <w:t>二、机构设置</w:t>
      </w:r>
    </w:p>
    <w:p>
      <w:pPr>
        <w:widowControl/>
        <w:spacing w:line="64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第二部分</w:t>
      </w:r>
      <w:r>
        <w:rPr>
          <w:rFonts w:ascii="Times New Roman" w:hAnsi="Times New Roman" w:eastAsia="黑体"/>
          <w:sz w:val="32"/>
          <w:szCs w:val="32"/>
        </w:rPr>
        <w:t xml:space="preserve">   2020</w:t>
      </w:r>
      <w:r>
        <w:rPr>
          <w:rFonts w:hint="eastAsia" w:ascii="Times New Roman" w:hAnsi="Times New Roman" w:eastAsia="黑体"/>
          <w:sz w:val="32"/>
          <w:szCs w:val="32"/>
        </w:rPr>
        <w:t>年部门决算情况说明</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一、收入支出决算总体情况说明</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二、收入决算情况说明</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三、支出决算情况说明</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五、一般公共预算“三公”</w:t>
      </w:r>
      <w:r>
        <w:rPr>
          <w:rFonts w:ascii="Times New Roman" w:hAnsi="Times New Roman" w:eastAsia="仿宋_GB2312"/>
          <w:sz w:val="32"/>
          <w:szCs w:val="32"/>
        </w:rPr>
        <w:t xml:space="preserve"> </w:t>
      </w:r>
      <w:r>
        <w:rPr>
          <w:rFonts w:hint="eastAsia" w:ascii="Times New Roman" w:hAnsi="Times New Roman" w:eastAsia="仿宋_GB2312"/>
          <w:sz w:val="32"/>
          <w:szCs w:val="32"/>
        </w:rPr>
        <w:t>经费支出决算情况说明</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六、预算绩效情况说明</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七、机关运行经费情况</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八、政府采购情况</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九、国有资产占用情况</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十、其他需要说明的情况</w:t>
      </w:r>
    </w:p>
    <w:p>
      <w:pPr>
        <w:widowControl/>
        <w:spacing w:line="640" w:lineRule="exact"/>
        <w:ind w:firstLine="640" w:firstLineChars="200"/>
        <w:rPr>
          <w:rFonts w:ascii="Times New Roman" w:hAnsi="Times New Roman" w:eastAsia="仿宋_GB2312"/>
          <w:sz w:val="32"/>
          <w:szCs w:val="32"/>
        </w:rPr>
      </w:pPr>
      <w:r>
        <w:rPr>
          <w:rFonts w:hint="eastAsia" w:ascii="Times New Roman" w:hAnsi="Times New Roman" w:eastAsia="黑体"/>
          <w:sz w:val="32"/>
          <w:szCs w:val="32"/>
        </w:rPr>
        <w:t>第三部分</w:t>
      </w:r>
      <w:r>
        <w:rPr>
          <w:rFonts w:ascii="Times New Roman" w:hAnsi="Times New Roman" w:eastAsia="黑体"/>
          <w:sz w:val="32"/>
          <w:szCs w:val="32"/>
        </w:rPr>
        <w:t xml:space="preserve">   </w:t>
      </w:r>
      <w:r>
        <w:rPr>
          <w:rFonts w:hint="eastAsia" w:ascii="Times New Roman" w:hAnsi="Times New Roman" w:eastAsia="黑体"/>
          <w:sz w:val="32"/>
          <w:szCs w:val="32"/>
        </w:rPr>
        <w:t>名词解释</w:t>
      </w:r>
    </w:p>
    <w:p>
      <w:pPr>
        <w:widowControl/>
        <w:spacing w:line="640" w:lineRule="exact"/>
        <w:ind w:firstLine="640" w:firstLineChars="200"/>
        <w:rPr>
          <w:rFonts w:ascii="Times New Roman" w:hAnsi="Times New Roman" w:eastAsia="仿宋_GB2312"/>
          <w:sz w:val="20"/>
          <w:szCs w:val="32"/>
        </w:rPr>
      </w:pPr>
      <w:r>
        <w:rPr>
          <w:rFonts w:hint="eastAsia" w:ascii="Times New Roman" w:hAnsi="Times New Roman" w:eastAsia="黑体"/>
          <w:sz w:val="32"/>
          <w:szCs w:val="32"/>
        </w:rPr>
        <w:t>第四部分</w:t>
      </w:r>
      <w:r>
        <w:rPr>
          <w:rFonts w:ascii="Times New Roman" w:hAnsi="Times New Roman" w:eastAsia="黑体"/>
          <w:sz w:val="32"/>
          <w:szCs w:val="32"/>
        </w:rPr>
        <w:t xml:space="preserve">   2020</w:t>
      </w:r>
      <w:r>
        <w:rPr>
          <w:rFonts w:hint="eastAsia" w:ascii="Times New Roman" w:hAnsi="Times New Roman" w:eastAsia="黑体"/>
          <w:sz w:val="32"/>
          <w:szCs w:val="32"/>
        </w:rPr>
        <w:t>年度部门决算报表</w:t>
      </w:r>
    </w:p>
    <w:p>
      <w:pPr>
        <w:widowControl/>
        <w:spacing w:after="160" w:line="580" w:lineRule="exact"/>
        <w:ind w:firstLine="640" w:firstLineChars="200"/>
        <w:rPr>
          <w:rFonts w:ascii="Times New Roman" w:hAnsi="Times New Roman" w:eastAsia="黑体"/>
          <w:sz w:val="32"/>
          <w:szCs w:val="32"/>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pict>
          <v:shape id="_x0000_s1028" o:spid="_x0000_s1028" o:spt="202" type="#_x0000_t202" style="position:absolute;left:0pt;margin-left:-85.7pt;margin-top:80.7pt;height:263.1pt;width:613.65pt;z-index:251651072;v-text-anchor:middle;mso-width-relative:page;mso-height-relative:page;" fillcolor="#7F7F7F" filled="t" stroked="t" coordsize="21600,21600">
            <v:path/>
            <v:fill type="pattern" on="t" focussize="0,0"/>
            <v:stroke weight="1pt" color="#A6A6A6" joinstyle="round"/>
            <v:imagedata o:title=""/>
            <o:lock v:ext="edit"/>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w:t>
                  </w:r>
                  <w:r>
                    <w:rPr>
                      <w:rFonts w:ascii="黑体" w:hAnsi="黑体" w:eastAsia="黑体" w:cs="黑体"/>
                      <w:color w:val="000000"/>
                      <w:sz w:val="96"/>
                      <w:szCs w:val="96"/>
                    </w:rPr>
                    <w:t xml:space="preserve">  </w:t>
                  </w:r>
                  <w:r>
                    <w:rPr>
                      <w:rFonts w:hint="eastAsia" w:ascii="黑体" w:hAnsi="黑体" w:eastAsia="黑体" w:cs="黑体"/>
                      <w:color w:val="000000"/>
                      <w:sz w:val="96"/>
                      <w:szCs w:val="96"/>
                    </w:rPr>
                    <w:t>部门概况</w:t>
                  </w:r>
                </w:p>
              </w:txbxContent>
            </v:textbox>
          </v:shape>
        </w:pict>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keepLines/>
        <w:spacing w:line="580" w:lineRule="exact"/>
        <w:ind w:firstLine="640" w:firstLineChars="200"/>
        <w:jc w:val="left"/>
        <w:outlineLvl w:val="0"/>
        <w:rPr>
          <w:rFonts w:ascii="仿宋" w:hAnsi="仿宋" w:eastAsia="仿宋" w:cs="仿宋"/>
          <w:kern w:val="0"/>
          <w:sz w:val="32"/>
          <w:szCs w:val="32"/>
        </w:rPr>
      </w:pPr>
      <w:r>
        <w:rPr>
          <w:rFonts w:ascii="仿宋" w:hAnsi="仿宋" w:eastAsia="仿宋" w:cs="仿宋"/>
          <w:kern w:val="0"/>
          <w:sz w:val="32"/>
          <w:szCs w:val="32"/>
        </w:rPr>
        <w:t>1</w:t>
      </w:r>
      <w:r>
        <w:rPr>
          <w:rFonts w:hint="eastAsia" w:ascii="仿宋" w:hAnsi="仿宋" w:eastAsia="仿宋" w:cs="仿宋"/>
          <w:kern w:val="0"/>
          <w:sz w:val="32"/>
          <w:szCs w:val="32"/>
        </w:rPr>
        <w:t>、贯彻执行上级有关教育工作的法律、法规、方针和政策，制定具体实施办法和细则。</w:t>
      </w:r>
    </w:p>
    <w:p>
      <w:pPr>
        <w:keepNext/>
        <w:keepLines/>
        <w:spacing w:line="580" w:lineRule="exact"/>
        <w:ind w:firstLine="640" w:firstLineChars="200"/>
        <w:jc w:val="left"/>
        <w:outlineLvl w:val="0"/>
        <w:rPr>
          <w:rFonts w:ascii="仿宋" w:hAnsi="仿宋" w:eastAsia="仿宋" w:cs="仿宋"/>
          <w:kern w:val="0"/>
          <w:sz w:val="32"/>
          <w:szCs w:val="32"/>
        </w:rPr>
      </w:pPr>
      <w:r>
        <w:rPr>
          <w:rFonts w:ascii="仿宋" w:hAnsi="仿宋" w:eastAsia="仿宋" w:cs="仿宋"/>
          <w:kern w:val="0"/>
          <w:sz w:val="32"/>
          <w:szCs w:val="32"/>
        </w:rPr>
        <w:t>2</w:t>
      </w:r>
      <w:r>
        <w:rPr>
          <w:rFonts w:hint="eastAsia" w:ascii="仿宋" w:hAnsi="仿宋" w:eastAsia="仿宋" w:cs="仿宋"/>
          <w:kern w:val="0"/>
          <w:sz w:val="32"/>
          <w:szCs w:val="32"/>
        </w:rPr>
        <w:t>、按照教育发展要求和我区经济社会发展总体规划，制定全区教育事业发展规划、年度计划，并组织实施。</w:t>
      </w:r>
    </w:p>
    <w:p>
      <w:pPr>
        <w:keepNext/>
        <w:keepLines/>
        <w:spacing w:line="580" w:lineRule="exact"/>
        <w:ind w:firstLine="640" w:firstLineChars="200"/>
        <w:jc w:val="left"/>
        <w:outlineLvl w:val="0"/>
        <w:rPr>
          <w:rFonts w:ascii="仿宋" w:hAnsi="仿宋" w:eastAsia="仿宋" w:cs="仿宋"/>
          <w:kern w:val="0"/>
          <w:sz w:val="32"/>
          <w:szCs w:val="32"/>
        </w:rPr>
      </w:pPr>
      <w:r>
        <w:rPr>
          <w:rFonts w:ascii="仿宋" w:hAnsi="仿宋" w:eastAsia="仿宋" w:cs="仿宋"/>
          <w:kern w:val="0"/>
          <w:sz w:val="32"/>
          <w:szCs w:val="32"/>
        </w:rPr>
        <w:t>3</w:t>
      </w:r>
      <w:r>
        <w:rPr>
          <w:rFonts w:hint="eastAsia" w:ascii="仿宋" w:hAnsi="仿宋" w:eastAsia="仿宋" w:cs="仿宋"/>
          <w:kern w:val="0"/>
          <w:sz w:val="32"/>
          <w:szCs w:val="32"/>
        </w:rPr>
        <w:t>、负责推进义务教育均衡发展和促进教育公平，综合管理全区基础教育、职业技术教育、成人教育及幼儿教育、特殊教育等工作；审核管理权限内的学校的设置、更名和撤销并按程序报批负责教育督导与评估；负责全区语言文字工作。</w:t>
      </w:r>
    </w:p>
    <w:p>
      <w:pPr>
        <w:keepNext/>
        <w:keepLines/>
        <w:spacing w:line="580" w:lineRule="exact"/>
        <w:ind w:firstLine="640" w:firstLineChars="200"/>
        <w:jc w:val="left"/>
        <w:outlineLvl w:val="0"/>
        <w:rPr>
          <w:rFonts w:ascii="仿宋" w:hAnsi="仿宋" w:eastAsia="仿宋" w:cs="仿宋"/>
          <w:kern w:val="0"/>
          <w:sz w:val="32"/>
          <w:szCs w:val="32"/>
        </w:rPr>
      </w:pPr>
      <w:r>
        <w:rPr>
          <w:rFonts w:ascii="仿宋" w:hAnsi="仿宋" w:eastAsia="仿宋" w:cs="仿宋"/>
          <w:kern w:val="0"/>
          <w:sz w:val="32"/>
          <w:szCs w:val="32"/>
        </w:rPr>
        <w:t>4</w:t>
      </w:r>
      <w:r>
        <w:rPr>
          <w:rFonts w:hint="eastAsia" w:ascii="仿宋" w:hAnsi="仿宋" w:eastAsia="仿宋" w:cs="仿宋"/>
          <w:kern w:val="0"/>
          <w:sz w:val="32"/>
          <w:szCs w:val="32"/>
        </w:rPr>
        <w:t>、统筹规划、协调指导全区办学体制和学校内部管理体制改革，逐步建立与社会主义市场经济相适应的教育体制与运行机制。</w:t>
      </w:r>
    </w:p>
    <w:p>
      <w:pPr>
        <w:keepNext/>
        <w:keepLines/>
        <w:spacing w:line="580" w:lineRule="exact"/>
        <w:ind w:firstLine="640" w:firstLineChars="200"/>
        <w:jc w:val="left"/>
        <w:outlineLvl w:val="0"/>
        <w:rPr>
          <w:rFonts w:ascii="仿宋" w:hAnsi="仿宋" w:eastAsia="仿宋" w:cs="仿宋"/>
          <w:kern w:val="0"/>
          <w:sz w:val="32"/>
          <w:szCs w:val="32"/>
        </w:rPr>
      </w:pPr>
      <w:r>
        <w:rPr>
          <w:rFonts w:ascii="仿宋" w:hAnsi="仿宋" w:eastAsia="仿宋" w:cs="仿宋"/>
          <w:kern w:val="0"/>
          <w:sz w:val="32"/>
          <w:szCs w:val="32"/>
        </w:rPr>
        <w:t>5</w:t>
      </w:r>
      <w:r>
        <w:rPr>
          <w:rFonts w:hint="eastAsia" w:ascii="仿宋" w:hAnsi="仿宋" w:eastAsia="仿宋" w:cs="仿宋"/>
          <w:kern w:val="0"/>
          <w:sz w:val="32"/>
          <w:szCs w:val="32"/>
        </w:rPr>
        <w:t>、加强教育行政干部队伍建设；积极开展各类继续教育工作；负责管理权限内，教师专业技术职称评聘工作。</w:t>
      </w:r>
    </w:p>
    <w:p>
      <w:pPr>
        <w:keepNext/>
        <w:keepLines/>
        <w:spacing w:line="580" w:lineRule="exact"/>
        <w:ind w:firstLine="640" w:firstLineChars="200"/>
        <w:jc w:val="left"/>
        <w:outlineLvl w:val="0"/>
        <w:rPr>
          <w:rFonts w:ascii="仿宋" w:hAnsi="仿宋" w:eastAsia="仿宋" w:cs="仿宋"/>
          <w:kern w:val="0"/>
          <w:sz w:val="32"/>
          <w:szCs w:val="32"/>
        </w:rPr>
      </w:pPr>
      <w:r>
        <w:rPr>
          <w:rFonts w:ascii="仿宋" w:hAnsi="仿宋" w:eastAsia="仿宋" w:cs="仿宋"/>
          <w:kern w:val="0"/>
          <w:sz w:val="32"/>
          <w:szCs w:val="32"/>
        </w:rPr>
        <w:t>6</w:t>
      </w:r>
      <w:r>
        <w:rPr>
          <w:rFonts w:hint="eastAsia" w:ascii="仿宋" w:hAnsi="仿宋" w:eastAsia="仿宋" w:cs="仿宋"/>
          <w:kern w:val="0"/>
          <w:sz w:val="32"/>
          <w:szCs w:val="32"/>
        </w:rPr>
        <w:t>、统筹规划使用教育经费，加强审计，提高教育经费的使用效益，改善全区办学条件。做好校舍建设的规划实施，合理调整农村中小学布局。组织指导教学设备的购置、使用和管理。</w:t>
      </w:r>
    </w:p>
    <w:p>
      <w:pPr>
        <w:keepNext/>
        <w:keepLines/>
        <w:spacing w:line="580" w:lineRule="exact"/>
        <w:ind w:firstLine="640" w:firstLineChars="200"/>
        <w:jc w:val="left"/>
        <w:outlineLvl w:val="0"/>
        <w:rPr>
          <w:rFonts w:ascii="仿宋" w:hAnsi="仿宋" w:eastAsia="仿宋" w:cs="仿宋"/>
          <w:kern w:val="0"/>
          <w:sz w:val="32"/>
          <w:szCs w:val="32"/>
        </w:rPr>
      </w:pPr>
      <w:r>
        <w:rPr>
          <w:rFonts w:ascii="仿宋" w:hAnsi="仿宋" w:eastAsia="仿宋" w:cs="仿宋"/>
          <w:kern w:val="0"/>
          <w:sz w:val="32"/>
          <w:szCs w:val="32"/>
        </w:rPr>
        <w:t>7</w:t>
      </w:r>
      <w:r>
        <w:rPr>
          <w:rFonts w:hint="eastAsia" w:ascii="仿宋" w:hAnsi="仿宋" w:eastAsia="仿宋" w:cs="仿宋"/>
          <w:kern w:val="0"/>
          <w:sz w:val="32"/>
          <w:szCs w:val="32"/>
        </w:rPr>
        <w:t>、指导各级各类学校的德育、智育、体育、美育、劳动教育、艺术教育、国防教育和法制教育工作；指导学校开展教育教学研究；统筹规划、协调指导远程教育和教育信息化工作。</w:t>
      </w:r>
    </w:p>
    <w:p>
      <w:pPr>
        <w:keepNext/>
        <w:keepLines/>
        <w:spacing w:line="580" w:lineRule="exact"/>
        <w:ind w:firstLine="640" w:firstLineChars="200"/>
        <w:jc w:val="left"/>
        <w:outlineLvl w:val="0"/>
        <w:rPr>
          <w:rFonts w:ascii="仿宋" w:hAnsi="仿宋" w:eastAsia="仿宋" w:cs="仿宋"/>
          <w:kern w:val="0"/>
          <w:sz w:val="32"/>
          <w:szCs w:val="32"/>
        </w:rPr>
      </w:pPr>
      <w:r>
        <w:rPr>
          <w:rFonts w:ascii="仿宋" w:hAnsi="仿宋" w:eastAsia="仿宋" w:cs="仿宋"/>
          <w:kern w:val="0"/>
          <w:sz w:val="32"/>
          <w:szCs w:val="32"/>
        </w:rPr>
        <w:t>8</w:t>
      </w:r>
      <w:r>
        <w:rPr>
          <w:rFonts w:hint="eastAsia" w:ascii="仿宋" w:hAnsi="仿宋" w:eastAsia="仿宋" w:cs="仿宋"/>
          <w:kern w:val="0"/>
          <w:sz w:val="32"/>
          <w:szCs w:val="32"/>
        </w:rPr>
        <w:t>、负责教师资格认定相关工作。</w:t>
      </w:r>
    </w:p>
    <w:p>
      <w:pPr>
        <w:keepNext/>
        <w:keepLines/>
        <w:spacing w:line="580" w:lineRule="exact"/>
        <w:ind w:firstLine="640" w:firstLineChars="200"/>
        <w:jc w:val="left"/>
        <w:outlineLvl w:val="0"/>
        <w:rPr>
          <w:rFonts w:ascii="仿宋" w:hAnsi="仿宋" w:eastAsia="仿宋" w:cs="仿宋"/>
          <w:kern w:val="0"/>
          <w:sz w:val="32"/>
          <w:szCs w:val="32"/>
        </w:rPr>
      </w:pPr>
      <w:r>
        <w:rPr>
          <w:rFonts w:ascii="仿宋" w:hAnsi="仿宋" w:eastAsia="仿宋" w:cs="仿宋"/>
          <w:kern w:val="0"/>
          <w:sz w:val="32"/>
          <w:szCs w:val="32"/>
        </w:rPr>
        <w:t>9</w:t>
      </w:r>
      <w:r>
        <w:rPr>
          <w:rFonts w:hint="eastAsia" w:ascii="仿宋" w:hAnsi="仿宋" w:eastAsia="仿宋" w:cs="仿宋"/>
          <w:kern w:val="0"/>
          <w:sz w:val="32"/>
          <w:szCs w:val="32"/>
        </w:rPr>
        <w:t>、组织全区各级各类学校的招生报名、考试和自考、成考工作。</w:t>
      </w:r>
    </w:p>
    <w:p>
      <w:pPr>
        <w:keepNext/>
        <w:keepLines/>
        <w:spacing w:line="580" w:lineRule="exact"/>
        <w:ind w:firstLine="640" w:firstLineChars="200"/>
        <w:jc w:val="left"/>
        <w:outlineLvl w:val="0"/>
        <w:rPr>
          <w:rFonts w:ascii="仿宋" w:hAnsi="仿宋" w:eastAsia="仿宋" w:cs="仿宋"/>
          <w:kern w:val="0"/>
          <w:sz w:val="32"/>
          <w:szCs w:val="32"/>
        </w:rPr>
      </w:pPr>
      <w:r>
        <w:rPr>
          <w:rFonts w:ascii="仿宋" w:hAnsi="仿宋" w:eastAsia="仿宋" w:cs="仿宋"/>
          <w:kern w:val="0"/>
          <w:sz w:val="32"/>
          <w:szCs w:val="32"/>
        </w:rPr>
        <w:t>10</w:t>
      </w:r>
      <w:r>
        <w:rPr>
          <w:rFonts w:hint="eastAsia" w:ascii="仿宋" w:hAnsi="仿宋" w:eastAsia="仿宋" w:cs="仿宋"/>
          <w:kern w:val="0"/>
          <w:sz w:val="32"/>
          <w:szCs w:val="32"/>
        </w:rPr>
        <w:t>、负责全区教育系统安全和维护稳定工作；会同有关部门开展学校安全、学校及周边环境治理、预防青少年犯罪工作；指导、协调教育系统重大安全事故的处理。</w:t>
      </w:r>
    </w:p>
    <w:p>
      <w:pPr>
        <w:keepNext/>
        <w:keepLines/>
        <w:spacing w:line="580" w:lineRule="exact"/>
        <w:ind w:firstLine="640" w:firstLineChars="200"/>
        <w:jc w:val="left"/>
        <w:outlineLvl w:val="0"/>
        <w:rPr>
          <w:rFonts w:ascii="仿宋" w:hAnsi="仿宋" w:eastAsia="仿宋" w:cs="仿宋"/>
          <w:kern w:val="0"/>
          <w:sz w:val="32"/>
          <w:szCs w:val="32"/>
        </w:rPr>
      </w:pPr>
      <w:r>
        <w:rPr>
          <w:rFonts w:ascii="仿宋" w:hAnsi="仿宋" w:eastAsia="仿宋" w:cs="仿宋"/>
          <w:kern w:val="0"/>
          <w:sz w:val="32"/>
          <w:szCs w:val="32"/>
        </w:rPr>
        <w:t>11</w:t>
      </w:r>
      <w:r>
        <w:rPr>
          <w:rFonts w:hint="eastAsia" w:ascii="仿宋" w:hAnsi="仿宋" w:eastAsia="仿宋" w:cs="仿宋"/>
          <w:kern w:val="0"/>
          <w:sz w:val="32"/>
          <w:szCs w:val="32"/>
        </w:rPr>
        <w:t>、加强对社会力量办学指导和监督。负责个人或其他组织举办的中等以下（中专类除外）学校的审批和中等学校的报审工作。</w:t>
      </w:r>
    </w:p>
    <w:p>
      <w:pPr>
        <w:widowControl/>
        <w:spacing w:line="580" w:lineRule="exact"/>
        <w:ind w:firstLine="640" w:firstLineChars="200"/>
        <w:rPr>
          <w:rFonts w:ascii="黑体" w:eastAsia="黑体" w:cs="黑体"/>
          <w:kern w:val="0"/>
          <w:sz w:val="32"/>
          <w:szCs w:val="32"/>
        </w:rPr>
      </w:pPr>
      <w:r>
        <w:rPr>
          <w:rFonts w:ascii="仿宋" w:hAnsi="仿宋" w:eastAsia="仿宋" w:cs="仿宋"/>
          <w:kern w:val="0"/>
          <w:sz w:val="32"/>
          <w:szCs w:val="32"/>
        </w:rPr>
        <w:t>12</w:t>
      </w:r>
      <w:r>
        <w:rPr>
          <w:rFonts w:hint="eastAsia" w:ascii="仿宋" w:hAnsi="仿宋" w:eastAsia="仿宋" w:cs="仿宋"/>
          <w:kern w:val="0"/>
          <w:sz w:val="32"/>
          <w:szCs w:val="32"/>
        </w:rPr>
        <w:t>、承办区政府交办的其他工作</w:t>
      </w:r>
      <w:r>
        <w:rPr>
          <w:rFonts w:hint="eastAsia" w:ascii="黑体" w:eastAsia="黑体" w:cs="黑体"/>
          <w:kern w:val="0"/>
          <w:sz w:val="32"/>
          <w:szCs w:val="32"/>
        </w:rPr>
        <w:t>。</w:t>
      </w:r>
    </w:p>
    <w:p>
      <w:pPr>
        <w:keepNext/>
        <w:keepLines/>
        <w:spacing w:line="580" w:lineRule="exact"/>
        <w:ind w:firstLine="640" w:firstLineChars="200"/>
        <w:jc w:val="left"/>
        <w:outlineLvl w:val="0"/>
        <w:rPr>
          <w:rFonts w:ascii="黑体" w:eastAsia="黑体" w:cs="黑体"/>
          <w:kern w:val="0"/>
          <w:sz w:val="32"/>
          <w:szCs w:val="32"/>
        </w:rPr>
      </w:pPr>
      <w:r>
        <w:rPr>
          <w:rFonts w:hint="eastAsia" w:ascii="黑体" w:eastAsia="黑体" w:cs="黑体"/>
          <w:kern w:val="0"/>
          <w:sz w:val="32"/>
          <w:szCs w:val="32"/>
        </w:rPr>
        <w:t>二、机构设置</w:t>
      </w:r>
    </w:p>
    <w:p>
      <w:pPr>
        <w:spacing w:line="580" w:lineRule="exact"/>
        <w:ind w:firstLine="640" w:firstLineChars="200"/>
        <w:rPr>
          <w:rFonts w:ascii="仿宋_GB2312" w:eastAsia="仿宋_GB2312" w:cs="Arial Black"/>
          <w:kern w:val="0"/>
          <w:sz w:val="32"/>
          <w:szCs w:val="32"/>
        </w:rPr>
      </w:pPr>
      <w:r>
        <w:rPr>
          <w:rFonts w:hint="eastAsia" w:ascii="仿宋_GB2312" w:eastAsia="仿宋_GB2312" w:cs="Arial Black"/>
          <w:kern w:val="0"/>
          <w:sz w:val="32"/>
          <w:szCs w:val="32"/>
        </w:rPr>
        <w:t>从决算编报单位构成看，纳入</w:t>
      </w:r>
      <w:r>
        <w:rPr>
          <w:rFonts w:ascii="仿宋_GB2312" w:eastAsia="仿宋_GB2312" w:cs="Arial Black"/>
          <w:kern w:val="0"/>
          <w:sz w:val="32"/>
          <w:szCs w:val="32"/>
        </w:rPr>
        <w:t>2020</w:t>
      </w:r>
      <w:r>
        <w:rPr>
          <w:rFonts w:hint="eastAsia" w:ascii="仿宋_GB2312" w:eastAsia="仿宋_GB2312" w:cs="Arial Black"/>
          <w:kern w:val="0"/>
          <w:sz w:val="32"/>
          <w:szCs w:val="32"/>
        </w:rPr>
        <w:t>年度本部门决算汇编范围的独立核算单位（以下简称“单位”）共</w:t>
      </w:r>
      <w:r>
        <w:rPr>
          <w:rFonts w:ascii="仿宋_GB2312" w:eastAsia="仿宋_GB2312" w:cs="Arial Black"/>
          <w:kern w:val="0"/>
          <w:sz w:val="32"/>
          <w:szCs w:val="32"/>
        </w:rPr>
        <w:t>1</w:t>
      </w:r>
      <w:r>
        <w:rPr>
          <w:rFonts w:hint="eastAsia" w:ascii="仿宋_GB2312" w:eastAsia="仿宋_GB2312" w:cs="Arial Black"/>
          <w:kern w:val="0"/>
          <w:sz w:val="32"/>
          <w:szCs w:val="32"/>
        </w:rPr>
        <w:t>个，具体情况如下：</w:t>
      </w:r>
    </w:p>
    <w:tbl>
      <w:tblPr>
        <w:tblStyle w:val="6"/>
        <w:tblpPr w:leftFromText="180" w:rightFromText="180" w:vertAnchor="text" w:horzAnchor="page" w:tblpXSpec="center" w:tblpY="10"/>
        <w:tblOverlap w:val="never"/>
        <w:tblW w:w="942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3" w:hRule="atLeast"/>
          <w:jc w:val="center"/>
        </w:trPr>
        <w:tc>
          <w:tcPr>
            <w:tcW w:w="968"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序号</w:t>
            </w:r>
          </w:p>
        </w:tc>
        <w:tc>
          <w:tcPr>
            <w:tcW w:w="3426"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单位名称</w:t>
            </w:r>
          </w:p>
        </w:tc>
        <w:tc>
          <w:tcPr>
            <w:tcW w:w="2404"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单位基本性质</w:t>
            </w:r>
          </w:p>
        </w:tc>
        <w:tc>
          <w:tcPr>
            <w:tcW w:w="2622"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eastAsia="仿宋_GB2312" w:cs="Arial Black"/>
                <w:kern w:val="0"/>
                <w:sz w:val="28"/>
                <w:szCs w:val="28"/>
              </w:rPr>
            </w:pPr>
            <w:r>
              <w:rPr>
                <w:rFonts w:ascii="仿宋_GB2312" w:eastAsia="仿宋_GB2312" w:cs="Arial Black"/>
                <w:kern w:val="0"/>
                <w:sz w:val="28"/>
                <w:szCs w:val="28"/>
              </w:rPr>
              <w:t>1</w:t>
            </w:r>
          </w:p>
        </w:tc>
        <w:tc>
          <w:tcPr>
            <w:tcW w:w="3426" w:type="dxa"/>
          </w:tcPr>
          <w:p>
            <w:pPr>
              <w:spacing w:line="560" w:lineRule="exact"/>
              <w:rPr>
                <w:rFonts w:ascii="仿宋_GB2312" w:eastAsia="仿宋_GB2312" w:cs="Arial Black"/>
                <w:kern w:val="0"/>
                <w:sz w:val="28"/>
                <w:szCs w:val="28"/>
              </w:rPr>
            </w:pPr>
            <w:r>
              <w:rPr>
                <w:rFonts w:hint="eastAsia" w:ascii="仿宋_GB2312" w:eastAsia="仿宋_GB2312" w:cs="ArialUnicodeMS"/>
                <w:kern w:val="0"/>
                <w:sz w:val="28"/>
                <w:szCs w:val="28"/>
              </w:rPr>
              <w:t>石家庄市鹿泉区教育局</w:t>
            </w:r>
            <w:r>
              <w:rPr>
                <w:rFonts w:ascii="仿宋_GB2312" w:eastAsia="仿宋_GB2312" w:cs="Arial Black"/>
                <w:kern w:val="0"/>
                <w:sz w:val="28"/>
                <w:szCs w:val="28"/>
              </w:rPr>
              <w:t>(</w:t>
            </w:r>
            <w:r>
              <w:rPr>
                <w:rFonts w:hint="eastAsia" w:ascii="仿宋_GB2312" w:eastAsia="仿宋_GB2312" w:cs="Arial Black"/>
                <w:kern w:val="0"/>
                <w:sz w:val="28"/>
                <w:szCs w:val="28"/>
              </w:rPr>
              <w:t>本级</w:t>
            </w:r>
            <w:r>
              <w:rPr>
                <w:rFonts w:ascii="仿宋_GB2312" w:eastAsia="仿宋_GB2312" w:cs="Arial Black"/>
                <w:kern w:val="0"/>
                <w:sz w:val="28"/>
                <w:szCs w:val="28"/>
              </w:rPr>
              <w:t>)</w:t>
            </w:r>
          </w:p>
        </w:tc>
        <w:tc>
          <w:tcPr>
            <w:tcW w:w="2404" w:type="dxa"/>
          </w:tcPr>
          <w:p>
            <w:pPr>
              <w:spacing w:line="560" w:lineRule="exact"/>
              <w:jc w:val="center"/>
              <w:rPr>
                <w:rFonts w:ascii="仿宋_GB2312" w:eastAsia="仿宋_GB2312" w:cs="Arial Black"/>
                <w:kern w:val="0"/>
                <w:sz w:val="28"/>
                <w:szCs w:val="28"/>
              </w:rPr>
            </w:pPr>
            <w:r>
              <w:rPr>
                <w:rFonts w:hint="eastAsia" w:ascii="仿宋_GB2312" w:eastAsia="仿宋_GB2312" w:cs="ArialUnicodeMS"/>
                <w:kern w:val="0"/>
                <w:sz w:val="28"/>
                <w:szCs w:val="28"/>
              </w:rPr>
              <w:t>行政单位</w:t>
            </w:r>
          </w:p>
        </w:tc>
        <w:tc>
          <w:tcPr>
            <w:tcW w:w="2622" w:type="dxa"/>
          </w:tcPr>
          <w:p>
            <w:pPr>
              <w:spacing w:line="560" w:lineRule="exact"/>
              <w:jc w:val="center"/>
              <w:rPr>
                <w:rFonts w:ascii="仿宋_GB2312" w:eastAsia="仿宋_GB2312" w:cs="Arial Black"/>
                <w:kern w:val="0"/>
                <w:sz w:val="28"/>
                <w:szCs w:val="28"/>
              </w:rPr>
            </w:pPr>
            <w:r>
              <w:rPr>
                <w:rFonts w:hint="eastAsia" w:ascii="仿宋_GB2312" w:eastAsia="仿宋_GB2312" w:cs="Arial Black"/>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2" w:hRule="atLeast"/>
          <w:jc w:val="center"/>
        </w:trPr>
        <w:tc>
          <w:tcPr>
            <w:tcW w:w="9420" w:type="dxa"/>
            <w:gridSpan w:val="4"/>
            <w:tcBorders>
              <w:left w:val="nil"/>
              <w:bottom w:val="nil"/>
              <w:right w:val="nil"/>
            </w:tcBorders>
          </w:tcPr>
          <w:p>
            <w:pPr>
              <w:spacing w:line="560" w:lineRule="exact"/>
              <w:jc w:val="left"/>
              <w:rPr>
                <w:rFonts w:ascii="仿宋_GB2312" w:eastAsia="仿宋_GB2312" w:cs="Arial Black"/>
                <w:kern w:val="0"/>
                <w:sz w:val="28"/>
                <w:szCs w:val="28"/>
              </w:rPr>
            </w:pPr>
            <w:r>
              <w:rPr>
                <w:rFonts w:hint="eastAsia" w:ascii="仿宋_GB2312" w:eastAsia="仿宋_GB2312" w:cs="Arial Black"/>
                <w:kern w:val="0"/>
                <w:sz w:val="28"/>
                <w:szCs w:val="28"/>
              </w:rPr>
              <w:t>注：</w:t>
            </w:r>
            <w:r>
              <w:rPr>
                <w:rFonts w:ascii="仿宋_GB2312" w:eastAsia="仿宋_GB2312" w:cs="Arial Black"/>
                <w:kern w:val="0"/>
                <w:sz w:val="28"/>
                <w:szCs w:val="28"/>
              </w:rPr>
              <w:t>1</w:t>
            </w:r>
            <w:r>
              <w:rPr>
                <w:rFonts w:hint="eastAsia" w:ascii="仿宋_GB2312" w:eastAsia="仿宋_GB2312" w:cs="Arial Black"/>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Arial Black"/>
                <w:kern w:val="0"/>
                <w:sz w:val="28"/>
                <w:szCs w:val="28"/>
              </w:rPr>
            </w:pPr>
            <w:r>
              <w:rPr>
                <w:rFonts w:ascii="仿宋_GB2312" w:eastAsia="仿宋_GB2312" w:cs="Arial Black"/>
                <w:kern w:val="0"/>
                <w:sz w:val="28"/>
                <w:szCs w:val="28"/>
              </w:rPr>
              <w:t>2</w:t>
            </w:r>
            <w:r>
              <w:rPr>
                <w:rFonts w:hint="eastAsia" w:ascii="仿宋_GB2312" w:eastAsia="仿宋_GB2312" w:cs="Arial Black"/>
                <w:kern w:val="0"/>
                <w:sz w:val="28"/>
                <w:szCs w:val="28"/>
              </w:rPr>
              <w:t>、经费形式分为财政拨款、财政性资金基本保证、财政性资金定额或定项补助、财政性资金零补助四类。</w:t>
            </w:r>
          </w:p>
        </w:tc>
      </w:tr>
    </w:tbl>
    <w:p>
      <w:pPr>
        <w:widowControl/>
        <w:spacing w:after="160" w:line="580" w:lineRule="exact"/>
        <w:rPr>
          <w:rFonts w:ascii="Times New Roman" w:hAnsi="Times New Roman" w:eastAsia="黑体"/>
          <w:sz w:val="32"/>
          <w:szCs w:val="32"/>
        </w:rPr>
        <w:sectPr>
          <w:headerReference r:id="rId7" w:type="default"/>
          <w:pgSz w:w="11906" w:h="16838"/>
          <w:pgMar w:top="2098" w:right="1531" w:bottom="1984" w:left="1531" w:header="851" w:footer="992" w:gutter="0"/>
          <w:pgNumType w:fmt="numberInDash"/>
          <w:cols w:space="0" w:num="1"/>
          <w:titlePg/>
          <w:docGrid w:type="lines" w:linePitch="312" w:charSpace="0"/>
        </w:sectPr>
      </w:pPr>
      <w:r>
        <w:pict>
          <v:shape id="_x0000_s1029" o:spid="_x0000_s1029" o:spt="202" type="#_x0000_t202" style="position:absolute;left:0pt;margin-left:-85.7pt;margin-top:238.15pt;height:173.25pt;width:613.65pt;z-index:251655168;mso-width-relative:page;mso-height-relative:page;" filled="f" stroked="f" coordsize="21600,21600">
            <v:path/>
            <v:fill on="f" focussize="0,0"/>
            <v:stroke on="f" weight="0.5pt" joinstyle="miter"/>
            <v:imagedata o:title=""/>
            <o:lock v:ext="edit"/>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pict>
          <v:shape id="_x0000_s1030" o:spid="_x0000_s1030" o:spt="202" type="#_x0000_t202" style="position:absolute;left:0pt;margin-left:-80.95pt;margin-top:-207.65pt;height:263.1pt;width:613.65pt;z-index:251656192;v-text-anchor:middle;mso-width-relative:page;mso-height-relative:page;" fillcolor="#7F7F7F" filled="t" stroked="t" coordsize="21600,21600">
            <v:path/>
            <v:fill type="pattern" on="t" focussize="0,0"/>
            <v:stroke weight="1pt" color="#A6A6A6" joinstyle="round"/>
            <v:imagedata o:title=""/>
            <o:lock v:ext="edit"/>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第二部分</w:t>
                  </w:r>
                  <w:r>
                    <w:rPr>
                      <w:rFonts w:ascii="黑体" w:hAnsi="黑体" w:eastAsia="黑体" w:cs="黑体"/>
                      <w:color w:val="000000"/>
                      <w:sz w:val="90"/>
                      <w:szCs w:val="90"/>
                    </w:rPr>
                    <w:t xml:space="preserve"> </w:t>
                  </w:r>
                </w:p>
                <w:p>
                  <w:pPr>
                    <w:widowControl/>
                    <w:jc w:val="center"/>
                    <w:rPr>
                      <w:rFonts w:ascii="黑体" w:hAnsi="黑体" w:eastAsia="黑体" w:cs="黑体"/>
                      <w:color w:val="000000"/>
                      <w:sz w:val="90"/>
                      <w:szCs w:val="90"/>
                    </w:rPr>
                  </w:pPr>
                  <w:r>
                    <w:rPr>
                      <w:rFonts w:ascii="黑体" w:hAnsi="黑体" w:eastAsia="黑体" w:cs="黑体"/>
                      <w:color w:val="000000"/>
                      <w:sz w:val="90"/>
                      <w:szCs w:val="90"/>
                    </w:rPr>
                    <w:t>2020</w:t>
                  </w:r>
                  <w:r>
                    <w:rPr>
                      <w:rFonts w:hint="eastAsia" w:ascii="黑体" w:hAnsi="黑体" w:eastAsia="黑体" w:cs="黑体"/>
                      <w:color w:val="000000"/>
                      <w:sz w:val="90"/>
                      <w:szCs w:val="90"/>
                    </w:rPr>
                    <w:t>年部门决算情况说明</w:t>
                  </w:r>
                </w:p>
                <w:p>
                  <w:pPr>
                    <w:widowControl/>
                    <w:jc w:val="center"/>
                  </w:pPr>
                </w:p>
                <w:p/>
              </w:txbxContent>
            </v:textbox>
          </v:shape>
        </w:pic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eastAsia="黑体"/>
          <w:sz w:val="32"/>
          <w:szCs w:val="32"/>
        </w:rPr>
      </w:pPr>
      <w:r>
        <w:br w:type="page"/>
      </w:r>
      <w:r>
        <w:rPr>
          <w:rFonts w:hint="eastAsia" w:ascii="黑体" w:eastAsia="黑体"/>
          <w:sz w:val="32"/>
          <w:szCs w:val="32"/>
        </w:rPr>
        <w:t>一、收入</w:t>
      </w:r>
      <w:r>
        <w:rPr>
          <w:rFonts w:hint="eastAsia" w:ascii="黑体" w:hAnsi="Cambria" w:eastAsia="黑体" w:cs="黑体"/>
          <w:kern w:val="0"/>
          <w:sz w:val="32"/>
          <w:szCs w:val="32"/>
        </w:rPr>
        <w:t>支出</w:t>
      </w:r>
      <w:r>
        <w:rPr>
          <w:rFonts w:hint="eastAsia" w:ascii="黑体" w:eastAsia="黑体"/>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本单位</w:t>
      </w:r>
      <w:r>
        <w:rPr>
          <w:rFonts w:ascii="仿宋_GB2312" w:hAnsi="Times New Roman" w:eastAsia="仿宋_GB2312" w:cs="Wingdings"/>
          <w:sz w:val="32"/>
          <w:szCs w:val="32"/>
        </w:rPr>
        <w:t>2020</w:t>
      </w:r>
      <w:r>
        <w:rPr>
          <w:rFonts w:hint="eastAsia" w:ascii="仿宋_GB2312" w:hAnsi="Times New Roman" w:eastAsia="仿宋_GB2312" w:cs="Wingdings"/>
          <w:sz w:val="32"/>
          <w:szCs w:val="32"/>
        </w:rPr>
        <w:t>年度收、支总计（含结转和结余）</w:t>
      </w:r>
      <w:r>
        <w:rPr>
          <w:rFonts w:ascii="仿宋_GB2312" w:hAnsi="Times New Roman" w:eastAsia="仿宋_GB2312" w:cs="Wingdings"/>
          <w:sz w:val="32"/>
          <w:szCs w:val="32"/>
        </w:rPr>
        <w:t>1539.05</w:t>
      </w:r>
      <w:r>
        <w:rPr>
          <w:rFonts w:hint="eastAsia" w:ascii="仿宋_GB2312" w:hAnsi="Times New Roman" w:eastAsia="仿宋_GB2312" w:cs="Wingdings"/>
          <w:sz w:val="32"/>
          <w:szCs w:val="32"/>
        </w:rPr>
        <w:t>万元。与</w:t>
      </w:r>
      <w:r>
        <w:rPr>
          <w:rFonts w:ascii="仿宋_GB2312" w:hAnsi="Times New Roman" w:eastAsia="仿宋_GB2312" w:cs="Wingdings"/>
          <w:sz w:val="32"/>
          <w:szCs w:val="32"/>
        </w:rPr>
        <w:t>2019</w:t>
      </w:r>
      <w:r>
        <w:rPr>
          <w:rFonts w:hint="eastAsia" w:ascii="仿宋_GB2312" w:hAnsi="Times New Roman" w:eastAsia="仿宋_GB2312" w:cs="Wingdings"/>
          <w:sz w:val="32"/>
          <w:szCs w:val="32"/>
        </w:rPr>
        <w:t>年度决算相比，收支各增加</w:t>
      </w:r>
      <w:r>
        <w:rPr>
          <w:rFonts w:ascii="仿宋_GB2312" w:hAnsi="Times New Roman" w:eastAsia="仿宋_GB2312" w:cs="Wingdings"/>
          <w:sz w:val="32"/>
          <w:szCs w:val="32"/>
        </w:rPr>
        <w:t>56.58</w:t>
      </w:r>
      <w:r>
        <w:rPr>
          <w:rFonts w:hint="eastAsia" w:ascii="仿宋_GB2312" w:hAnsi="Times New Roman" w:eastAsia="仿宋_GB2312" w:cs="Wingdings"/>
          <w:sz w:val="32"/>
          <w:szCs w:val="32"/>
        </w:rPr>
        <w:t>万元，增长</w:t>
      </w:r>
      <w:r>
        <w:rPr>
          <w:rFonts w:ascii="仿宋_GB2312" w:hAnsi="Times New Roman" w:eastAsia="仿宋_GB2312" w:cs="Wingdings"/>
          <w:sz w:val="32"/>
          <w:szCs w:val="32"/>
        </w:rPr>
        <w:t>3.82%</w:t>
      </w:r>
      <w:r>
        <w:rPr>
          <w:rFonts w:hint="eastAsia" w:ascii="仿宋_GB2312" w:hAnsi="Times New Roman" w:eastAsia="仿宋_GB2312" w:cs="Wingdings"/>
          <w:sz w:val="32"/>
          <w:szCs w:val="32"/>
        </w:rPr>
        <w:t>，主要原因是</w:t>
      </w:r>
      <w:r>
        <w:rPr>
          <w:rFonts w:hint="eastAsia" w:ascii="仿宋_GB2312" w:hAnsi="Times New Roman" w:eastAsia="仿宋_GB2312" w:cs="DengXian-Regular"/>
          <w:sz w:val="32"/>
          <w:szCs w:val="32"/>
        </w:rPr>
        <w:t>主要原因是新增人员和增加项目经费。</w:t>
      </w:r>
    </w:p>
    <w:p>
      <w:pPr>
        <w:adjustRightInd w:val="0"/>
        <w:snapToGrid w:val="0"/>
        <w:spacing w:line="600" w:lineRule="exact"/>
        <w:rPr>
          <w:rFonts w:ascii="仿宋_GB2312" w:hAnsi="Times New Roman" w:eastAsia="仿宋_GB2312" w:cs="Wingdings"/>
          <w:sz w:val="32"/>
          <w:szCs w:val="32"/>
        </w:rPr>
      </w:pPr>
      <w:r>
        <w:pict>
          <v:shape id="_x0000_s1031" o:spid="_x0000_s1031" o:spt="75" type="#_x0000_t75" style="position:absolute;left:0pt;margin-left:63.4pt;margin-top:16.9pt;height:161.35pt;width:320.05pt;z-index:-251658240;mso-width-relative:page;mso-height-relative:page;" o:ole="t" filled="f" o:preferrelative="t" stroked="f" coordsize="21600,21600">
            <v:path/>
            <v:fill on="f" focussize="0,0"/>
            <v:stroke on="f" joinstyle="miter"/>
            <v:imagedata r:id="rId12" o:title=""/>
            <o:lock v:ext="edit" aspectratio="t"/>
          </v:shape>
          <o:OLEObject Type="Embed" ProgID="Excel.Chart.8" ShapeID="_x0000_s1031" DrawAspect="Content" ObjectID="_1468075725" r:id="rId11">
            <o:LockedField>false</o:LockedField>
          </o:OLEObject>
        </w:pict>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3105"/>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outlineLvl w:val="1"/>
        <w:rPr>
          <w:rFonts w:ascii="黑体" w:eastAsia="黑体"/>
          <w:sz w:val="32"/>
          <w:szCs w:val="32"/>
        </w:rPr>
      </w:pPr>
    </w:p>
    <w:p>
      <w:pPr>
        <w:keepNext/>
        <w:keepLines/>
        <w:snapToGrid w:val="0"/>
        <w:spacing w:line="600" w:lineRule="exact"/>
        <w:outlineLvl w:val="1"/>
        <w:rPr>
          <w:rFonts w:ascii="黑体" w:eastAsia="黑体"/>
          <w:sz w:val="32"/>
          <w:szCs w:val="32"/>
        </w:rPr>
      </w:pPr>
      <w:r>
        <w:rPr>
          <w:rFonts w:hint="eastAsia" w:ascii="黑体" w:eastAsia="黑体"/>
          <w:sz w:val="32"/>
          <w:szCs w:val="32"/>
        </w:rPr>
        <w:t>二、收入决算情况说明</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本单位</w:t>
      </w:r>
      <w:r>
        <w:rPr>
          <w:rFonts w:ascii="仿宋_GB2312" w:hAnsi="Times New Roman" w:eastAsia="仿宋_GB2312" w:cs="Wingdings"/>
          <w:color w:val="000000"/>
          <w:sz w:val="32"/>
          <w:szCs w:val="32"/>
        </w:rPr>
        <w:t>2020</w:t>
      </w:r>
      <w:r>
        <w:rPr>
          <w:rFonts w:hint="eastAsia" w:ascii="仿宋_GB2312" w:hAnsi="Times New Roman" w:eastAsia="仿宋_GB2312" w:cs="Wingdings"/>
          <w:color w:val="000000"/>
          <w:sz w:val="32"/>
          <w:szCs w:val="32"/>
        </w:rPr>
        <w:t>年度本年收入合计</w:t>
      </w:r>
      <w:r>
        <w:rPr>
          <w:rFonts w:ascii="仿宋_GB2312" w:hAnsi="Times New Roman" w:eastAsia="仿宋_GB2312" w:cs="Wingdings"/>
          <w:color w:val="000000"/>
          <w:sz w:val="32"/>
          <w:szCs w:val="32"/>
        </w:rPr>
        <w:t>1496.82</w:t>
      </w:r>
      <w:r>
        <w:rPr>
          <w:rFonts w:hint="eastAsia" w:ascii="仿宋_GB2312" w:hAnsi="Times New Roman" w:eastAsia="仿宋_GB2312" w:cs="Wingdings"/>
          <w:color w:val="000000"/>
          <w:sz w:val="32"/>
          <w:szCs w:val="32"/>
        </w:rPr>
        <w:t>万元，其中：财政拨款收入</w:t>
      </w:r>
      <w:r>
        <w:rPr>
          <w:rFonts w:ascii="仿宋_GB2312" w:hAnsi="Times New Roman" w:eastAsia="仿宋_GB2312" w:cs="Wingdings"/>
          <w:color w:val="000000"/>
          <w:sz w:val="32"/>
          <w:szCs w:val="32"/>
        </w:rPr>
        <w:t>1457.21</w:t>
      </w:r>
      <w:r>
        <w:rPr>
          <w:rFonts w:hint="eastAsia" w:ascii="仿宋_GB2312" w:hAnsi="Times New Roman" w:eastAsia="仿宋_GB2312" w:cs="Wingdings"/>
          <w:color w:val="000000"/>
          <w:sz w:val="32"/>
          <w:szCs w:val="32"/>
        </w:rPr>
        <w:t>万元，占</w:t>
      </w:r>
      <w:r>
        <w:rPr>
          <w:rFonts w:ascii="仿宋_GB2312" w:hAnsi="Times New Roman" w:eastAsia="仿宋_GB2312" w:cs="Wingdings"/>
          <w:color w:val="000000"/>
          <w:sz w:val="32"/>
          <w:szCs w:val="32"/>
        </w:rPr>
        <w:t>97.35%</w:t>
      </w:r>
      <w:r>
        <w:rPr>
          <w:rFonts w:hint="eastAsia" w:ascii="仿宋_GB2312" w:hAnsi="Times New Roman" w:eastAsia="仿宋_GB2312" w:cs="Wingdings"/>
          <w:color w:val="000000"/>
          <w:sz w:val="32"/>
          <w:szCs w:val="32"/>
        </w:rPr>
        <w:t>；事业收入</w:t>
      </w:r>
      <w:r>
        <w:rPr>
          <w:rFonts w:ascii="仿宋_GB2312" w:hAnsi="Times New Roman" w:eastAsia="仿宋_GB2312" w:cs="Wingdings"/>
          <w:color w:val="000000"/>
          <w:sz w:val="32"/>
          <w:szCs w:val="32"/>
        </w:rPr>
        <w:t>39.59</w:t>
      </w:r>
      <w:r>
        <w:rPr>
          <w:rFonts w:hint="eastAsia" w:ascii="仿宋_GB2312" w:hAnsi="Times New Roman" w:eastAsia="仿宋_GB2312" w:cs="Wingdings"/>
          <w:color w:val="000000"/>
          <w:sz w:val="32"/>
          <w:szCs w:val="32"/>
        </w:rPr>
        <w:t>万元，占</w:t>
      </w:r>
      <w:r>
        <w:rPr>
          <w:rFonts w:ascii="仿宋_GB2312" w:hAnsi="Times New Roman" w:eastAsia="仿宋_GB2312" w:cs="Wingdings"/>
          <w:color w:val="000000"/>
          <w:sz w:val="32"/>
          <w:szCs w:val="32"/>
        </w:rPr>
        <w:t>2.64%</w:t>
      </w:r>
      <w:r>
        <w:rPr>
          <w:rFonts w:hint="eastAsia" w:ascii="仿宋_GB2312" w:hAnsi="Times New Roman" w:eastAsia="仿宋_GB2312" w:cs="Wingdings"/>
          <w:color w:val="000000"/>
          <w:sz w:val="32"/>
          <w:szCs w:val="32"/>
        </w:rPr>
        <w:t>；其他收入</w:t>
      </w:r>
      <w:r>
        <w:rPr>
          <w:rFonts w:ascii="仿宋_GB2312" w:hAnsi="Times New Roman" w:eastAsia="仿宋_GB2312" w:cs="Wingdings"/>
          <w:color w:val="000000"/>
          <w:sz w:val="32"/>
          <w:szCs w:val="32"/>
        </w:rPr>
        <w:t>0.02</w:t>
      </w:r>
      <w:r>
        <w:rPr>
          <w:rFonts w:hint="eastAsia" w:ascii="仿宋_GB2312" w:hAnsi="Times New Roman" w:eastAsia="仿宋_GB2312" w:cs="Wingdings"/>
          <w:color w:val="000000"/>
          <w:sz w:val="32"/>
          <w:szCs w:val="32"/>
        </w:rPr>
        <w:t>万元，占</w:t>
      </w:r>
      <w:r>
        <w:rPr>
          <w:rFonts w:ascii="仿宋_GB2312" w:hAnsi="Times New Roman" w:eastAsia="仿宋_GB2312" w:cs="Wingdings"/>
          <w:color w:val="000000"/>
          <w:sz w:val="32"/>
          <w:szCs w:val="32"/>
        </w:rPr>
        <w:t>0.01%</w:t>
      </w:r>
      <w:r>
        <w:rPr>
          <w:rFonts w:hint="eastAsia" w:ascii="仿宋_GB2312" w:hAnsi="Times New Roman" w:eastAsia="仿宋_GB2312" w:cs="Wingdings"/>
          <w:color w:val="000000"/>
          <w:sz w:val="32"/>
          <w:szCs w:val="32"/>
          <w:lang w:val="en-US" w:eastAsia="zh-CN"/>
        </w:rPr>
        <w:t>.</w:t>
      </w:r>
      <w:r>
        <w:rPr>
          <w:rFonts w:hint="eastAsia" w:ascii="仿宋_GB2312" w:hAnsi="Times New Roman" w:eastAsia="仿宋_GB2312" w:cs="Wingdings"/>
          <w:sz w:val="32"/>
          <w:szCs w:val="32"/>
        </w:rPr>
        <w:t>如图</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所示：</w:t>
      </w: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bookmarkStart w:id="0" w:name="_GoBack"/>
      <w:bookmarkEnd w:id="0"/>
    </w:p>
    <w:p>
      <w:pPr>
        <w:snapToGrid w:val="0"/>
        <w:spacing w:line="600" w:lineRule="exact"/>
        <w:outlineLvl w:val="1"/>
        <w:rPr>
          <w:rFonts w:ascii="黑体" w:eastAsia="黑体"/>
          <w:sz w:val="32"/>
          <w:szCs w:val="32"/>
        </w:rPr>
      </w:pPr>
      <w:r>
        <w:rPr>
          <w:rFonts w:hint="eastAsia" w:ascii="黑体" w:eastAsia="黑体"/>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本单位</w:t>
      </w:r>
      <w:r>
        <w:rPr>
          <w:rFonts w:ascii="仿宋_GB2312" w:hAnsi="Times New Roman" w:eastAsia="仿宋_GB2312" w:cs="Wingdings"/>
          <w:sz w:val="32"/>
          <w:szCs w:val="32"/>
        </w:rPr>
        <w:t>2020</w:t>
      </w:r>
      <w:r>
        <w:rPr>
          <w:rFonts w:hint="eastAsia" w:ascii="仿宋_GB2312" w:hAnsi="Times New Roman" w:eastAsia="仿宋_GB2312" w:cs="Wingdings"/>
          <w:sz w:val="32"/>
          <w:szCs w:val="32"/>
        </w:rPr>
        <w:t>年度本年支出合计</w:t>
      </w:r>
      <w:r>
        <w:rPr>
          <w:rFonts w:ascii="仿宋_GB2312" w:hAnsi="Times New Roman" w:eastAsia="仿宋_GB2312" w:cs="Wingdings"/>
          <w:sz w:val="32"/>
          <w:szCs w:val="32"/>
        </w:rPr>
        <w:t>1481.80</w:t>
      </w:r>
      <w:r>
        <w:rPr>
          <w:rFonts w:hint="eastAsia" w:ascii="仿宋_GB2312" w:hAnsi="Times New Roman" w:eastAsia="仿宋_GB2312" w:cs="Wingdings"/>
          <w:sz w:val="32"/>
          <w:szCs w:val="32"/>
        </w:rPr>
        <w:t>万元，其中：基本支出</w:t>
      </w:r>
      <w:r>
        <w:rPr>
          <w:rFonts w:ascii="仿宋_GB2312" w:hAnsi="Times New Roman" w:eastAsia="仿宋_GB2312" w:cs="Wingdings"/>
          <w:sz w:val="32"/>
          <w:szCs w:val="32"/>
        </w:rPr>
        <w:t>1406.91</w:t>
      </w:r>
      <w:r>
        <w:rPr>
          <w:rFonts w:hint="eastAsia" w:ascii="仿宋_GB2312" w:hAnsi="Times New Roman" w:eastAsia="仿宋_GB2312" w:cs="Wingdings"/>
          <w:sz w:val="32"/>
          <w:szCs w:val="32"/>
        </w:rPr>
        <w:t>万元，占</w:t>
      </w:r>
      <w:r>
        <w:rPr>
          <w:rFonts w:ascii="仿宋_GB2312" w:hAnsi="Times New Roman" w:eastAsia="仿宋_GB2312" w:cs="Wingdings"/>
          <w:sz w:val="32"/>
          <w:szCs w:val="32"/>
        </w:rPr>
        <w:t>94.95%</w:t>
      </w:r>
      <w:r>
        <w:rPr>
          <w:rFonts w:hint="eastAsia" w:ascii="仿宋_GB2312" w:hAnsi="Times New Roman" w:eastAsia="仿宋_GB2312" w:cs="Wingdings"/>
          <w:sz w:val="32"/>
          <w:szCs w:val="32"/>
        </w:rPr>
        <w:t>；项目支出</w:t>
      </w:r>
      <w:r>
        <w:rPr>
          <w:rFonts w:ascii="仿宋_GB2312" w:hAnsi="Times New Roman" w:eastAsia="仿宋_GB2312" w:cs="Wingdings"/>
          <w:sz w:val="32"/>
          <w:szCs w:val="32"/>
        </w:rPr>
        <w:t>74.88</w:t>
      </w:r>
      <w:r>
        <w:rPr>
          <w:rFonts w:hint="eastAsia" w:ascii="仿宋_GB2312" w:hAnsi="Times New Roman" w:eastAsia="仿宋_GB2312" w:cs="Wingdings"/>
          <w:sz w:val="32"/>
          <w:szCs w:val="32"/>
        </w:rPr>
        <w:t>万元，占</w:t>
      </w:r>
      <w:r>
        <w:rPr>
          <w:rFonts w:ascii="仿宋_GB2312" w:hAnsi="Times New Roman" w:eastAsia="仿宋_GB2312" w:cs="Wingdings"/>
          <w:sz w:val="32"/>
          <w:szCs w:val="32"/>
        </w:rPr>
        <w:t>5.05%</w:t>
      </w:r>
      <w:r>
        <w:rPr>
          <w:rFonts w:hint="eastAsia" w:ascii="仿宋_GB2312" w:hAnsi="Times New Roman" w:eastAsia="仿宋_GB2312" w:cs="Wingdings"/>
          <w:sz w:val="32"/>
          <w:szCs w:val="32"/>
        </w:rPr>
        <w:t>；如图</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所示：</w:t>
      </w:r>
    </w:p>
    <w:p>
      <w:pPr>
        <w:adjustRightInd w:val="0"/>
        <w:snapToGrid w:val="0"/>
        <w:spacing w:line="240" w:lineRule="auto"/>
        <w:ind w:firstLine="0" w:firstLineChars="0"/>
        <w:jc w:val="center"/>
        <w:rPr>
          <w:rFonts w:hint="eastAsia" w:eastAsiaTheme="minorEastAsia"/>
          <w:lang w:eastAsia="zh-CN"/>
        </w:rPr>
      </w:pPr>
      <w:r>
        <w:rPr>
          <w:rFonts w:hint="eastAsia" w:eastAsiaTheme="minorEastAsia"/>
          <w:lang w:eastAsia="zh-CN"/>
        </w:rPr>
        <w:object>
          <v:shape id="_x0000_i1052" o:spt="75" type="#_x0000_t75" style="height:175.3pt;width:212.35pt;" o:ole="t" filled="f" o:preferrelative="t" stroked="f" coordsize="21600,21600" o:gfxdata="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">
            <v:path/>
            <v:fill on="f" focussize="0,0"/>
            <v:stroke on="f"/>
            <v:imagedata r:id="rId14" o:title=""/>
            <o:lock v:ext="edit" aspectratio="f"/>
            <w10:wrap type="none"/>
            <w10:anchorlock/>
          </v:shape>
          <o:OLEObject Type="Embed" ProgID="excel.sheet.8" ShapeID="_x0000_i1052" DrawAspect="Content" ObjectID="_1468075726" r:id="rId13">
            <o:LockedField>false</o:LockedField>
          </o:OLEObject>
        </w:object>
      </w:r>
    </w:p>
    <w:p>
      <w:pPr>
        <w:adjustRightInd w:val="0"/>
        <w:snapToGrid w:val="0"/>
        <w:spacing w:line="240" w:lineRule="auto"/>
        <w:ind w:firstLine="0" w:firstLineChars="0"/>
        <w:jc w:val="center"/>
        <w:rPr>
          <w:rFonts w:hint="default" w:eastAsiaTheme="minorEastAsia"/>
          <w:lang w:val="en-US" w:eastAsia="zh-CN"/>
        </w:rPr>
      </w:pPr>
      <w:r>
        <w:rPr>
          <w:rFonts w:hint="eastAsia" w:eastAsiaTheme="minorEastAsia"/>
          <w:lang w:eastAsia="zh-CN"/>
        </w:rPr>
        <w:t>（</w:t>
      </w:r>
      <w:r>
        <w:rPr>
          <w:rFonts w:hint="eastAsia" w:eastAsiaTheme="minorEastAsia"/>
          <w:lang w:val="en-US" w:eastAsia="zh-CN"/>
        </w:rPr>
        <w:t>图2）</w:t>
      </w:r>
    </w:p>
    <w:p>
      <w:pPr>
        <w:adjustRightInd w:val="0"/>
        <w:snapToGrid w:val="0"/>
        <w:spacing w:line="240" w:lineRule="auto"/>
        <w:ind w:firstLine="0" w:firstLineChars="0"/>
        <w:jc w:val="center"/>
        <w:rPr>
          <w:rFonts w:hint="eastAsia" w:eastAsiaTheme="minorEastAsia"/>
          <w:lang w:eastAsia="zh-CN"/>
        </w:rPr>
      </w:pPr>
    </w:p>
    <w:p>
      <w:pPr>
        <w:adjustRightInd w:val="0"/>
        <w:snapToGrid w:val="0"/>
        <w:spacing w:line="240" w:lineRule="auto"/>
        <w:ind w:firstLine="0" w:firstLineChars="0"/>
        <w:jc w:val="center"/>
        <w:rPr>
          <w:rFonts w:hint="eastAsia" w:eastAsiaTheme="minorEastAsia"/>
          <w:lang w:eastAsia="zh-CN"/>
        </w:rPr>
      </w:pPr>
    </w:p>
    <w:p>
      <w:pPr>
        <w:adjustRightInd w:val="0"/>
        <w:snapToGrid w:val="0"/>
        <w:spacing w:line="240" w:lineRule="auto"/>
        <w:ind w:firstLine="0" w:firstLineChars="0"/>
        <w:jc w:val="center"/>
        <w:rPr>
          <w:rFonts w:hint="eastAsia" w:eastAsiaTheme="minorEastAsia"/>
          <w:lang w:eastAsia="zh-CN"/>
        </w:rPr>
      </w:pPr>
      <w:r>
        <w:rPr>
          <w:rFonts w:hint="eastAsia" w:eastAsiaTheme="minorEastAsia"/>
          <w:lang w:eastAsia="zh-CN"/>
        </w:rPr>
        <w:object>
          <v:shape id="_x0000_i1051" o:spt="75" alt="" type="#_x0000_t75" style="height:192.3pt;width:216.95pt;" o:ole="t" filled="f" o:preferrelative="t" stroked="f" coordsize="21600,21600" o:gfxdata="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">
            <v:path/>
            <v:fill on="f" focussize="0,0"/>
            <v:stroke on="f"/>
            <v:imagedata r:id="rId16" o:title=""/>
            <o:lock v:ext="edit" aspectratio="t"/>
            <w10:wrap type="none"/>
            <w10:anchorlock/>
          </v:shape>
          <o:OLEObject Type="Embed" ProgID="excel.sheet.8" ShapeID="_x0000_i1051" DrawAspect="Content" ObjectID="_1468075727" r:id="rId15">
            <o:LockedField>false</o:LockedField>
          </o:OLEObject>
        </w:object>
      </w:r>
    </w:p>
    <w:p>
      <w:pPr>
        <w:adjustRightInd w:val="0"/>
        <w:snapToGrid w:val="0"/>
        <w:spacing w:line="240" w:lineRule="auto"/>
        <w:ind w:firstLine="0" w:firstLineChars="0"/>
        <w:jc w:val="center"/>
        <w:rPr>
          <w:rFonts w:hint="default" w:eastAsiaTheme="minorEastAsia"/>
          <w:lang w:val="en-US" w:eastAsia="zh-CN"/>
        </w:rPr>
      </w:pPr>
      <w:r>
        <w:rPr>
          <w:rFonts w:hint="eastAsia" w:eastAsiaTheme="minorEastAsia"/>
          <w:lang w:eastAsia="zh-CN"/>
        </w:rPr>
        <w:t>（</w:t>
      </w:r>
      <w:r>
        <w:rPr>
          <w:rFonts w:hint="eastAsia" w:eastAsiaTheme="minorEastAsia"/>
          <w:lang w:val="en-US" w:eastAsia="zh-CN"/>
        </w:rPr>
        <w:t>图3）</w:t>
      </w:r>
    </w:p>
    <w:p>
      <w:pPr>
        <w:adjustRightInd w:val="0"/>
        <w:snapToGrid w:val="0"/>
        <w:spacing w:line="240" w:lineRule="auto"/>
        <w:ind w:firstLine="0" w:firstLineChars="0"/>
        <w:jc w:val="both"/>
        <w:rPr>
          <w:rFonts w:hint="eastAsia" w:eastAsiaTheme="minorEastAsia"/>
          <w:lang w:eastAsia="zh-CN"/>
        </w:rPr>
      </w:pPr>
    </w:p>
    <w:p>
      <w:pPr>
        <w:keepNext/>
        <w:keepLines/>
        <w:snapToGrid w:val="0"/>
        <w:spacing w:line="600" w:lineRule="exact"/>
        <w:outlineLvl w:val="1"/>
        <w:rPr>
          <w:rFonts w:ascii="黑体" w:eastAsia="黑体"/>
          <w:sz w:val="32"/>
          <w:szCs w:val="32"/>
        </w:rPr>
      </w:pPr>
      <w:r>
        <w:rPr>
          <w:rFonts w:hint="eastAsia" w:ascii="黑体" w:eastAsia="黑体"/>
          <w:sz w:val="32"/>
          <w:szCs w:val="32"/>
        </w:rPr>
        <w:t>四、</w:t>
      </w:r>
      <w:r>
        <w:rPr>
          <w:rFonts w:hint="eastAsia" w:ascii="黑体" w:hAnsi="Cambria" w:eastAsia="黑体" w:cs="黑体"/>
          <w:kern w:val="0"/>
          <w:sz w:val="32"/>
          <w:szCs w:val="32"/>
        </w:rPr>
        <w:t>财政</w:t>
      </w:r>
      <w:r>
        <w:rPr>
          <w:rFonts w:hint="eastAsia" w:ascii="黑体" w:eastAsia="黑体"/>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w:t>
      </w:r>
      <w:r>
        <w:rPr>
          <w:rFonts w:ascii="楷体_GB2312" w:hAnsi="Times New Roman" w:eastAsia="楷体_GB2312" w:cs="Mongolian Baiti"/>
          <w:b/>
          <w:bCs/>
          <w:sz w:val="32"/>
          <w:szCs w:val="32"/>
        </w:rPr>
        <w:t>2019</w:t>
      </w:r>
      <w:r>
        <w:rPr>
          <w:rFonts w:hint="eastAsia" w:ascii="楷体_GB2312" w:hAnsi="Times New Roman" w:eastAsia="楷体_GB2312" w:cs="Mongolian Baiti"/>
          <w:b/>
          <w:bCs/>
          <w:sz w:val="32"/>
          <w:szCs w:val="32"/>
        </w:rPr>
        <w:t>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本单位</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年度形成的财政拨款收支均为一般公共预算财政拨款，其中本年收入</w:t>
      </w:r>
      <w:r>
        <w:rPr>
          <w:rFonts w:ascii="仿宋_GB2312" w:hAnsi="Times New Roman" w:eastAsia="仿宋_GB2312" w:cs="Wingdings"/>
          <w:color w:val="000000"/>
          <w:sz w:val="32"/>
          <w:szCs w:val="32"/>
        </w:rPr>
        <w:t>1457.21</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比</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年度增加</w:t>
      </w:r>
      <w:r>
        <w:rPr>
          <w:rFonts w:ascii="仿宋_GB2312" w:hAnsi="Times New Roman" w:eastAsia="仿宋_GB2312" w:cs="DengXian-Regular"/>
          <w:sz w:val="32"/>
          <w:szCs w:val="32"/>
        </w:rPr>
        <w:t>55.65</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3.97%</w:t>
      </w:r>
      <w:r>
        <w:rPr>
          <w:rFonts w:hint="eastAsia" w:ascii="仿宋_GB2312" w:hAnsi="Times New Roman" w:eastAsia="仿宋_GB2312" w:cs="DengXian-Regular"/>
          <w:sz w:val="32"/>
          <w:szCs w:val="32"/>
        </w:rPr>
        <w:t>，主要是新增人员和增加项目经费；本年支出</w:t>
      </w:r>
      <w:r>
        <w:rPr>
          <w:rFonts w:ascii="仿宋_GB2312" w:hAnsi="Times New Roman" w:eastAsia="仿宋_GB2312" w:cs="DengXian-Regular"/>
          <w:sz w:val="32"/>
          <w:szCs w:val="32"/>
        </w:rPr>
        <w:t>1490.59</w:t>
      </w:r>
      <w:r>
        <w:rPr>
          <w:rFonts w:hint="eastAsia" w:ascii="仿宋_GB2312" w:hAnsi="Times New Roman" w:eastAsia="仿宋_GB2312" w:cs="DengXian-Regular"/>
          <w:sz w:val="32"/>
          <w:szCs w:val="32"/>
        </w:rPr>
        <w:t>万元，增加</w:t>
      </w:r>
      <w:r>
        <w:rPr>
          <w:rFonts w:ascii="仿宋_GB2312" w:hAnsi="Times New Roman" w:eastAsia="仿宋_GB2312" w:cs="DengXian-Regular"/>
          <w:sz w:val="32"/>
          <w:szCs w:val="32"/>
        </w:rPr>
        <w:t>83.68</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5.95%</w:t>
      </w:r>
      <w:r>
        <w:rPr>
          <w:rFonts w:hint="eastAsia" w:ascii="仿宋_GB2312" w:hAnsi="Times New Roman" w:eastAsia="仿宋_GB2312" w:cs="DengXian-Regular"/>
          <w:sz w:val="32"/>
          <w:szCs w:val="32"/>
        </w:rPr>
        <w:t>，主要是新增人员和增加项目经费。</w:t>
      </w: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DengXian-Regular"/>
          <w:sz w:val="32"/>
          <w:szCs w:val="32"/>
        </w:rPr>
        <w:t>本单位</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年度一般公共预算财政拨款收入</w:t>
      </w:r>
      <w:r>
        <w:rPr>
          <w:rFonts w:ascii="仿宋_GB2312" w:hAnsi="Times New Roman" w:eastAsia="仿宋_GB2312" w:cs="Wingdings"/>
          <w:color w:val="000000"/>
          <w:sz w:val="32"/>
          <w:szCs w:val="32"/>
        </w:rPr>
        <w:t>1457.21</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101.35%,</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19.43</w:t>
      </w:r>
      <w:r>
        <w:rPr>
          <w:rFonts w:hint="eastAsia" w:ascii="仿宋_GB2312" w:hAnsi="Times New Roman" w:eastAsia="仿宋_GB2312" w:cs="DengXian-Regular"/>
          <w:sz w:val="32"/>
          <w:szCs w:val="32"/>
        </w:rPr>
        <w:t>万元，决算数大于预算数主要原因是新增人员和自然晋级需要；本年支出</w:t>
      </w:r>
      <w:r>
        <w:rPr>
          <w:rFonts w:ascii="仿宋_GB2312" w:hAnsi="Times New Roman" w:eastAsia="仿宋_GB2312" w:cs="DengXian-Regular"/>
          <w:sz w:val="32"/>
          <w:szCs w:val="32"/>
        </w:rPr>
        <w:t>1490.59</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103.67%,</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52.81</w:t>
      </w:r>
      <w:r>
        <w:rPr>
          <w:rFonts w:hint="eastAsia" w:ascii="仿宋_GB2312" w:hAnsi="Times New Roman" w:eastAsia="仿宋_GB2312" w:cs="DengXian-Regular"/>
          <w:sz w:val="32"/>
          <w:szCs w:val="32"/>
        </w:rPr>
        <w:t>万元，决算数大于预算数主要原因是主要是新增人员和自然晋级需要。</w:t>
      </w:r>
    </w:p>
    <w:p>
      <w:pPr>
        <w:numPr>
          <w:ilvl w:val="0"/>
          <w:numId w:val="1"/>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b/>
          <w:bCs/>
          <w:sz w:val="32"/>
          <w:szCs w:val="32"/>
        </w:rPr>
        <w:t>财政拨款支出决算结构情况。</w:t>
      </w:r>
    </w:p>
    <w:p>
      <w:pPr>
        <w:adjustRightInd w:val="0"/>
        <w:snapToGrid w:val="0"/>
        <w:spacing w:line="580" w:lineRule="exact"/>
        <w:ind w:firstLine="640" w:firstLineChars="200"/>
        <w:rPr>
          <w:rFonts w:ascii="楷体_GB2312" w:hAnsi="Times New Roman" w:eastAsia="楷体_GB2312" w:cs="Mongolian Baiti"/>
          <w:b/>
          <w:bCs/>
          <w:sz w:val="32"/>
          <w:szCs w:val="32"/>
        </w:rPr>
      </w:pP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年度财政拨款支出</w:t>
      </w:r>
      <w:r>
        <w:rPr>
          <w:rFonts w:ascii="仿宋_GB2312" w:hAnsi="Times New Roman" w:eastAsia="仿宋_GB2312" w:cs="DengXian-Regular"/>
          <w:sz w:val="32"/>
          <w:szCs w:val="32"/>
        </w:rPr>
        <w:t>1490.59</w:t>
      </w:r>
      <w:r>
        <w:rPr>
          <w:rFonts w:hint="eastAsia" w:ascii="仿宋_GB2312" w:hAnsi="Times New Roman" w:eastAsia="仿宋_GB2312" w:cs="DengXian-Regular"/>
          <w:sz w:val="32"/>
          <w:szCs w:val="32"/>
        </w:rPr>
        <w:t>万元，主要用于以下方面：教育（类）支出</w:t>
      </w:r>
      <w:r>
        <w:rPr>
          <w:rFonts w:ascii="仿宋_GB2312" w:hAnsi="Times New Roman" w:eastAsia="仿宋_GB2312" w:cs="DengXian-Regular"/>
          <w:sz w:val="32"/>
          <w:szCs w:val="32"/>
        </w:rPr>
        <w:t>1490.59</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w:t>
      </w:r>
    </w:p>
    <w:p>
      <w:p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t xml:space="preserve">2019 </w:t>
      </w:r>
      <w:r>
        <w:rPr>
          <w:rFonts w:hint="eastAsia" w:ascii="仿宋_GB2312" w:hAnsi="Times New Roman" w:eastAsia="仿宋_GB2312" w:cs="DengXian-Regular"/>
          <w:sz w:val="32"/>
          <w:szCs w:val="32"/>
        </w:rPr>
        <w:t>年度财政拨款基本支出</w:t>
      </w:r>
      <w:r>
        <w:rPr>
          <w:rFonts w:ascii="仿宋_GB2312" w:hAnsi="Times New Roman" w:eastAsia="仿宋_GB2312" w:cs="DengXian-Regular"/>
          <w:sz w:val="32"/>
          <w:szCs w:val="32"/>
        </w:rPr>
        <w:t>1406.91</w:t>
      </w:r>
      <w:r>
        <w:rPr>
          <w:rFonts w:hint="eastAsia" w:ascii="仿宋_GB2312" w:hAnsi="Times New Roman" w:eastAsia="仿宋_GB2312" w:cs="DengXian-Regular"/>
          <w:sz w:val="32"/>
          <w:szCs w:val="32"/>
        </w:rPr>
        <w:t>万元，其中：人员经费</w:t>
      </w:r>
      <w:r>
        <w:rPr>
          <w:rFonts w:ascii="仿宋_GB2312" w:hAnsi="Times New Roman" w:eastAsia="仿宋_GB2312" w:cs="DengXian-Regular"/>
          <w:sz w:val="32"/>
          <w:szCs w:val="32"/>
        </w:rPr>
        <w:t>1272.94</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hAnsi="Times New Roman" w:eastAsia="仿宋_GB2312" w:cs="DengXian-Regular"/>
          <w:sz w:val="32"/>
          <w:szCs w:val="32"/>
        </w:rPr>
        <w:t xml:space="preserve"> 133.97</w:t>
      </w:r>
      <w:r>
        <w:rPr>
          <w:rFonts w:hint="eastAsia" w:ascii="仿宋_GB2312" w:hAnsi="Times New Roman" w:eastAsia="仿宋_GB2312" w:cs="DengXian-Regular"/>
          <w:sz w:val="32"/>
          <w:szCs w:val="32"/>
        </w:rPr>
        <w:t>万元，主要包括办公费、印刷费、手续费、水费、电费、邮电费、取暖费、物业管理费、差旅费、维修（护）费、租赁费、会议费、培训费、公务接待费、专用材料费、劳务费、委托业务费、工会经费、福利费、公务用车运行维护费、其他交通费用、其他商品和服务支出、办公设备购置、专用设备购置、信息网络及软件购置更新、公务用车购置、其他资本性支出。</w:t>
      </w:r>
    </w:p>
    <w:p>
      <w:pPr>
        <w:keepNext/>
        <w:keepLines/>
        <w:snapToGrid w:val="0"/>
        <w:spacing w:line="600" w:lineRule="exact"/>
        <w:ind w:firstLine="640" w:firstLineChars="200"/>
        <w:outlineLvl w:val="1"/>
        <w:rPr>
          <w:rFonts w:ascii="黑体" w:eastAsia="黑体"/>
          <w:sz w:val="32"/>
          <w:szCs w:val="32"/>
        </w:rPr>
      </w:pPr>
      <w:r>
        <w:rPr>
          <w:rFonts w:hint="eastAsia" w:ascii="黑体" w:eastAsia="黑体"/>
          <w:sz w:val="32"/>
          <w:szCs w:val="32"/>
        </w:rPr>
        <w:t>五、一般公共预算“三公”</w:t>
      </w:r>
      <w:r>
        <w:rPr>
          <w:rFonts w:ascii="黑体" w:eastAsia="黑体"/>
          <w:sz w:val="32"/>
          <w:szCs w:val="32"/>
        </w:rPr>
        <w:t xml:space="preserve"> </w:t>
      </w:r>
      <w:r>
        <w:rPr>
          <w:rFonts w:hint="eastAsia" w:ascii="黑体" w:eastAsia="黑体"/>
          <w:sz w:val="32"/>
          <w:szCs w:val="32"/>
        </w:rPr>
        <w:t>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w:t>
      </w:r>
      <w:r>
        <w:rPr>
          <w:rFonts w:ascii="仿宋_GB2312" w:hAnsi="Times New Roman" w:eastAsia="仿宋_GB2312" w:cs="Wingdings"/>
          <w:sz w:val="32"/>
          <w:szCs w:val="32"/>
        </w:rPr>
        <w:t>2020</w:t>
      </w:r>
      <w:r>
        <w:rPr>
          <w:rFonts w:hint="eastAsia" w:ascii="仿宋_GB2312" w:hAnsi="Times New Roman" w:eastAsia="仿宋_GB2312" w:cs="Wingdings"/>
          <w:sz w:val="32"/>
          <w:szCs w:val="32"/>
        </w:rPr>
        <w:t>年度“三公”经费财政拨款支出预算为</w:t>
      </w:r>
      <w:r>
        <w:rPr>
          <w:rFonts w:ascii="仿宋_GB2312" w:hAnsi="Times New Roman" w:eastAsia="仿宋_GB2312" w:cs="Wingdings"/>
          <w:sz w:val="32"/>
          <w:szCs w:val="32"/>
        </w:rPr>
        <w:t>4.5</w:t>
      </w:r>
      <w:r>
        <w:rPr>
          <w:rFonts w:hint="eastAsia" w:ascii="仿宋_GB2312" w:hAnsi="Times New Roman" w:eastAsia="仿宋_GB2312" w:cs="Wingdings"/>
          <w:sz w:val="32"/>
          <w:szCs w:val="32"/>
        </w:rPr>
        <w:t>万元，支出决算为</w:t>
      </w:r>
      <w:r>
        <w:rPr>
          <w:rFonts w:ascii="仿宋_GB2312" w:hAnsi="Times New Roman" w:eastAsia="仿宋_GB2312" w:cs="Wingdings"/>
          <w:sz w:val="32"/>
          <w:szCs w:val="32"/>
        </w:rPr>
        <w:t>0.38</w:t>
      </w:r>
      <w:r>
        <w:rPr>
          <w:rFonts w:hint="eastAsia" w:ascii="仿宋_GB2312" w:hAnsi="Times New Roman" w:eastAsia="仿宋_GB2312" w:cs="Wingdings"/>
          <w:sz w:val="32"/>
          <w:szCs w:val="32"/>
        </w:rPr>
        <w:t>元，完成预算的</w:t>
      </w:r>
      <w:r>
        <w:rPr>
          <w:rFonts w:ascii="仿宋_GB2312" w:hAnsi="Times New Roman" w:eastAsia="仿宋_GB2312" w:cs="Wingdings"/>
          <w:sz w:val="32"/>
          <w:szCs w:val="32"/>
        </w:rPr>
        <w:t>8.44%,</w:t>
      </w:r>
      <w:r>
        <w:rPr>
          <w:rFonts w:hint="eastAsia" w:ascii="仿宋_GB2312" w:hAnsi="Times New Roman" w:eastAsia="仿宋_GB2312" w:cs="Wingdings"/>
          <w:sz w:val="32"/>
          <w:szCs w:val="32"/>
        </w:rPr>
        <w:t>较预算减少</w:t>
      </w:r>
      <w:r>
        <w:rPr>
          <w:rFonts w:ascii="仿宋_GB2312" w:hAnsi="Times New Roman" w:eastAsia="仿宋_GB2312" w:cs="Wingdings"/>
          <w:sz w:val="32"/>
          <w:szCs w:val="32"/>
        </w:rPr>
        <w:t>4.12</w:t>
      </w:r>
      <w:r>
        <w:rPr>
          <w:rFonts w:hint="eastAsia" w:ascii="仿宋_GB2312" w:hAnsi="Times New Roman" w:eastAsia="仿宋_GB2312" w:cs="Wingdings"/>
          <w:sz w:val="32"/>
          <w:szCs w:val="32"/>
        </w:rPr>
        <w:t>万元，降低</w:t>
      </w:r>
      <w:r>
        <w:rPr>
          <w:rFonts w:ascii="仿宋_GB2312" w:hAnsi="Times New Roman" w:eastAsia="仿宋_GB2312" w:cs="Wingdings"/>
          <w:sz w:val="32"/>
          <w:szCs w:val="32"/>
        </w:rPr>
        <w:t>91.56%</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厉行节约</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严格执行中央八项规定</w:t>
      </w:r>
      <w:r>
        <w:rPr>
          <w:rFonts w:hint="eastAsia" w:ascii="仿宋_GB2312" w:hAnsi="Times New Roman" w:eastAsia="仿宋_GB2312" w:cs="Wingdings"/>
          <w:sz w:val="32"/>
          <w:szCs w:val="32"/>
        </w:rPr>
        <w:t>；较</w:t>
      </w:r>
      <w:r>
        <w:rPr>
          <w:rFonts w:ascii="仿宋_GB2312" w:hAnsi="Times New Roman" w:eastAsia="仿宋_GB2312" w:cs="Wingdings"/>
          <w:sz w:val="32"/>
          <w:szCs w:val="32"/>
        </w:rPr>
        <w:t>2019</w:t>
      </w:r>
      <w:r>
        <w:rPr>
          <w:rFonts w:hint="eastAsia" w:ascii="仿宋_GB2312" w:hAnsi="Times New Roman" w:eastAsia="仿宋_GB2312" w:cs="Wingdings"/>
          <w:sz w:val="32"/>
          <w:szCs w:val="32"/>
        </w:rPr>
        <w:t>年度增加减少</w:t>
      </w:r>
      <w:r>
        <w:rPr>
          <w:rFonts w:ascii="仿宋_GB2312" w:hAnsi="Times New Roman" w:eastAsia="仿宋_GB2312" w:cs="Wingdings"/>
          <w:sz w:val="32"/>
          <w:szCs w:val="32"/>
        </w:rPr>
        <w:t>0.27</w:t>
      </w:r>
      <w:r>
        <w:rPr>
          <w:rFonts w:hint="eastAsia" w:ascii="仿宋_GB2312" w:hAnsi="Times New Roman" w:eastAsia="仿宋_GB2312" w:cs="Wingdings"/>
          <w:sz w:val="32"/>
          <w:szCs w:val="32"/>
        </w:rPr>
        <w:t>万元，降低</w:t>
      </w:r>
      <w:r>
        <w:rPr>
          <w:rFonts w:ascii="仿宋_GB2312" w:hAnsi="Times New Roman" w:eastAsia="仿宋_GB2312" w:cs="Wingdings"/>
          <w:sz w:val="32"/>
          <w:szCs w:val="32"/>
        </w:rPr>
        <w:t>41.54%</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厉行节约</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严格执行中央八项规定</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600" w:lineRule="exact"/>
        <w:ind w:firstLine="643" w:firstLineChars="200"/>
        <w:rPr>
          <w:rFonts w:ascii="仿宋_GB2312" w:hAnsi="Times New Roman" w:eastAsia="楷体_GB2312" w:cs="Wingdings"/>
          <w:sz w:val="32"/>
          <w:szCs w:val="32"/>
        </w:rPr>
      </w:pPr>
      <w:r>
        <w:rPr>
          <w:rFonts w:ascii="楷体_GB2312" w:hAnsi="Times New Roman" w:eastAsia="楷体_GB2312" w:cs="Mongolian Baiti"/>
          <w:b/>
          <w:bCs/>
          <w:sz w:val="32"/>
          <w:szCs w:val="32"/>
        </w:rPr>
        <w:t>1.</w:t>
      </w:r>
      <w:r>
        <w:rPr>
          <w:rFonts w:hint="eastAsia" w:ascii="楷体_GB2312" w:hAnsi="Times New Roman" w:eastAsia="楷体_GB2312" w:cs="Mongolian Baiti"/>
          <w:b/>
          <w:bCs/>
          <w:sz w:val="32"/>
          <w:szCs w:val="32"/>
        </w:rPr>
        <w:t>因公出国（境）费。未发生此项费用。</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ascii="楷体_GB2312" w:hAnsi="Times New Roman" w:eastAsia="楷体_GB2312" w:cs="Mongolian Baiti"/>
          <w:b/>
          <w:bCs/>
          <w:sz w:val="32"/>
          <w:szCs w:val="32"/>
        </w:rPr>
        <w:t>2.</w:t>
      </w:r>
      <w:r>
        <w:rPr>
          <w:rFonts w:hint="eastAsia" w:ascii="楷体_GB2312" w:hAnsi="Times New Roman" w:eastAsia="楷体_GB2312" w:cs="Mongolian Baiti"/>
          <w:b/>
          <w:bCs/>
          <w:sz w:val="32"/>
          <w:szCs w:val="32"/>
        </w:rPr>
        <w:t>公务用车购置及运行维护费。</w:t>
      </w:r>
    </w:p>
    <w:p>
      <w:pPr>
        <w:adjustRightInd w:val="0"/>
        <w:snapToGrid w:val="0"/>
        <w:spacing w:line="600" w:lineRule="exact"/>
        <w:ind w:firstLine="640" w:firstLineChars="200"/>
        <w:rPr>
          <w:rFonts w:ascii="仿宋_GB2312" w:hAnsi="Times New Roman" w:eastAsia="仿宋_GB2312" w:cs="Mongolian Baiti"/>
          <w:b/>
          <w:bCs/>
          <w:sz w:val="32"/>
          <w:szCs w:val="32"/>
        </w:rPr>
      </w:pPr>
      <w:r>
        <w:rPr>
          <w:rFonts w:hint="eastAsia" w:ascii="仿宋_GB2312" w:hAnsi="仿宋_GB2312" w:eastAsia="仿宋_GB2312" w:cs="仿宋_GB2312"/>
          <w:sz w:val="32"/>
          <w:szCs w:val="32"/>
        </w:rPr>
        <w:t>本单位</w:t>
      </w: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年公务用车购置及运行维护费支出</w:t>
      </w:r>
      <w:r>
        <w:rPr>
          <w:rFonts w:ascii="仿宋_GB2312" w:hAnsi="仿宋_GB2312" w:eastAsia="仿宋_GB2312" w:cs="仿宋_GB2312"/>
          <w:sz w:val="32"/>
          <w:szCs w:val="32"/>
        </w:rPr>
        <w:t>0.38</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14.07%</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较预算减少</w:t>
      </w:r>
      <w:r>
        <w:rPr>
          <w:rFonts w:ascii="仿宋_GB2312" w:hAnsi="Times New Roman" w:eastAsia="仿宋_GB2312" w:cs="Wingdings"/>
          <w:sz w:val="32"/>
          <w:szCs w:val="32"/>
        </w:rPr>
        <w:t>2.32</w:t>
      </w:r>
      <w:r>
        <w:rPr>
          <w:rFonts w:hint="eastAsia" w:ascii="仿宋_GB2312" w:hAnsi="Times New Roman" w:eastAsia="仿宋_GB2312" w:cs="Wingdings"/>
          <w:sz w:val="32"/>
          <w:szCs w:val="32"/>
        </w:rPr>
        <w:t>万元，降低</w:t>
      </w:r>
      <w:r>
        <w:rPr>
          <w:rFonts w:ascii="仿宋_GB2312" w:hAnsi="Times New Roman" w:eastAsia="仿宋_GB2312" w:cs="Wingdings"/>
          <w:sz w:val="32"/>
          <w:szCs w:val="32"/>
        </w:rPr>
        <w:t>85.93%,</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厉行节约</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严格执行中央八项规定</w:t>
      </w:r>
      <w:r>
        <w:rPr>
          <w:rFonts w:hint="eastAsia" w:ascii="仿宋_GB2312" w:hAnsi="Times New Roman" w:eastAsia="仿宋_GB2312" w:cs="Wingdings"/>
          <w:sz w:val="32"/>
          <w:szCs w:val="32"/>
        </w:rPr>
        <w:t>；较上年减少</w:t>
      </w:r>
      <w:r>
        <w:rPr>
          <w:rFonts w:ascii="仿宋_GB2312" w:hAnsi="Times New Roman" w:eastAsia="仿宋_GB2312" w:cs="Wingdings"/>
          <w:sz w:val="32"/>
          <w:szCs w:val="32"/>
        </w:rPr>
        <w:t>0.27</w:t>
      </w:r>
      <w:r>
        <w:rPr>
          <w:rFonts w:hint="eastAsia" w:ascii="仿宋_GB2312" w:hAnsi="Times New Roman" w:eastAsia="仿宋_GB2312" w:cs="Wingdings"/>
          <w:sz w:val="32"/>
          <w:szCs w:val="32"/>
        </w:rPr>
        <w:t>万元，降低</w:t>
      </w:r>
      <w:r>
        <w:rPr>
          <w:rFonts w:ascii="仿宋_GB2312" w:hAnsi="Times New Roman" w:eastAsia="仿宋_GB2312" w:cs="Wingdings"/>
          <w:sz w:val="32"/>
          <w:szCs w:val="32"/>
        </w:rPr>
        <w:t>41.54%</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厉行节约</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严格执行中央八项规定</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楷体_GB2312" w:hAnsi="Times New Roman" w:eastAsia="楷体_GB2312" w:cs="Mongolian Baiti"/>
          <w:b/>
          <w:bCs/>
          <w:sz w:val="32"/>
          <w:szCs w:val="32"/>
        </w:rPr>
        <w:t>未发生此项费用</w:t>
      </w:r>
      <w:r>
        <w:rPr>
          <w:rFonts w:ascii="楷体_GB2312" w:hAnsi="Times New Roman" w:eastAsia="楷体_GB2312" w:cs="Mongolian Baiti"/>
          <w:b/>
          <w:bCs/>
          <w:sz w:val="32"/>
          <w:szCs w:val="32"/>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w:t>
      </w:r>
      <w:r>
        <w:rPr>
          <w:rFonts w:ascii="仿宋_GB2312" w:hAnsi="Times New Roman" w:eastAsia="仿宋_GB2312" w:cs="Wingdings"/>
          <w:sz w:val="32"/>
          <w:szCs w:val="32"/>
        </w:rPr>
        <w:t>2020</w:t>
      </w:r>
      <w:r>
        <w:rPr>
          <w:rFonts w:hint="eastAsia" w:ascii="仿宋_GB2312" w:hAnsi="Times New Roman" w:eastAsia="仿宋_GB2312" w:cs="Wingdings"/>
          <w:sz w:val="32"/>
          <w:szCs w:val="32"/>
        </w:rPr>
        <w:t>年度单位公务用车保有量</w:t>
      </w:r>
      <w:r>
        <w:rPr>
          <w:rFonts w:ascii="仿宋_GB2312" w:hAnsi="Times New Roman" w:eastAsia="仿宋_GB2312" w:cs="Wingdings"/>
          <w:sz w:val="32"/>
          <w:szCs w:val="32"/>
        </w:rPr>
        <w:t>1</w:t>
      </w:r>
      <w:r>
        <w:rPr>
          <w:rFonts w:hint="eastAsia" w:ascii="仿宋_GB2312" w:hAnsi="Times New Roman" w:eastAsia="仿宋_GB2312" w:cs="Wingdings"/>
          <w:sz w:val="32"/>
          <w:szCs w:val="32"/>
        </w:rPr>
        <w:t>辆</w:t>
      </w:r>
      <w:r>
        <w:rPr>
          <w:rFonts w:ascii="仿宋_GB2312" w:hAnsi="Times New Roman" w:eastAsia="仿宋_GB2312" w:cs="Wingdings"/>
          <w:sz w:val="32"/>
          <w:szCs w:val="32"/>
        </w:rPr>
        <w:t>,</w:t>
      </w:r>
      <w:r>
        <w:rPr>
          <w:rFonts w:hint="eastAsia" w:ascii="仿宋_GB2312" w:hAnsi="Times New Roman" w:eastAsia="仿宋_GB2312" w:cs="Wingdings"/>
          <w:sz w:val="32"/>
          <w:szCs w:val="32"/>
        </w:rPr>
        <w:t>发生运行维护费支出</w:t>
      </w:r>
      <w:r>
        <w:rPr>
          <w:rFonts w:ascii="仿宋_GB2312" w:hAnsi="Times New Roman" w:eastAsia="仿宋_GB2312" w:cs="Wingdings"/>
          <w:sz w:val="32"/>
          <w:szCs w:val="32"/>
        </w:rPr>
        <w:t>0.38</w:t>
      </w:r>
      <w:r>
        <w:rPr>
          <w:rFonts w:hint="eastAsia" w:ascii="仿宋_GB2312" w:hAnsi="Times New Roman" w:eastAsia="仿宋_GB2312" w:cs="Wingdings"/>
          <w:sz w:val="32"/>
          <w:szCs w:val="32"/>
        </w:rPr>
        <w:t>万元。公车运行维护费支出较预算减少</w:t>
      </w:r>
      <w:r>
        <w:rPr>
          <w:rFonts w:ascii="仿宋_GB2312" w:hAnsi="Times New Roman" w:eastAsia="仿宋_GB2312" w:cs="Wingdings"/>
          <w:sz w:val="32"/>
          <w:szCs w:val="32"/>
        </w:rPr>
        <w:t>2.32</w:t>
      </w:r>
      <w:r>
        <w:rPr>
          <w:rFonts w:hint="eastAsia" w:ascii="仿宋_GB2312" w:hAnsi="Times New Roman" w:eastAsia="仿宋_GB2312" w:cs="Wingdings"/>
          <w:sz w:val="32"/>
          <w:szCs w:val="32"/>
        </w:rPr>
        <w:t>万元，降低</w:t>
      </w:r>
      <w:r>
        <w:rPr>
          <w:rFonts w:ascii="仿宋_GB2312" w:hAnsi="Times New Roman" w:eastAsia="仿宋_GB2312" w:cs="Wingdings"/>
          <w:sz w:val="32"/>
          <w:szCs w:val="32"/>
        </w:rPr>
        <w:t>85.93%,</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厉行节约</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严格执行中央八项规定</w:t>
      </w:r>
      <w:r>
        <w:rPr>
          <w:rFonts w:hint="eastAsia" w:ascii="仿宋_GB2312" w:hAnsi="Times New Roman" w:eastAsia="仿宋_GB2312" w:cs="Wingdings"/>
          <w:sz w:val="32"/>
          <w:szCs w:val="32"/>
        </w:rPr>
        <w:t>；较上年减少</w:t>
      </w:r>
      <w:r>
        <w:rPr>
          <w:rFonts w:ascii="仿宋_GB2312" w:hAnsi="Times New Roman" w:eastAsia="仿宋_GB2312" w:cs="Wingdings"/>
          <w:sz w:val="32"/>
          <w:szCs w:val="32"/>
        </w:rPr>
        <w:t>0.27</w:t>
      </w:r>
      <w:r>
        <w:rPr>
          <w:rFonts w:hint="eastAsia" w:ascii="仿宋_GB2312" w:hAnsi="Times New Roman" w:eastAsia="仿宋_GB2312" w:cs="Wingdings"/>
          <w:sz w:val="32"/>
          <w:szCs w:val="32"/>
        </w:rPr>
        <w:t>万元，降低</w:t>
      </w:r>
      <w:r>
        <w:rPr>
          <w:rFonts w:ascii="仿宋_GB2312" w:hAnsi="Times New Roman" w:eastAsia="仿宋_GB2312" w:cs="Wingdings"/>
          <w:sz w:val="32"/>
          <w:szCs w:val="32"/>
        </w:rPr>
        <w:t>41.54%</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厉行节约</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严格执行中央八项规定</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Wingdings"/>
          <w:sz w:val="32"/>
          <w:szCs w:val="32"/>
          <w:highlight w:val="yellow"/>
        </w:rPr>
      </w:pPr>
      <w:r>
        <w:rPr>
          <w:rFonts w:ascii="楷体_GB2312" w:hAnsi="Times New Roman" w:eastAsia="楷体_GB2312" w:cs="Mongolian Baiti"/>
          <w:b/>
          <w:bCs/>
          <w:sz w:val="32"/>
          <w:szCs w:val="32"/>
        </w:rPr>
        <w:t>3.</w:t>
      </w:r>
      <w:r>
        <w:rPr>
          <w:rFonts w:hint="eastAsia" w:ascii="楷体_GB2312" w:hAnsi="Times New Roman" w:eastAsia="楷体_GB2312" w:cs="Mongolian Baiti"/>
          <w:b/>
          <w:bCs/>
          <w:sz w:val="32"/>
          <w:szCs w:val="32"/>
        </w:rPr>
        <w:t>公务接待费。未发生此项费用</w:t>
      </w:r>
      <w:r>
        <w:rPr>
          <w:rFonts w:ascii="楷体_GB2312" w:hAnsi="Times New Roman" w:eastAsia="楷体_GB2312" w:cs="Mongolian Baiti"/>
          <w:b/>
          <w:bCs/>
          <w:sz w:val="32"/>
          <w:szCs w:val="32"/>
        </w:rPr>
        <w:t>.</w:t>
      </w:r>
    </w:p>
    <w:p>
      <w:pPr>
        <w:adjustRightInd w:val="0"/>
        <w:snapToGrid w:val="0"/>
        <w:spacing w:line="600" w:lineRule="exact"/>
        <w:ind w:firstLine="640" w:firstLineChars="200"/>
        <w:rPr>
          <w:rFonts w:ascii="黑体" w:hAnsi="Times New Roman" w:eastAsia="黑体"/>
          <w:sz w:val="32"/>
          <w:szCs w:val="40"/>
        </w:rPr>
      </w:pPr>
      <w:r>
        <w:rPr>
          <w:rFonts w:hint="eastAsia" w:ascii="黑体" w:hAnsi="Times New Roman" w:eastAsia="黑体"/>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根据预算绩效管理要求，本单位组织对</w:t>
      </w: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年度项目支出全面开展绩效自评，其中，一般公共预算项目</w:t>
      </w:r>
      <w:r>
        <w:rPr>
          <w:rFonts w:ascii="仿宋_GB2312" w:hAnsi="仿宋_GB2312" w:eastAsia="仿宋_GB2312" w:cs="仿宋_GB2312"/>
          <w:sz w:val="32"/>
          <w:szCs w:val="32"/>
        </w:rPr>
        <w:t>7</w:t>
      </w:r>
      <w:r>
        <w:rPr>
          <w:rFonts w:hint="eastAsia" w:ascii="仿宋_GB2312" w:hAnsi="仿宋_GB2312" w:eastAsia="仿宋_GB2312" w:cs="仿宋_GB2312"/>
          <w:sz w:val="32"/>
          <w:szCs w:val="32"/>
        </w:rPr>
        <w:t>个，共涉及资金</w:t>
      </w:r>
      <w:r>
        <w:rPr>
          <w:rFonts w:ascii="仿宋_GB2312" w:hAnsi="仿宋_GB2312" w:eastAsia="仿宋_GB2312" w:cs="仿宋_GB2312"/>
          <w:sz w:val="32"/>
          <w:szCs w:val="32"/>
        </w:rPr>
        <w:t>41.73</w:t>
      </w:r>
      <w:r>
        <w:rPr>
          <w:rFonts w:hint="eastAsia" w:ascii="仿宋_GB2312" w:hAnsi="仿宋_GB2312" w:eastAsia="仿宋_GB2312" w:cs="仿宋_GB2312"/>
          <w:sz w:val="32"/>
          <w:szCs w:val="32"/>
        </w:rPr>
        <w:t>万元。</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w:t>
      </w:r>
      <w:r>
        <w:rPr>
          <w:rFonts w:ascii="楷体_GB2312" w:hAnsi="楷体_GB2312" w:eastAsia="楷体_GB2312" w:cs="楷体_GB2312"/>
          <w:b/>
          <w:bCs/>
          <w:sz w:val="32"/>
          <w:szCs w:val="32"/>
        </w:rPr>
        <w:t xml:space="preserve"> </w:t>
      </w:r>
      <w:r>
        <w:rPr>
          <w:rFonts w:hint="eastAsia" w:ascii="楷体_GB2312" w:hAnsi="楷体_GB2312" w:eastAsia="楷体_GB2312" w:cs="楷体_GB2312"/>
          <w:b/>
          <w:bCs/>
          <w:sz w:val="32"/>
          <w:szCs w:val="32"/>
        </w:rPr>
        <w:t>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本单位在今年部门决算公开中反映</w:t>
      </w:r>
      <w:r>
        <w:rPr>
          <w:rFonts w:hint="eastAsia" w:ascii="仿宋_GB2312" w:eastAsia="仿宋_GB2312" w:cs="DengXian-Regular"/>
          <w:sz w:val="32"/>
          <w:szCs w:val="32"/>
        </w:rPr>
        <w:t>教育常规检测</w:t>
      </w:r>
      <w:r>
        <w:rPr>
          <w:rFonts w:hint="eastAsia" w:ascii="仿宋_GB2312" w:hAnsi="仿宋_GB2312" w:eastAsia="仿宋_GB2312" w:cs="仿宋_GB2312"/>
          <w:sz w:val="32"/>
          <w:szCs w:val="32"/>
        </w:rPr>
        <w:t>项目及</w:t>
      </w:r>
      <w:r>
        <w:rPr>
          <w:rFonts w:hint="eastAsia" w:ascii="仿宋_GB2312" w:eastAsia="仿宋_GB2312" w:cs="DengXian-Regular"/>
          <w:sz w:val="32"/>
          <w:szCs w:val="32"/>
        </w:rPr>
        <w:t>督导评估、高考考试费</w:t>
      </w:r>
      <w:r>
        <w:rPr>
          <w:rFonts w:hint="eastAsia" w:ascii="仿宋_GB2312" w:hAnsi="仿宋_GB2312" w:eastAsia="仿宋_GB2312" w:cs="仿宋_GB2312"/>
          <w:sz w:val="32"/>
          <w:szCs w:val="32"/>
        </w:rPr>
        <w:t>项目等</w:t>
      </w:r>
      <w:r>
        <w:rPr>
          <w:rFonts w:ascii="仿宋_GB2312" w:hAnsi="仿宋_GB2312" w:eastAsia="仿宋_GB2312" w:cs="仿宋_GB2312"/>
          <w:sz w:val="32"/>
          <w:szCs w:val="32"/>
        </w:rPr>
        <w:t>7</w:t>
      </w:r>
      <w:r>
        <w:rPr>
          <w:rFonts w:hint="eastAsia" w:ascii="仿宋_GB2312" w:hAnsi="仿宋_GB2312" w:eastAsia="仿宋_GB2312" w:cs="仿宋_GB2312"/>
          <w:sz w:val="32"/>
          <w:szCs w:val="32"/>
        </w:rPr>
        <w:t>个项目。</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项目自评综述：根据年初设定的绩效目标，项目绩效自评得分为</w:t>
      </w:r>
      <w:r>
        <w:rPr>
          <w:rFonts w:ascii="仿宋_GB2312" w:hAnsi="仿宋_GB2312" w:eastAsia="仿宋_GB2312" w:cs="仿宋_GB2312"/>
          <w:sz w:val="32"/>
          <w:szCs w:val="32"/>
        </w:rPr>
        <w:t>95</w:t>
      </w:r>
      <w:r>
        <w:rPr>
          <w:rFonts w:hint="eastAsia" w:ascii="仿宋_GB2312" w:hAnsi="仿宋_GB2312" w:eastAsia="仿宋_GB2312" w:cs="仿宋_GB2312"/>
          <w:sz w:val="32"/>
          <w:szCs w:val="32"/>
        </w:rPr>
        <w:t>分。全年预算数为</w:t>
      </w:r>
      <w:r>
        <w:rPr>
          <w:rFonts w:ascii="仿宋_GB2312" w:hAnsi="仿宋_GB2312" w:eastAsia="仿宋_GB2312" w:cs="仿宋_GB2312"/>
          <w:sz w:val="32"/>
          <w:szCs w:val="32"/>
        </w:rPr>
        <w:t>51</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44.65</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87.55%</w:t>
      </w:r>
      <w:r>
        <w:rPr>
          <w:rFonts w:hint="eastAsia" w:ascii="仿宋_GB2312" w:hAnsi="仿宋_GB2312" w:eastAsia="仿宋_GB2312" w:cs="仿宋_GB2312"/>
          <w:sz w:val="32"/>
          <w:szCs w:val="32"/>
        </w:rPr>
        <w:t>。项目绩效目标完成情况：一是适当安排了完成的时间和进度；二是积极维护了教育活动的正常运行。下一步改进措施：一是进一步加强项目绩效的考核，努力做到量化细化；二是进一步统筹规划，在支出的过程中均衡收支，量入为出。</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项目绩效自评综述：</w:t>
      </w:r>
      <w:r>
        <w:rPr>
          <w:rFonts w:hint="eastAsia" w:ascii="仿宋_GB2312" w:eastAsia="仿宋_GB2312" w:cs="DengXian-Regular"/>
          <w:sz w:val="32"/>
          <w:szCs w:val="32"/>
        </w:rPr>
        <w:t>本单位认真开展了预算绩效管理改革开展情况自查，对单位全面规范绩效预算编制、严格预算执行管理、推进绩效评价工作、推进预决算信息公开等方面进行了自评，考核结果为优秀</w:t>
      </w:r>
      <w:r>
        <w:rPr>
          <w:rFonts w:hint="eastAsia" w:ascii="仿宋_GB2312" w:hAnsi="仿宋_GB2312" w:eastAsia="仿宋_GB2312" w:cs="仿宋_GB2312"/>
          <w:sz w:val="32"/>
          <w:szCs w:val="32"/>
        </w:rPr>
        <w:t>。</w:t>
      </w:r>
    </w:p>
    <w:p>
      <w:pPr>
        <w:adjustRightInd w:val="0"/>
        <w:snapToGrid w:val="0"/>
        <w:spacing w:line="600" w:lineRule="exact"/>
        <w:ind w:firstLine="643" w:firstLineChars="200"/>
        <w:rPr>
          <w:rFonts w:ascii="仿宋_GB2312" w:hAnsi="仿宋_GB2312" w:eastAsia="仿宋_GB2312" w:cs="仿宋_GB2312"/>
          <w:b/>
          <w:bCs/>
          <w:sz w:val="32"/>
          <w:szCs w:val="32"/>
        </w:rPr>
      </w:pPr>
      <w:r>
        <w:rPr>
          <w:rFonts w:hint="eastAsia" w:ascii="楷体_GB2312" w:hAnsi="楷体_GB2312" w:eastAsia="楷体_GB2312" w:cs="楷体_GB2312"/>
          <w:b/>
          <w:bCs/>
          <w:sz w:val="32"/>
          <w:szCs w:val="32"/>
        </w:rPr>
        <w:t>（三）财政评价项目绩效评价结果</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教育局</w:t>
      </w: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年度机关运行经费支出</w:t>
      </w:r>
      <w:r>
        <w:rPr>
          <w:rFonts w:ascii="仿宋_GB2312" w:hAnsi="仿宋_GB2312" w:eastAsia="仿宋_GB2312" w:cs="仿宋_GB2312"/>
          <w:sz w:val="32"/>
          <w:szCs w:val="32"/>
        </w:rPr>
        <w:t>141.71</w:t>
      </w:r>
      <w:r>
        <w:rPr>
          <w:rFonts w:hint="eastAsia" w:ascii="仿宋_GB2312" w:hAnsi="仿宋_GB2312" w:eastAsia="仿宋_GB2312" w:cs="仿宋_GB2312"/>
          <w:sz w:val="32"/>
          <w:szCs w:val="32"/>
        </w:rPr>
        <w:t>万元，比</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年度增加</w:t>
      </w:r>
      <w:r>
        <w:rPr>
          <w:rFonts w:ascii="仿宋_GB2312" w:hAnsi="仿宋_GB2312" w:eastAsia="仿宋_GB2312" w:cs="仿宋_GB2312"/>
          <w:sz w:val="32"/>
          <w:szCs w:val="32"/>
        </w:rPr>
        <w:t>6.93</w:t>
      </w:r>
      <w:r>
        <w:rPr>
          <w:rFonts w:hint="eastAsia" w:ascii="仿宋_GB2312" w:hAnsi="仿宋_GB2312" w:eastAsia="仿宋_GB2312" w:cs="仿宋_GB2312"/>
          <w:sz w:val="32"/>
          <w:szCs w:val="32"/>
        </w:rPr>
        <w:t>万元，增长</w:t>
      </w:r>
      <w:r>
        <w:rPr>
          <w:rFonts w:ascii="仿宋_GB2312" w:hAnsi="仿宋_GB2312" w:eastAsia="仿宋_GB2312" w:cs="仿宋_GB2312"/>
          <w:sz w:val="32"/>
          <w:szCs w:val="32"/>
        </w:rPr>
        <w:t>5.14%</w:t>
      </w:r>
      <w:r>
        <w:rPr>
          <w:rFonts w:hint="eastAsia" w:ascii="仿宋_GB2312" w:hAnsi="仿宋_GB2312" w:eastAsia="仿宋_GB2312" w:cs="仿宋_GB2312"/>
          <w:sz w:val="32"/>
          <w:szCs w:val="32"/>
        </w:rPr>
        <w:t>。主要是机关工作的人员增加，所需的机关运行费用也相应增加。。</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本单位</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年度政府采购支出总额</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w:t>
      </w:r>
    </w:p>
    <w:p>
      <w:pPr>
        <w:snapToGrid w:val="0"/>
        <w:spacing w:line="600" w:lineRule="exact"/>
        <w:ind w:firstLine="640" w:firstLineChars="200"/>
        <w:jc w:val="left"/>
        <w:rPr>
          <w:rFonts w:ascii="仿宋_GB2312" w:hAnsi="仿宋_GB2312" w:eastAsia="仿宋_GB2312" w:cs="仿宋_GB2312"/>
          <w:sz w:val="32"/>
          <w:szCs w:val="32"/>
          <w:highlight w:val="yellow"/>
        </w:rPr>
      </w:pP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w:t>
      </w:r>
      <w:r>
        <w:rPr>
          <w:rFonts w:ascii="仿宋_GB2312" w:hAnsi="Times New Roman" w:eastAsia="仿宋_GB2312" w:cs="DengXian-Regular"/>
          <w:sz w:val="32"/>
          <w:szCs w:val="32"/>
        </w:rPr>
        <w:t>12</w:t>
      </w:r>
      <w:r>
        <w:rPr>
          <w:rFonts w:hint="eastAsia" w:ascii="仿宋_GB2312" w:hAnsi="Times New Roman" w:eastAsia="仿宋_GB2312" w:cs="DengXian-Regular"/>
          <w:sz w:val="32"/>
          <w:szCs w:val="32"/>
        </w:rPr>
        <w:t>月</w:t>
      </w:r>
      <w:r>
        <w:rPr>
          <w:rFonts w:ascii="仿宋_GB2312" w:hAnsi="Times New Roman" w:eastAsia="仿宋_GB2312" w:cs="DengXian-Regular"/>
          <w:sz w:val="32"/>
          <w:szCs w:val="32"/>
        </w:rPr>
        <w:t>31</w:t>
      </w:r>
      <w:r>
        <w:rPr>
          <w:rFonts w:hint="eastAsia" w:ascii="仿宋_GB2312" w:hAnsi="Times New Roman" w:eastAsia="仿宋_GB2312" w:cs="DengXian-Regular"/>
          <w:sz w:val="32"/>
          <w:szCs w:val="32"/>
        </w:rPr>
        <w:t>日，本单位共有车辆</w:t>
      </w:r>
      <w:r>
        <w:rPr>
          <w:rFonts w:ascii="仿宋_GB2312" w:hAnsi="Times New Roman" w:eastAsia="仿宋_GB2312" w:cs="DengXian-Regular"/>
          <w:sz w:val="32"/>
          <w:szCs w:val="32"/>
        </w:rPr>
        <w:t>1</w:t>
      </w:r>
      <w:r>
        <w:rPr>
          <w:rFonts w:hint="eastAsia" w:ascii="仿宋_GB2312" w:hAnsi="Times New Roman" w:eastAsia="仿宋_GB2312" w:cs="DengXian-Regular"/>
          <w:sz w:val="32"/>
          <w:szCs w:val="32"/>
        </w:rPr>
        <w:t>辆，比上年无变化，其中，其他用车</w:t>
      </w:r>
      <w:r>
        <w:rPr>
          <w:rFonts w:ascii="仿宋_GB2312" w:hAnsi="Times New Roman" w:eastAsia="仿宋_GB2312" w:cs="DengXian-Regular"/>
          <w:sz w:val="32"/>
          <w:szCs w:val="32"/>
        </w:rPr>
        <w:t>1</w:t>
      </w:r>
      <w:r>
        <w:rPr>
          <w:rFonts w:hint="eastAsia" w:ascii="仿宋_GB2312" w:hAnsi="Times New Roman" w:eastAsia="仿宋_GB2312" w:cs="DengXian-Regular"/>
          <w:sz w:val="32"/>
          <w:szCs w:val="32"/>
        </w:rPr>
        <w:t>辆，其他用车主要是事业单位的业务用车；</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adjustRightInd w:val="0"/>
        <w:snapToGrid w:val="0"/>
        <w:spacing w:line="580" w:lineRule="exact"/>
        <w:ind w:firstLine="640" w:firstLineChars="200"/>
        <w:rPr>
          <w:rFonts w:ascii="仿宋_GB2312" w:eastAsia="仿宋_GB2312" w:cs="DengXian-Regular"/>
          <w:sz w:val="32"/>
          <w:szCs w:val="32"/>
        </w:rPr>
      </w:pPr>
      <w:r>
        <w:rPr>
          <w:rFonts w:ascii="仿宋_GB2312" w:hAnsi="Times New Roman" w:eastAsia="仿宋_GB2312" w:cs="DengXian-Regular"/>
          <w:sz w:val="32"/>
          <w:szCs w:val="32"/>
        </w:rPr>
        <w:t xml:space="preserve">1. </w:t>
      </w:r>
      <w:r>
        <w:rPr>
          <w:rFonts w:hint="eastAsia" w:ascii="仿宋_GB2312" w:hAnsi="Times New Roman" w:eastAsia="仿宋_GB2312" w:cs="DengXian-Regular"/>
          <w:sz w:val="32"/>
          <w:szCs w:val="32"/>
        </w:rPr>
        <w:t>本单位</w:t>
      </w:r>
      <w:r>
        <w:rPr>
          <w:rFonts w:ascii="仿宋_GB2312" w:hAnsi="Times New Roman" w:eastAsia="仿宋_GB2312" w:cs="DengXian-Regular"/>
          <w:sz w:val="32"/>
          <w:szCs w:val="32"/>
        </w:rPr>
        <w:t>2020</w:t>
      </w:r>
      <w:r>
        <w:rPr>
          <w:rFonts w:hint="eastAsia" w:ascii="仿宋_GB2312" w:hAnsi="Times New Roman" w:eastAsia="仿宋_GB2312" w:cs="DengXian-Regular"/>
          <w:sz w:val="32"/>
          <w:szCs w:val="32"/>
        </w:rPr>
        <w:t>年度</w:t>
      </w:r>
      <w:r>
        <w:rPr>
          <w:rFonts w:hint="eastAsia" w:ascii="楷体" w:hAnsi="楷体" w:eastAsia="楷体" w:cs="楷体"/>
          <w:sz w:val="32"/>
          <w:szCs w:val="32"/>
        </w:rPr>
        <w:t>无政府性基金财政拨款收入支出情况、无国有资产经营预算财政拨款情况、无政府采购情况</w:t>
      </w:r>
      <w:r>
        <w:rPr>
          <w:rFonts w:hint="eastAsia" w:ascii="仿宋_GB2312" w:eastAsia="仿宋_GB2312" w:cs="DengXian-Regular"/>
          <w:sz w:val="32"/>
          <w:szCs w:val="32"/>
        </w:rPr>
        <w:t>，故</w:t>
      </w:r>
      <w:r>
        <w:rPr>
          <w:rFonts w:hint="eastAsia" w:ascii="黑体" w:hAnsi="宋体" w:eastAsia="仿宋" w:cs="黑体"/>
          <w:color w:val="000000"/>
          <w:kern w:val="0"/>
          <w:sz w:val="32"/>
          <w:szCs w:val="36"/>
        </w:rPr>
        <w:t>政府性基金预算财政拨款</w:t>
      </w:r>
      <w:r>
        <w:pict>
          <v:group id="组合 8" o:spid="_x0000_s1038" o:spt="203" style="position:absolute;left:0pt;margin-left:-80.9pt;margin-top:-81.1pt;height:41.2pt;width:243.2pt;mso-position-vertical-relative:page;z-index:251661312;mso-width-relative:page;mso-height-relative:page;" coordorigin="4551,52615" coordsize="8546,1398">
            <o:lock v:ext="edit"/>
            <v:rect id="矩形 13" o:spid="_x0000_s1039" o:spt="1" style="position:absolute;left:4551;top:52615;height:1175;width:8546;v-text-anchor:middle;" fillcolor="#B8B8B8" filled="t" stroked="f" coordsize="21600,21600">
              <v:path/>
              <v:fill on="t" focussize="0,0"/>
              <v:stroke on="f" weight="2pt"/>
              <v:imagedata o:title=""/>
              <o:lock v:ext="edit"/>
            </v:rect>
            <v:rect id="矩形 14" o:spid="_x0000_s1040" o:spt="1" style="position:absolute;left:4577;top:52890;height:1123;width:8324;v-text-anchor:middle;" fillcolor="#AD002D" filled="t" stroked="t" coordsize="21600,2160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仿宋" w:cs="黑体"/>
          <w:color w:val="000000"/>
          <w:kern w:val="0"/>
          <w:sz w:val="32"/>
          <w:szCs w:val="36"/>
        </w:rPr>
        <w:t>收入支出决算表、</w:t>
      </w:r>
      <w:r>
        <w:rPr>
          <w:rFonts w:hint="eastAsia" w:ascii="黑体" w:hAnsi="宋体" w:eastAsia="仿宋" w:cs="黑体"/>
          <w:color w:val="000000"/>
          <w:kern w:val="0"/>
          <w:sz w:val="32"/>
          <w:szCs w:val="40"/>
        </w:rPr>
        <w:t>国有资本经营预算财政拨</w:t>
      </w:r>
      <w:r>
        <w:pict>
          <v:group id="组合 11" o:spid="_x0000_s1041" o:spt="203" style="position:absolute;left:0pt;margin-left:-80.9pt;margin-top:-81.1pt;height:41.2pt;width:243.2pt;mso-position-vertical-relative:page;z-index:251662336;mso-width-relative:page;mso-height-relative:page;" coordorigin="4551,52615" coordsize="8546,1398">
            <o:lock v:ext="edit"/>
            <v:rect id="矩形 13" o:spid="_x0000_s1042" o:spt="1" style="position:absolute;left:4551;top:52615;height:1175;width:8546;v-text-anchor:middle;" fillcolor="#B8B8B8" filled="t" stroked="f" coordsize="21600,21600">
              <v:path/>
              <v:fill on="t" focussize="0,0"/>
              <v:stroke on="f" weight="2pt"/>
              <v:imagedata o:title=""/>
              <o:lock v:ext="edit"/>
            </v:rect>
            <v:rect id="矩形 14" o:spid="_x0000_s1043" o:spt="1" style="position:absolute;left:4577;top:52890;height:1123;width:8324;v-text-anchor:middle;" fillcolor="#AD002D" filled="t" stroked="t" coordsize="21600,2160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仿宋" w:cs="黑体"/>
          <w:color w:val="000000"/>
          <w:kern w:val="0"/>
          <w:sz w:val="32"/>
          <w:szCs w:val="40"/>
        </w:rPr>
        <w:t>款支出决算表、政府采购</w:t>
      </w:r>
      <w:r>
        <w:pict>
          <v:group id="组合 14" o:spid="_x0000_s1044" o:spt="203" style="position:absolute;left:0pt;margin-left:-68.9pt;margin-top:-69.1pt;height:41.2pt;width:243.2pt;mso-position-vertical-relative:page;z-index:251663360;mso-width-relative:page;mso-height-relative:page;" coordorigin="4551,52615" coordsize="8546,1398">
            <o:lock v:ext="edit"/>
            <v:rect id="矩形 13" o:spid="_x0000_s1045" o:spt="1" style="position:absolute;left:4551;top:52615;height:1175;width:8546;v-text-anchor:middle;" fillcolor="#B8B8B8" filled="t" stroked="f" coordsize="21600,21600">
              <v:path/>
              <v:fill on="t" focussize="0,0"/>
              <v:stroke on="f" weight="2pt"/>
              <v:imagedata o:title=""/>
              <o:lock v:ext="edit"/>
            </v:rect>
            <v:rect id="矩形 14" o:spid="_x0000_s1046" o:spt="1" style="position:absolute;left:4577;top:52890;height:1123;width:8324;v-text-anchor:middle;" fillcolor="#AD002D" filled="t" stroked="t" coordsize="21600,2160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仿宋" w:cs="黑体"/>
          <w:color w:val="000000"/>
          <w:kern w:val="0"/>
          <w:sz w:val="32"/>
          <w:szCs w:val="40"/>
        </w:rPr>
        <w:t>情况表</w:t>
      </w:r>
      <w:r>
        <w:rPr>
          <w:rFonts w:hint="eastAsia" w:ascii="仿宋" w:hAnsi="仿宋" w:eastAsia="仿宋" w:cs="仿宋"/>
          <w:sz w:val="32"/>
          <w:szCs w:val="32"/>
        </w:rPr>
        <w:t>空表</w:t>
      </w:r>
      <w:r>
        <w:rPr>
          <w:rFonts w:hint="eastAsia" w:ascii="仿宋_GB2312" w:eastAsia="仿宋_GB2312" w:cs="DengXian-Regular"/>
          <w:sz w:val="32"/>
          <w:szCs w:val="32"/>
        </w:rPr>
        <w:t>列示。</w:t>
      </w:r>
    </w:p>
    <w:p>
      <w:pPr>
        <w:rPr>
          <w:rFonts w:ascii="仿宋_GB2312" w:hAnsi="宋体" w:eastAsia="仿宋_GB2312" w:cs="Arial Black"/>
          <w:sz w:val="32"/>
          <w:szCs w:val="32"/>
        </w:rPr>
      </w:pPr>
      <w:r>
        <w:rPr>
          <w:rFonts w:ascii="仿宋_GB2312" w:hAnsi="Times New Roman" w:eastAsia="仿宋_GB2312" w:cs="DengXian-Regular"/>
          <w:sz w:val="32"/>
          <w:szCs w:val="32"/>
        </w:rPr>
        <w:t xml:space="preserve">2. </w:t>
      </w:r>
      <w:r>
        <w:rPr>
          <w:rFonts w:hint="eastAsia" w:ascii="仿宋_GB2312" w:hAnsi="Times New Roman" w:eastAsia="仿宋_GB2312" w:cs="DengXian-Regular"/>
          <w:sz w:val="32"/>
          <w:szCs w:val="32"/>
        </w:rPr>
        <w:t>由于决算公开表格中金额数值应当保留两位小数，公开数据为四舍五入计算结果，个别数据合计项与分项之和存在小数点后差额，特此说明。</w:t>
      </w: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pict>
          <v:shape id="_x0000_s1047" o:spid="_x0000_s1047" o:spt="202" type="#_x0000_t202" style="position:absolute;left:0pt;margin-left:-81.9pt;margin-top:2.05pt;height:263.1pt;width:613.65pt;z-index:251654144;v-text-anchor:middle;mso-width-relative:page;mso-height-relative:page;" fillcolor="#7F7F7F" filled="t" stroked="t" coordsize="21600,21600">
            <v:path/>
            <v:fill type="pattern" on="t" focussize="0,0"/>
            <v:stroke weight="0.5pt" color="#7F7F7F" joinstyle="round"/>
            <v:imagedata o:title=""/>
            <o:lock v:ext="edit"/>
            <v:textbox>
              <w:txbxContent>
                <w:p>
                  <w:pPr>
                    <w:widowControl/>
                    <w:jc w:val="center"/>
                  </w:pPr>
                  <w:r>
                    <w:rPr>
                      <w:rFonts w:hint="eastAsia" w:ascii="黑体" w:hAnsi="黑体" w:eastAsia="黑体" w:cs="黑体"/>
                      <w:color w:val="000000"/>
                      <w:sz w:val="90"/>
                      <w:szCs w:val="90"/>
                    </w:rPr>
                    <w:t>第三部分</w:t>
                  </w:r>
                  <w:r>
                    <w:rPr>
                      <w:rFonts w:ascii="黑体" w:hAnsi="黑体" w:eastAsia="黑体" w:cs="黑体"/>
                      <w:color w:val="000000"/>
                      <w:sz w:val="90"/>
                      <w:szCs w:val="90"/>
                    </w:rPr>
                    <w:t xml:space="preserve"> </w:t>
                  </w:r>
                  <w:r>
                    <w:rPr>
                      <w:rFonts w:hint="eastAsia" w:ascii="黑体" w:hAnsi="黑体" w:eastAsia="黑体" w:cs="黑体"/>
                      <w:color w:val="000000"/>
                      <w:sz w:val="90"/>
                      <w:szCs w:val="90"/>
                    </w:rPr>
                    <w:t>相关名词解释</w:t>
                  </w:r>
                </w:p>
              </w:txbxContent>
            </v:textbox>
          </v:shape>
        </w:pict>
      </w:r>
      <w:r>
        <w:rPr>
          <w:rFonts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（九）基本建设支出：</w:t>
      </w:r>
      <w:r>
        <w:rPr>
          <w:rFonts w:hint="eastAsia" w:ascii="仿宋_GB2312" w:hAnsi="宋体" w:eastAsia="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（十）其他资本性支出：</w:t>
      </w:r>
      <w:r>
        <w:rPr>
          <w:rFonts w:hint="eastAsia" w:ascii="仿宋_GB2312" w:hAnsi="宋体" w:eastAsia="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（十三）公务用车购置：</w:t>
      </w:r>
      <w:r>
        <w:rPr>
          <w:rFonts w:hint="eastAsia" w:ascii="仿宋_GB2312" w:hAnsi="宋体" w:eastAsia="仿宋_GB2312"/>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（十四）其他交通工具购置：</w:t>
      </w:r>
      <w:r>
        <w:rPr>
          <w:rFonts w:hint="eastAsia" w:ascii="仿宋_GB2312" w:hAnsi="宋体" w:eastAsia="仿宋_GB2312"/>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b/>
          <w:bCs/>
          <w:color w:val="000000"/>
          <w:kern w:val="0"/>
          <w:sz w:val="32"/>
          <w:szCs w:val="32"/>
        </w:rPr>
        <w:t>（十六）经费形式</w:t>
      </w:r>
      <w:r>
        <w:rPr>
          <w:rFonts w:ascii="仿宋_GB2312" w:hAnsi="宋体" w:eastAsia="仿宋_GB2312"/>
          <w:b/>
          <w:bCs/>
          <w:color w:val="000000"/>
          <w:kern w:val="0"/>
          <w:sz w:val="32"/>
          <w:szCs w:val="32"/>
        </w:rPr>
        <w:t>:</w:t>
      </w:r>
      <w:r>
        <w:rPr>
          <w:rFonts w:hint="eastAsia" w:ascii="仿宋_GB2312" w:hAnsi="宋体" w:eastAsia="仿宋_GB2312"/>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jc w:val="left"/>
        <w:rPr>
          <w:rFonts w:ascii="仿宋_GB2312" w:hAnsi="Cambria" w:eastAsia="仿宋_GB2312" w:cs="Arial Black"/>
          <w:kern w:val="0"/>
          <w:sz w:val="32"/>
          <w:szCs w:val="32"/>
        </w:rPr>
      </w:pPr>
    </w:p>
    <w:p>
      <w:pPr>
        <w:tabs>
          <w:tab w:val="left" w:pos="235"/>
        </w:tabs>
        <w:spacing w:line="600" w:lineRule="exact"/>
        <w:jc w:val="left"/>
        <w:rPr>
          <w:rFonts w:ascii="仿宋_GB2312" w:hAnsi="Cambria" w:eastAsia="仿宋_GB2312" w:cs="Arial Black"/>
          <w:kern w:val="0"/>
          <w:sz w:val="32"/>
          <w:szCs w:val="32"/>
        </w:rPr>
      </w:pPr>
    </w:p>
    <w:p>
      <w:pPr>
        <w:tabs>
          <w:tab w:val="left" w:pos="235"/>
        </w:tabs>
        <w:spacing w:line="600" w:lineRule="exact"/>
        <w:jc w:val="left"/>
        <w:rPr>
          <w:rFonts w:ascii="仿宋_GB2312" w:hAnsi="Cambria" w:eastAsia="仿宋_GB2312" w:cs="Arial Black"/>
          <w:kern w:val="0"/>
          <w:sz w:val="32"/>
          <w:szCs w:val="32"/>
        </w:rPr>
      </w:pPr>
    </w:p>
    <w:p>
      <w:pPr>
        <w:tabs>
          <w:tab w:val="left" w:pos="235"/>
        </w:tabs>
        <w:spacing w:line="600" w:lineRule="exact"/>
        <w:jc w:val="left"/>
        <w:rPr>
          <w:rFonts w:ascii="仿宋_GB2312" w:hAnsi="Cambria" w:eastAsia="仿宋_GB2312" w:cs="Arial Black"/>
          <w:kern w:val="0"/>
          <w:sz w:val="32"/>
          <w:szCs w:val="32"/>
        </w:rPr>
      </w:pPr>
    </w:p>
    <w:p>
      <w:pPr>
        <w:tabs>
          <w:tab w:val="left" w:pos="235"/>
        </w:tabs>
        <w:spacing w:line="600" w:lineRule="exact"/>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sz w:val="32"/>
          <w:szCs w:val="32"/>
        </w:rPr>
        <w:sectPr>
          <w:headerReference r:id="rId8" w:type="default"/>
          <w:pgSz w:w="11906" w:h="16838"/>
          <w:pgMar w:top="2098" w:right="1531" w:bottom="1984" w:left="1531" w:header="851" w:footer="992" w:gutter="0"/>
          <w:pgNumType w:fmt="numberInDash"/>
          <w:cols w:space="0" w:num="1"/>
          <w:titlePg/>
          <w:docGrid w:type="lines" w:linePitch="312" w:charSpace="0"/>
        </w:sectPr>
      </w:pPr>
    </w:p>
    <w:p>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pict>
          <v:shape id="_x0000_s1048" o:spid="_x0000_s1048" o:spt="202" type="#_x0000_t202" style="position:absolute;left:0pt;margin-left:-80.9pt;margin-top:90.65pt;height:263.1pt;width:613.65pt;z-index:251658240;v-text-anchor:middle;mso-width-relative:page;mso-height-relative:page;" fillcolor="#7F7F7F" filled="t" stroked="t" coordsize="21600,21600">
            <v:path/>
            <v:fill type="pattern" on="t" focussize="0,0"/>
            <v:stroke weight="1pt" color="#A6A6A6" joinstyle="round"/>
            <v:imagedata o:title=""/>
            <o:lock v:ext="edit"/>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第四部分</w:t>
                  </w:r>
                  <w:r>
                    <w:rPr>
                      <w:rFonts w:ascii="黑体" w:hAnsi="黑体" w:eastAsia="黑体" w:cs="黑体"/>
                      <w:color w:val="000000"/>
                      <w:sz w:val="90"/>
                      <w:szCs w:val="90"/>
                    </w:rPr>
                    <w:t xml:space="preserve"> </w:t>
                  </w:r>
                </w:p>
                <w:p>
                  <w:pPr>
                    <w:widowControl/>
                    <w:jc w:val="center"/>
                  </w:pPr>
                  <w:r>
                    <w:rPr>
                      <w:rFonts w:ascii="黑体" w:hAnsi="黑体" w:eastAsia="黑体" w:cs="黑体"/>
                      <w:color w:val="000000"/>
                      <w:sz w:val="90"/>
                      <w:szCs w:val="90"/>
                    </w:rPr>
                    <w:t>2020</w:t>
                  </w:r>
                  <w:r>
                    <w:rPr>
                      <w:rFonts w:hint="eastAsia" w:ascii="黑体" w:hAnsi="黑体" w:eastAsia="黑体" w:cs="黑体"/>
                      <w:color w:val="000000"/>
                      <w:sz w:val="90"/>
                      <w:szCs w:val="90"/>
                    </w:rPr>
                    <w:t>年度部门决算报表</w:t>
                  </w:r>
                </w:p>
                <w:p/>
              </w:txbxContent>
            </v:textbox>
          </v:shape>
        </w:pict>
      </w:r>
    </w:p>
    <w:p>
      <w:pPr>
        <w:spacing w:line="400" w:lineRule="exact"/>
        <w:rPr>
          <w:rFonts w:ascii="黑体" w:hAnsi="宋体" w:eastAsia="黑体" w:cs="黑体"/>
          <w:color w:val="000000"/>
          <w:kern w:val="0"/>
          <w:sz w:val="28"/>
          <w:szCs w:val="28"/>
        </w:rPr>
      </w:pPr>
      <w:r>
        <w:pict>
          <v:shape id="_x0000_s1049" o:spid="_x0000_s1049" o:spt="75" type="#_x0000_t75" style="position:absolute;left:0pt;margin-left:-5.25pt;margin-top:31.2pt;height:357.75pt;width:441.75pt;z-index:251664384;mso-width-relative:page;mso-height-relative:page;" filled="f" o:preferrelative="t" stroked="f" coordsize="21600,21600">
            <v:path/>
            <v:fill on="f" focussize="0,0"/>
            <v:stroke on="f" joinstyle="miter"/>
            <v:imagedata r:id="rId17" o:title=""/>
            <o:lock v:ext="edit" aspectratio="t"/>
          </v:shape>
        </w:pict>
      </w:r>
    </w:p>
    <w:p>
      <w:pPr>
        <w:spacing w:line="400" w:lineRule="exact"/>
        <w:rPr>
          <w:rFonts w:ascii="黑体" w:hAnsi="宋体" w:eastAsia="黑体" w:cs="黑体"/>
          <w:color w:val="000000"/>
          <w:kern w:val="0"/>
          <w:sz w:val="28"/>
          <w:szCs w:val="28"/>
        </w:rPr>
        <w:sectPr>
          <w:pgSz w:w="11906" w:h="16838"/>
          <w:pgMar w:top="2098" w:right="1531" w:bottom="1984" w:left="1531" w:header="851" w:footer="992" w:gutter="0"/>
          <w:cols w:space="425" w:num="1"/>
          <w:docGrid w:type="lines" w:linePitch="312" w:charSpace="0"/>
        </w:sectPr>
      </w:pPr>
    </w:p>
    <w:p>
      <w:pPr>
        <w:jc w:val="left"/>
      </w:pPr>
      <w:r>
        <w:pict>
          <v:shape id="_x0000_i1025" o:spt="75" type="#_x0000_t75" style="height:217.5pt;width:438pt;" filled="f" o:preferrelative="t" stroked="f" coordsize="21600,21600">
            <v:path/>
            <v:fill on="f" focussize="0,0"/>
            <v:stroke on="f" joinstyle="miter"/>
            <v:imagedata r:id="rId18" o:title=""/>
            <o:lock v:ext="edit" aspectratio="t"/>
            <w10:wrap type="none"/>
            <w10:anchorlock/>
          </v:shape>
        </w:pict>
      </w:r>
    </w:p>
    <w:p>
      <w:r>
        <w:br w:type="page"/>
      </w:r>
    </w:p>
    <w:p>
      <w:r>
        <w:pict>
          <v:shape id="_x0000_i1026" o:spt="75" type="#_x0000_t75" style="height:217.5pt;width:440.25pt;" filled="f" o:preferrelative="t" stroked="f" coordsize="21600,21600">
            <v:path/>
            <v:fill on="f" focussize="0,0"/>
            <v:stroke on="f" joinstyle="miter"/>
            <v:imagedata r:id="rId19" o:title=""/>
            <o:lock v:ext="edit" aspectratio="t"/>
            <w10:wrap type="none"/>
            <w10:anchorlock/>
          </v:shape>
        </w:pict>
      </w:r>
      <w:r>
        <w:br w:type="page"/>
      </w:r>
    </w:p>
    <w:p>
      <w:r>
        <w:pict>
          <v:shape id="_x0000_i1027" o:spt="75" type="#_x0000_t75" style="height:326.25pt;width:440.25pt;" filled="f" o:preferrelative="t" stroked="f" coordsize="21600,21600">
            <v:path/>
            <v:fill on="f" focussize="0,0"/>
            <v:stroke on="f" joinstyle="miter"/>
            <v:imagedata r:id="rId20" o:title=""/>
            <o:lock v:ext="edit" aspectratio="t"/>
            <w10:wrap type="none"/>
            <w10:anchorlock/>
          </v:shape>
        </w:pict>
      </w:r>
      <w:r>
        <w:br w:type="page"/>
      </w:r>
    </w:p>
    <w:p>
      <w:pPr>
        <w:widowControl/>
        <w:jc w:val="center"/>
        <w:textAlignment w:val="center"/>
        <w:rPr>
          <w:rFonts w:ascii="黑体" w:hAnsi="宋体" w:eastAsia="黑体" w:cs="黑体"/>
          <w:color w:val="000000"/>
          <w:kern w:val="0"/>
          <w:sz w:val="28"/>
          <w:szCs w:val="28"/>
        </w:rPr>
        <w:sectPr>
          <w:pgSz w:w="11906" w:h="16838"/>
          <w:pgMar w:top="2098" w:right="1531" w:bottom="1984" w:left="1531" w:header="851" w:footer="992" w:gutter="0"/>
          <w:cols w:space="425" w:num="1"/>
          <w:docGrid w:type="lines" w:linePitch="312" w:charSpace="0"/>
        </w:sectPr>
      </w:pPr>
      <w:r>
        <w:pict>
          <v:shape id="_x0000_i1028" o:spt="75" type="#_x0000_t75" style="height:199.5pt;width:438pt;" filled="f" o:preferrelative="t" stroked="f" coordsize="21600,21600">
            <v:path/>
            <v:fill on="f" focussize="0,0"/>
            <v:stroke on="f" joinstyle="miter"/>
            <v:imagedata r:id="rId21" o:title=""/>
            <o:lock v:ext="edit" aspectratio="t"/>
            <w10:wrap type="none"/>
            <w10:anchorlock/>
          </v:shape>
        </w:pict>
      </w:r>
    </w:p>
    <w:p>
      <w:pPr>
        <w:widowControl/>
        <w:jc w:val="center"/>
        <w:textAlignment w:val="center"/>
        <w:sectPr>
          <w:pgSz w:w="16838" w:h="11906" w:orient="landscape"/>
          <w:pgMar w:top="1531" w:right="2098" w:bottom="1531" w:left="1984" w:header="851" w:footer="992" w:gutter="0"/>
          <w:cols w:space="425" w:num="1"/>
          <w:docGrid w:type="lines" w:linePitch="312" w:charSpace="0"/>
        </w:sectPr>
      </w:pPr>
      <w:r>
        <w:pict>
          <v:shape id="_x0000_i1029" o:spt="75" type="#_x0000_t75" style="height:363pt;width:636pt;" filled="f" o:preferrelative="t" stroked="f" coordsize="21600,21600">
            <v:path/>
            <v:fill on="f" focussize="0,0"/>
            <v:stroke on="f" joinstyle="miter"/>
            <v:imagedata r:id="rId22" o:title=""/>
            <o:lock v:ext="edit" aspectratio="t"/>
            <w10:wrap type="none"/>
            <w10:anchorlock/>
          </v:shape>
        </w:pict>
      </w:r>
    </w:p>
    <w:p>
      <w:r>
        <w:pict>
          <v:shape id="_x0000_i1030" o:spt="75" type="#_x0000_t75" style="height:106.5pt;width:440.25pt;" filled="f" o:preferrelative="t" stroked="f" coordsize="21600,21600">
            <v:path/>
            <v:fill on="f" focussize="0,0"/>
            <v:stroke on="f" joinstyle="miter"/>
            <v:imagedata r:id="rId23" o:title=""/>
            <o:lock v:ext="edit" aspectratio="t"/>
            <w10:wrap type="none"/>
            <w10:anchorlock/>
          </v:shape>
        </w:pict>
      </w:r>
      <w:r>
        <w:rPr>
          <w:rFonts w:hint="eastAsia" w:ascii="宋体" w:hAnsi="宋体" w:cs="宋体"/>
          <w:sz w:val="20"/>
          <w:szCs w:val="22"/>
        </w:rPr>
        <w:t>注：本表反映部门本年度“三公”经费支出预决算情况。其中：预算数为“三公”经费</w:t>
      </w:r>
      <w:r>
        <w:rPr>
          <w:rFonts w:hint="eastAsia" w:ascii="宋体" w:hAnsi="宋体" w:cs="宋体"/>
          <w:b/>
          <w:sz w:val="20"/>
          <w:szCs w:val="22"/>
        </w:rPr>
        <w:t>全年预算数</w:t>
      </w:r>
      <w:r>
        <w:rPr>
          <w:rFonts w:hint="eastAsia" w:ascii="宋体" w:hAnsi="宋体" w:cs="宋体"/>
          <w:sz w:val="20"/>
          <w:szCs w:val="22"/>
        </w:rPr>
        <w:t>，反映按规定程序调整后的预算数；决算数是包括当年一般公共预算财政拨款和以前年度结转资金安排的实际支出。</w:t>
      </w:r>
      <w:r>
        <w:rPr>
          <w:rFonts w:ascii="仿宋_GB2312" w:hAnsi="仿宋_GB2312" w:eastAsia="仿宋_GB2312" w:cs="仿宋_GB2312"/>
          <w:sz w:val="20"/>
          <w:szCs w:val="22"/>
        </w:rPr>
        <w:tab/>
      </w:r>
      <w:r>
        <w:rPr>
          <w:sz w:val="20"/>
          <w:szCs w:val="22"/>
        </w:rPr>
        <w:tab/>
      </w:r>
      <w:r>
        <w:tab/>
      </w:r>
      <w:r>
        <w:tab/>
      </w:r>
      <w:r>
        <w:tab/>
      </w:r>
      <w:r>
        <w:tab/>
      </w:r>
      <w:r>
        <w:tab/>
      </w:r>
      <w:r>
        <w:tab/>
      </w:r>
      <w:r>
        <w:tab/>
      </w:r>
      <w:r>
        <w:tab/>
      </w:r>
      <w:r>
        <w:tab/>
      </w:r>
      <w:r>
        <w:br w:type="page"/>
      </w:r>
    </w:p>
    <w:tbl>
      <w:tblPr>
        <w:tblStyle w:val="6"/>
        <w:tblW w:w="9510" w:type="dxa"/>
        <w:jc w:val="center"/>
        <w:tblInd w:w="0" w:type="dxa"/>
        <w:tblLayout w:type="fixed"/>
        <w:tblCellMar>
          <w:top w:w="0" w:type="dxa"/>
          <w:left w:w="0" w:type="dxa"/>
          <w:bottom w:w="0" w:type="dxa"/>
          <w:right w:w="0" w:type="dxa"/>
        </w:tblCellMar>
      </w:tblPr>
      <w:tblGrid>
        <w:gridCol w:w="967"/>
        <w:gridCol w:w="61"/>
        <w:gridCol w:w="61"/>
        <w:gridCol w:w="1407"/>
        <w:gridCol w:w="1169"/>
        <w:gridCol w:w="1169"/>
        <w:gridCol w:w="1169"/>
        <w:gridCol w:w="1169"/>
        <w:gridCol w:w="1169"/>
        <w:gridCol w:w="1169"/>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967" w:type="dxa"/>
            <w:tcBorders>
              <w:top w:val="nil"/>
              <w:left w:val="nil"/>
              <w:bottom w:val="nil"/>
              <w:right w:val="nil"/>
            </w:tcBorders>
            <w:tcMar>
              <w:top w:w="15" w:type="dxa"/>
              <w:left w:w="15" w:type="dxa"/>
              <w:right w:w="15" w:type="dxa"/>
            </w:tcMar>
            <w:vAlign w:val="bottom"/>
          </w:tcPr>
          <w:p>
            <w:pPr>
              <w:spacing w:line="240" w:lineRule="exact"/>
              <w:rPr>
                <w:rFonts w:ascii="Arial" w:hAnsi="Arial" w:cs="Arial"/>
                <w:color w:val="000000"/>
                <w:sz w:val="18"/>
                <w:szCs w:val="18"/>
              </w:rPr>
            </w:pPr>
          </w:p>
        </w:tc>
        <w:tc>
          <w:tcPr>
            <w:tcW w:w="61" w:type="dxa"/>
            <w:tcBorders>
              <w:top w:val="nil"/>
              <w:left w:val="nil"/>
              <w:bottom w:val="nil"/>
              <w:right w:val="nil"/>
            </w:tcBorders>
            <w:tcMar>
              <w:top w:w="15" w:type="dxa"/>
              <w:left w:w="15" w:type="dxa"/>
              <w:right w:w="15" w:type="dxa"/>
            </w:tcMar>
            <w:vAlign w:val="bottom"/>
          </w:tcPr>
          <w:p>
            <w:pPr>
              <w:spacing w:line="240" w:lineRule="exact"/>
              <w:rPr>
                <w:rFonts w:ascii="Arial" w:hAnsi="Arial" w:cs="Arial"/>
                <w:color w:val="000000"/>
                <w:sz w:val="18"/>
                <w:szCs w:val="18"/>
              </w:rPr>
            </w:pPr>
          </w:p>
        </w:tc>
        <w:tc>
          <w:tcPr>
            <w:tcW w:w="61" w:type="dxa"/>
            <w:tcBorders>
              <w:top w:val="nil"/>
              <w:left w:val="nil"/>
              <w:bottom w:val="nil"/>
              <w:right w:val="nil"/>
            </w:tcBorders>
            <w:tcMar>
              <w:top w:w="15" w:type="dxa"/>
              <w:left w:w="15" w:type="dxa"/>
              <w:right w:w="15" w:type="dxa"/>
            </w:tcMar>
            <w:vAlign w:val="bottom"/>
          </w:tcPr>
          <w:p>
            <w:pPr>
              <w:spacing w:line="240" w:lineRule="exact"/>
              <w:rPr>
                <w:rFonts w:ascii="Arial" w:hAnsi="Arial" w:cs="Arial"/>
                <w:color w:val="000000"/>
                <w:sz w:val="18"/>
                <w:szCs w:val="18"/>
              </w:rPr>
            </w:pPr>
          </w:p>
        </w:tc>
        <w:tc>
          <w:tcPr>
            <w:tcW w:w="1407" w:type="dxa"/>
            <w:tcBorders>
              <w:top w:val="nil"/>
              <w:left w:val="nil"/>
              <w:bottom w:val="nil"/>
              <w:right w:val="nil"/>
            </w:tcBorders>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tcMar>
              <w:top w:w="15" w:type="dxa"/>
              <w:left w:w="15" w:type="dxa"/>
              <w:right w:w="15" w:type="dxa"/>
            </w:tcMar>
            <w:vAlign w:val="bottom"/>
          </w:tcPr>
          <w:p>
            <w:pPr>
              <w:spacing w:line="240" w:lineRule="exact"/>
              <w:rPr>
                <w:rFonts w:ascii="Arial" w:hAnsi="Arial" w:cs="Arial"/>
                <w:color w:val="000000"/>
                <w:sz w:val="18"/>
                <w:szCs w:val="18"/>
              </w:rPr>
            </w:pPr>
          </w:p>
        </w:tc>
        <w:tc>
          <w:tcPr>
            <w:tcW w:w="2338" w:type="dxa"/>
            <w:gridSpan w:val="2"/>
            <w:tcBorders>
              <w:top w:val="nil"/>
              <w:left w:val="nil"/>
              <w:bottom w:val="nil"/>
              <w:right w:val="nil"/>
            </w:tcBorders>
            <w:tcMar>
              <w:top w:w="15" w:type="dxa"/>
              <w:left w:w="15" w:type="dxa"/>
              <w:right w:w="15" w:type="dxa"/>
            </w:tcMar>
            <w:vAlign w:val="bottom"/>
          </w:tcPr>
          <w:p>
            <w:pPr>
              <w:widowControl/>
              <w:spacing w:line="240" w:lineRule="exact"/>
              <w:jc w:val="right"/>
              <w:textAlignment w:val="bottom"/>
              <w:rPr>
                <w:rFonts w:ascii="宋体" w:cs="宋体"/>
                <w:color w:val="000000"/>
                <w:sz w:val="18"/>
                <w:szCs w:val="18"/>
              </w:rPr>
            </w:pPr>
            <w:r>
              <w:rPr>
                <w:rFonts w:hint="eastAsia" w:ascii="宋体" w:hAnsi="宋体" w:cs="宋体"/>
                <w:color w:val="000000"/>
                <w:kern w:val="0"/>
                <w:sz w:val="18"/>
                <w:szCs w:val="18"/>
              </w:rPr>
              <w:t>公开</w:t>
            </w:r>
            <w:r>
              <w:rPr>
                <w:rFonts w:ascii="宋体" w:hAnsi="宋体" w:cs="宋体"/>
                <w:color w:val="000000"/>
                <w:kern w:val="0"/>
                <w:sz w:val="18"/>
                <w:szCs w:val="18"/>
              </w:rPr>
              <w:t>08</w:t>
            </w:r>
            <w:r>
              <w:rPr>
                <w:rFonts w:hint="eastAsia" w:ascii="宋体" w:hAnsi="宋体" w:cs="宋体"/>
                <w:color w:val="000000"/>
                <w:kern w:val="0"/>
                <w:sz w:val="18"/>
                <w:szCs w:val="18"/>
              </w:rPr>
              <w:t>表</w:t>
            </w:r>
          </w:p>
        </w:tc>
      </w:tr>
      <w:tr>
        <w:tblPrEx>
          <w:tblLayout w:type="fixed"/>
          <w:tblCellMar>
            <w:top w:w="0" w:type="dxa"/>
            <w:left w:w="0" w:type="dxa"/>
            <w:bottom w:w="0" w:type="dxa"/>
            <w:right w:w="0" w:type="dxa"/>
          </w:tblCellMar>
        </w:tblPrEx>
        <w:trPr>
          <w:trHeight w:val="255" w:hRule="atLeast"/>
          <w:jc w:val="center"/>
        </w:trPr>
        <w:tc>
          <w:tcPr>
            <w:tcW w:w="967" w:type="dxa"/>
            <w:tcBorders>
              <w:top w:val="nil"/>
              <w:left w:val="nil"/>
              <w:bottom w:val="nil"/>
              <w:right w:val="nil"/>
            </w:tcBorders>
            <w:tcMar>
              <w:top w:w="15" w:type="dxa"/>
              <w:left w:w="15" w:type="dxa"/>
              <w:right w:w="15" w:type="dxa"/>
            </w:tcMar>
            <w:vAlign w:val="bottom"/>
          </w:tcPr>
          <w:p>
            <w:pPr>
              <w:widowControl/>
              <w:spacing w:line="240" w:lineRule="exact"/>
              <w:jc w:val="left"/>
              <w:textAlignment w:val="bottom"/>
              <w:rPr>
                <w:rFonts w:ascii="宋体" w:cs="宋体"/>
                <w:color w:val="000000"/>
                <w:sz w:val="18"/>
                <w:szCs w:val="18"/>
              </w:rPr>
            </w:pPr>
            <w:r>
              <w:rPr>
                <w:rFonts w:hint="eastAsia" w:ascii="宋体" w:hAnsi="宋体" w:cs="宋体"/>
                <w:color w:val="000000"/>
                <w:kern w:val="0"/>
                <w:sz w:val="18"/>
                <w:szCs w:val="18"/>
              </w:rPr>
              <w:t>部门：</w:t>
            </w:r>
          </w:p>
        </w:tc>
        <w:tc>
          <w:tcPr>
            <w:tcW w:w="61" w:type="dxa"/>
            <w:tcBorders>
              <w:top w:val="nil"/>
              <w:left w:val="nil"/>
              <w:bottom w:val="nil"/>
              <w:right w:val="nil"/>
            </w:tcBorders>
            <w:tcMar>
              <w:top w:w="15" w:type="dxa"/>
              <w:left w:w="15" w:type="dxa"/>
              <w:right w:w="15" w:type="dxa"/>
            </w:tcMar>
            <w:vAlign w:val="bottom"/>
          </w:tcPr>
          <w:p>
            <w:pPr>
              <w:spacing w:line="240" w:lineRule="exact"/>
              <w:rPr>
                <w:rFonts w:ascii="Arial" w:hAnsi="Arial" w:cs="Arial"/>
                <w:color w:val="000000"/>
                <w:sz w:val="18"/>
                <w:szCs w:val="18"/>
              </w:rPr>
            </w:pPr>
          </w:p>
        </w:tc>
        <w:tc>
          <w:tcPr>
            <w:tcW w:w="61" w:type="dxa"/>
            <w:tcBorders>
              <w:top w:val="nil"/>
              <w:left w:val="nil"/>
              <w:bottom w:val="nil"/>
              <w:right w:val="nil"/>
            </w:tcBorders>
            <w:tcMar>
              <w:top w:w="15" w:type="dxa"/>
              <w:left w:w="15" w:type="dxa"/>
              <w:right w:w="15" w:type="dxa"/>
            </w:tcMar>
            <w:vAlign w:val="bottom"/>
          </w:tcPr>
          <w:p>
            <w:pPr>
              <w:spacing w:line="240" w:lineRule="exact"/>
              <w:rPr>
                <w:rFonts w:ascii="Arial" w:hAnsi="Arial" w:cs="Arial"/>
                <w:color w:val="000000"/>
                <w:sz w:val="18"/>
                <w:szCs w:val="18"/>
              </w:rPr>
            </w:pPr>
          </w:p>
        </w:tc>
        <w:tc>
          <w:tcPr>
            <w:tcW w:w="1407" w:type="dxa"/>
            <w:tcBorders>
              <w:top w:val="nil"/>
              <w:left w:val="nil"/>
              <w:bottom w:val="nil"/>
              <w:right w:val="nil"/>
            </w:tcBorders>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tcMar>
              <w:top w:w="15" w:type="dxa"/>
              <w:left w:w="15" w:type="dxa"/>
              <w:right w:w="15" w:type="dxa"/>
            </w:tcMar>
            <w:vAlign w:val="bottom"/>
          </w:tcPr>
          <w:p>
            <w:pPr>
              <w:spacing w:line="240" w:lineRule="exact"/>
              <w:rPr>
                <w:rFonts w:ascii="Arial" w:hAnsi="Arial" w:cs="Arial"/>
                <w:color w:val="000000"/>
                <w:sz w:val="18"/>
                <w:szCs w:val="18"/>
              </w:rPr>
            </w:pPr>
          </w:p>
        </w:tc>
        <w:tc>
          <w:tcPr>
            <w:tcW w:w="2338" w:type="dxa"/>
            <w:gridSpan w:val="2"/>
            <w:tcBorders>
              <w:top w:val="nil"/>
              <w:left w:val="nil"/>
              <w:bottom w:val="nil"/>
              <w:right w:val="nil"/>
            </w:tcBorders>
            <w:tcMar>
              <w:top w:w="15" w:type="dxa"/>
              <w:left w:w="15" w:type="dxa"/>
              <w:right w:w="15" w:type="dxa"/>
            </w:tcMar>
            <w:vAlign w:val="bottom"/>
          </w:tcPr>
          <w:p>
            <w:pPr>
              <w:widowControl/>
              <w:spacing w:line="240" w:lineRule="exact"/>
              <w:jc w:val="right"/>
              <w:textAlignment w:val="bottom"/>
              <w:rPr>
                <w:rFonts w:ascii="宋体" w:cs="宋体"/>
                <w:color w:val="000000"/>
                <w:sz w:val="18"/>
                <w:szCs w:val="18"/>
              </w:rPr>
            </w:pPr>
            <w:r>
              <w:rPr>
                <w:rFonts w:hint="eastAsia" w:ascii="宋体" w:hAnsi="宋体" w:cs="宋体"/>
                <w:color w:val="000000"/>
                <w:kern w:val="0"/>
                <w:sz w:val="18"/>
                <w:szCs w:val="18"/>
              </w:rPr>
              <w:t>金额单位：万元</w:t>
            </w:r>
          </w:p>
        </w:tc>
      </w:tr>
      <w:tr>
        <w:tblPrEx>
          <w:tblLayout w:type="fixed"/>
          <w:tblCellMar>
            <w:top w:w="0" w:type="dxa"/>
            <w:left w:w="0" w:type="dxa"/>
            <w:bottom w:w="0" w:type="dxa"/>
            <w:right w:w="0" w:type="dxa"/>
          </w:tblCellMar>
        </w:tblPrEx>
        <w:trPr>
          <w:trHeight w:val="308" w:hRule="atLeast"/>
          <w:jc w:val="center"/>
        </w:trPr>
        <w:tc>
          <w:tcPr>
            <w:tcW w:w="2496"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w:t>
            </w:r>
          </w:p>
        </w:tc>
        <w:tc>
          <w:tcPr>
            <w:tcW w:w="116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年初结转和结余</w:t>
            </w:r>
          </w:p>
        </w:tc>
        <w:tc>
          <w:tcPr>
            <w:tcW w:w="116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本年收入</w:t>
            </w:r>
          </w:p>
        </w:tc>
        <w:tc>
          <w:tcPr>
            <w:tcW w:w="350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本年支出</w:t>
            </w:r>
          </w:p>
        </w:tc>
        <w:tc>
          <w:tcPr>
            <w:tcW w:w="116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年末结转和结余</w:t>
            </w:r>
          </w:p>
        </w:tc>
      </w:tr>
      <w:tr>
        <w:tblPrEx>
          <w:tblLayout w:type="fixed"/>
          <w:tblCellMar>
            <w:top w:w="0" w:type="dxa"/>
            <w:left w:w="0" w:type="dxa"/>
            <w:bottom w:w="0" w:type="dxa"/>
            <w:right w:w="0" w:type="dxa"/>
          </w:tblCellMar>
        </w:tblPrEx>
        <w:trPr>
          <w:trHeight w:val="312" w:hRule="atLeast"/>
          <w:jc w:val="center"/>
        </w:trPr>
        <w:tc>
          <w:tcPr>
            <w:tcW w:w="1089"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功能分类科目编码</w:t>
            </w:r>
          </w:p>
        </w:tc>
        <w:tc>
          <w:tcPr>
            <w:tcW w:w="140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科目名称</w:t>
            </w:r>
          </w:p>
        </w:tc>
        <w:tc>
          <w:tcPr>
            <w:tcW w:w="116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c>
          <w:tcPr>
            <w:tcW w:w="116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小计</w:t>
            </w:r>
          </w:p>
        </w:tc>
        <w:tc>
          <w:tcPr>
            <w:tcW w:w="116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基本支出</w:t>
            </w:r>
          </w:p>
        </w:tc>
        <w:tc>
          <w:tcPr>
            <w:tcW w:w="116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项目支出</w:t>
            </w:r>
          </w:p>
        </w:tc>
        <w:tc>
          <w:tcPr>
            <w:tcW w:w="116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r>
      <w:tr>
        <w:tblPrEx>
          <w:tblLayout w:type="fixed"/>
          <w:tblCellMar>
            <w:top w:w="0" w:type="dxa"/>
            <w:left w:w="0" w:type="dxa"/>
            <w:bottom w:w="0" w:type="dxa"/>
            <w:right w:w="0" w:type="dxa"/>
          </w:tblCellMar>
        </w:tblPrEx>
        <w:trPr>
          <w:trHeight w:val="312" w:hRule="atLeast"/>
          <w:jc w:val="center"/>
        </w:trPr>
        <w:tc>
          <w:tcPr>
            <w:tcW w:w="1089"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c>
          <w:tcPr>
            <w:tcW w:w="140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c>
          <w:tcPr>
            <w:tcW w:w="116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c>
          <w:tcPr>
            <w:tcW w:w="116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c>
          <w:tcPr>
            <w:tcW w:w="116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r>
      <w:tr>
        <w:tblPrEx>
          <w:tblLayout w:type="fixed"/>
          <w:tblCellMar>
            <w:top w:w="0" w:type="dxa"/>
            <w:left w:w="0" w:type="dxa"/>
            <w:bottom w:w="0" w:type="dxa"/>
            <w:right w:w="0" w:type="dxa"/>
          </w:tblCellMar>
        </w:tblPrEx>
        <w:trPr>
          <w:trHeight w:val="312" w:hRule="atLeast"/>
          <w:jc w:val="center"/>
        </w:trPr>
        <w:tc>
          <w:tcPr>
            <w:tcW w:w="1089"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c>
          <w:tcPr>
            <w:tcW w:w="140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c>
          <w:tcPr>
            <w:tcW w:w="116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c>
          <w:tcPr>
            <w:tcW w:w="116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c>
          <w:tcPr>
            <w:tcW w:w="116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宋体"/>
                <w:color w:val="000000"/>
                <w:szCs w:val="22"/>
              </w:rPr>
            </w:pPr>
          </w:p>
        </w:tc>
      </w:tr>
      <w:tr>
        <w:tblPrEx>
          <w:tblLayout w:type="fixed"/>
          <w:tblCellMar>
            <w:top w:w="0" w:type="dxa"/>
            <w:left w:w="0" w:type="dxa"/>
            <w:bottom w:w="0" w:type="dxa"/>
            <w:right w:w="0" w:type="dxa"/>
          </w:tblCellMar>
        </w:tblPrEx>
        <w:trPr>
          <w:trHeight w:val="308" w:hRule="atLeast"/>
          <w:jc w:val="center"/>
        </w:trPr>
        <w:tc>
          <w:tcPr>
            <w:tcW w:w="2496"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宋体"/>
                <w:color w:val="000000"/>
                <w:szCs w:val="22"/>
              </w:rPr>
            </w:pPr>
            <w:r>
              <w:rPr>
                <w:rFonts w:hint="eastAsia" w:ascii="宋体" w:hAnsi="宋体" w:cs="宋体"/>
                <w:color w:val="000000"/>
                <w:kern w:val="0"/>
                <w:szCs w:val="22"/>
              </w:rPr>
              <w:t>栏次</w:t>
            </w: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宋体"/>
                <w:color w:val="000000"/>
                <w:szCs w:val="22"/>
              </w:rPr>
            </w:pPr>
            <w:r>
              <w:rPr>
                <w:rFonts w:ascii="宋体" w:hAnsi="宋体" w:cs="宋体"/>
                <w:color w:val="000000"/>
                <w:kern w:val="0"/>
                <w:szCs w:val="22"/>
              </w:rPr>
              <w:t>1</w:t>
            </w: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宋体"/>
                <w:color w:val="000000"/>
                <w:szCs w:val="22"/>
              </w:rPr>
            </w:pPr>
            <w:r>
              <w:rPr>
                <w:rFonts w:ascii="宋体" w:hAnsi="宋体" w:cs="宋体"/>
                <w:color w:val="000000"/>
                <w:kern w:val="0"/>
                <w:szCs w:val="22"/>
              </w:rPr>
              <w:t>2</w:t>
            </w: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宋体"/>
                <w:color w:val="000000"/>
                <w:szCs w:val="22"/>
              </w:rPr>
            </w:pPr>
            <w:r>
              <w:rPr>
                <w:rFonts w:ascii="宋体" w:hAnsi="宋体" w:cs="宋体"/>
                <w:color w:val="000000"/>
                <w:kern w:val="0"/>
                <w:szCs w:val="22"/>
              </w:rPr>
              <w:t>3</w:t>
            </w: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宋体"/>
                <w:color w:val="000000"/>
                <w:szCs w:val="22"/>
              </w:rPr>
            </w:pPr>
            <w:r>
              <w:rPr>
                <w:rFonts w:ascii="宋体" w:hAnsi="宋体" w:cs="宋体"/>
                <w:color w:val="000000"/>
                <w:kern w:val="0"/>
                <w:szCs w:val="22"/>
              </w:rPr>
              <w:t>4</w:t>
            </w: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宋体"/>
                <w:color w:val="000000"/>
                <w:szCs w:val="22"/>
              </w:rPr>
            </w:pPr>
            <w:r>
              <w:rPr>
                <w:rFonts w:ascii="宋体" w:hAnsi="宋体" w:cs="宋体"/>
                <w:color w:val="000000"/>
                <w:kern w:val="0"/>
                <w:szCs w:val="22"/>
              </w:rPr>
              <w:t>5</w:t>
            </w: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宋体"/>
                <w:color w:val="000000"/>
                <w:szCs w:val="22"/>
              </w:rPr>
            </w:pPr>
            <w:r>
              <w:rPr>
                <w:rFonts w:ascii="宋体" w:hAnsi="宋体" w:cs="宋体"/>
                <w:color w:val="000000"/>
                <w:kern w:val="0"/>
                <w:szCs w:val="22"/>
              </w:rPr>
              <w:t>6</w:t>
            </w:r>
          </w:p>
        </w:tc>
      </w:tr>
      <w:tr>
        <w:tblPrEx>
          <w:tblLayout w:type="fixed"/>
          <w:tblCellMar>
            <w:top w:w="0" w:type="dxa"/>
            <w:left w:w="0" w:type="dxa"/>
            <w:bottom w:w="0" w:type="dxa"/>
            <w:right w:w="0" w:type="dxa"/>
          </w:tblCellMar>
        </w:tblPrEx>
        <w:trPr>
          <w:trHeight w:val="308" w:hRule="atLeast"/>
          <w:jc w:val="center"/>
        </w:trPr>
        <w:tc>
          <w:tcPr>
            <w:tcW w:w="2496"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宋体"/>
                <w:color w:val="000000"/>
                <w:szCs w:val="22"/>
              </w:rPr>
            </w:pPr>
            <w:r>
              <w:rPr>
                <w:rFonts w:hint="eastAsia" w:ascii="宋体" w:hAnsi="宋体" w:cs="宋体"/>
                <w:color w:val="000000"/>
                <w:kern w:val="0"/>
                <w:szCs w:val="22"/>
              </w:rPr>
              <w:t>合计</w:t>
            </w: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b/>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b/>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b/>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b/>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b/>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b/>
                <w:color w:val="000000"/>
                <w:szCs w:val="22"/>
              </w:rPr>
            </w:pPr>
          </w:p>
        </w:tc>
      </w:tr>
      <w:tr>
        <w:tblPrEx>
          <w:tblLayout w:type="fixed"/>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宋体"/>
                <w:color w:val="000000"/>
                <w:szCs w:val="22"/>
              </w:rPr>
            </w:pPr>
          </w:p>
        </w:tc>
        <w:tc>
          <w:tcPr>
            <w:tcW w:w="140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r>
      <w:tr>
        <w:tblPrEx>
          <w:tblLayout w:type="fixed"/>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宋体"/>
                <w:color w:val="000000"/>
                <w:szCs w:val="22"/>
              </w:rPr>
            </w:pPr>
          </w:p>
        </w:tc>
        <w:tc>
          <w:tcPr>
            <w:tcW w:w="140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r>
      <w:tr>
        <w:tblPrEx>
          <w:tblLayout w:type="fixed"/>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宋体"/>
                <w:color w:val="000000"/>
                <w:szCs w:val="22"/>
              </w:rPr>
            </w:pPr>
          </w:p>
        </w:tc>
        <w:tc>
          <w:tcPr>
            <w:tcW w:w="140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r>
      <w:tr>
        <w:tblPrEx>
          <w:tblLayout w:type="fixed"/>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宋体"/>
                <w:color w:val="000000"/>
                <w:szCs w:val="22"/>
              </w:rPr>
            </w:pPr>
          </w:p>
        </w:tc>
        <w:tc>
          <w:tcPr>
            <w:tcW w:w="140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r>
      <w:tr>
        <w:tblPrEx>
          <w:tblLayout w:type="fixed"/>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宋体"/>
                <w:color w:val="000000"/>
                <w:szCs w:val="22"/>
              </w:rPr>
            </w:pPr>
          </w:p>
        </w:tc>
        <w:tc>
          <w:tcPr>
            <w:tcW w:w="140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c>
          <w:tcPr>
            <w:tcW w:w="116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Cs w:val="22"/>
              </w:rPr>
            </w:pPr>
          </w:p>
        </w:tc>
      </w:tr>
    </w:tbl>
    <w:p>
      <w:pPr>
        <w:rPr>
          <w:b/>
          <w:sz w:val="20"/>
          <w:szCs w:val="22"/>
          <w:highlight w:val="yellow"/>
        </w:rPr>
      </w:pPr>
      <w:r>
        <w:rPr>
          <w:rFonts w:hint="eastAsia" w:ascii="宋体" w:hAnsi="宋体" w:cs="宋体"/>
          <w:sz w:val="20"/>
          <w:szCs w:val="22"/>
        </w:rPr>
        <w:t>注：本表反映部门本年度政府性基金预算财政拨款收入、支出及结转结余情况。</w:t>
      </w:r>
      <w:r>
        <w:rPr>
          <w:b/>
          <w:sz w:val="20"/>
          <w:szCs w:val="22"/>
          <w:highlight w:val="yellow"/>
        </w:rPr>
        <w:br w:type="page"/>
      </w:r>
    </w:p>
    <w:tbl>
      <w:tblPr>
        <w:tblStyle w:val="6"/>
        <w:tblW w:w="9064" w:type="dxa"/>
        <w:tblInd w:w="0" w:type="dxa"/>
        <w:tblLayout w:type="fixed"/>
        <w:tblCellMar>
          <w:top w:w="0" w:type="dxa"/>
          <w:left w:w="0" w:type="dxa"/>
          <w:bottom w:w="0" w:type="dxa"/>
          <w:right w:w="0" w:type="dxa"/>
        </w:tblCellMar>
      </w:tblPr>
      <w:tblGrid>
        <w:gridCol w:w="630"/>
        <w:gridCol w:w="661"/>
        <w:gridCol w:w="177"/>
        <w:gridCol w:w="2780"/>
        <w:gridCol w:w="1138"/>
        <w:gridCol w:w="296"/>
        <w:gridCol w:w="1421"/>
        <w:gridCol w:w="1417"/>
        <w:gridCol w:w="544"/>
      </w:tblGrid>
      <w:tr>
        <w:tblPrEx>
          <w:tblLayout w:type="fixed"/>
          <w:tblCellMar>
            <w:top w:w="0" w:type="dxa"/>
            <w:left w:w="0" w:type="dxa"/>
            <w:bottom w:w="0" w:type="dxa"/>
            <w:right w:w="0" w:type="dxa"/>
          </w:tblCellMar>
        </w:tblPrEx>
        <w:trPr>
          <w:gridAfter w:val="1"/>
          <w:wAfter w:w="544" w:type="dxa"/>
          <w:trHeight w:val="824" w:hRule="atLeast"/>
        </w:trPr>
        <w:tc>
          <w:tcPr>
            <w:tcW w:w="8520" w:type="dxa"/>
            <w:gridSpan w:val="8"/>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国有资本经营预算财政拨款支出决算表</w:t>
            </w:r>
          </w:p>
        </w:tc>
      </w:tr>
      <w:tr>
        <w:tblPrEx>
          <w:tblLayout w:type="fixed"/>
          <w:tblCellMar>
            <w:top w:w="0" w:type="dxa"/>
            <w:left w:w="0" w:type="dxa"/>
            <w:bottom w:w="0" w:type="dxa"/>
            <w:right w:w="0" w:type="dxa"/>
          </w:tblCellMar>
        </w:tblPrEx>
        <w:trPr>
          <w:trHeight w:val="250" w:hRule="atLeast"/>
        </w:trPr>
        <w:tc>
          <w:tcPr>
            <w:tcW w:w="63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7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918"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678" w:type="dxa"/>
            <w:gridSpan w:val="4"/>
            <w:vMerge w:val="restart"/>
            <w:tcBorders>
              <w:top w:val="nil"/>
              <w:left w:val="nil"/>
              <w:right w:val="nil"/>
            </w:tcBorders>
            <w:tcMar>
              <w:top w:w="15" w:type="dxa"/>
              <w:left w:w="15" w:type="dxa"/>
              <w:right w:w="15" w:type="dxa"/>
            </w:tcMar>
            <w:vAlign w:val="bottom"/>
          </w:tcPr>
          <w:p>
            <w:pPr>
              <w:widowControl/>
              <w:ind w:firstLine="1800" w:firstLineChars="900"/>
              <w:jc w:val="left"/>
              <w:textAlignment w:val="bottom"/>
              <w:rPr>
                <w:rFonts w:asci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09</w:t>
            </w:r>
            <w:r>
              <w:rPr>
                <w:rFonts w:hint="eastAsia" w:ascii="宋体" w:hAnsi="宋体" w:cs="宋体"/>
                <w:color w:val="000000"/>
                <w:kern w:val="0"/>
                <w:sz w:val="20"/>
                <w:szCs w:val="20"/>
              </w:rPr>
              <w:t>表</w:t>
            </w:r>
          </w:p>
          <w:p>
            <w:pPr>
              <w:ind w:right="400" w:firstLine="1300" w:firstLineChars="650"/>
              <w:textAlignment w:val="bottom"/>
              <w:rPr>
                <w:rFonts w:ascii="宋体" w:cs="宋体"/>
                <w:color w:val="000000"/>
                <w:sz w:val="20"/>
                <w:szCs w:val="20"/>
              </w:rPr>
            </w:pPr>
            <w:r>
              <w:rPr>
                <w:rFonts w:hint="eastAsia" w:ascii="宋体" w:hAnsi="宋体" w:cs="宋体"/>
                <w:color w:val="000000"/>
                <w:kern w:val="0"/>
                <w:sz w:val="20"/>
                <w:szCs w:val="20"/>
              </w:rPr>
              <w:t>金额单位：万元</w:t>
            </w:r>
          </w:p>
        </w:tc>
      </w:tr>
      <w:tr>
        <w:tblPrEx>
          <w:tblLayout w:type="fixed"/>
          <w:tblCellMar>
            <w:top w:w="0" w:type="dxa"/>
            <w:left w:w="0" w:type="dxa"/>
            <w:bottom w:w="0" w:type="dxa"/>
            <w:right w:w="0" w:type="dxa"/>
          </w:tblCellMar>
        </w:tblPrEx>
        <w:trPr>
          <w:trHeight w:val="250" w:hRule="atLeast"/>
        </w:trPr>
        <w:tc>
          <w:tcPr>
            <w:tcW w:w="630" w:type="dxa"/>
            <w:tcBorders>
              <w:top w:val="nil"/>
              <w:left w:val="nil"/>
              <w:bottom w:val="nil"/>
              <w:right w:val="nil"/>
            </w:tcBorders>
            <w:tcMar>
              <w:top w:w="15" w:type="dxa"/>
              <w:left w:w="15" w:type="dxa"/>
              <w:right w:w="15" w:type="dxa"/>
            </w:tcMar>
            <w:vAlign w:val="bottom"/>
          </w:tcPr>
          <w:p>
            <w:pPr>
              <w:widowControl/>
              <w:jc w:val="left"/>
              <w:textAlignment w:val="bottom"/>
              <w:rPr>
                <w:rFonts w:ascii="宋体" w:cs="宋体"/>
                <w:color w:val="000000"/>
                <w:sz w:val="20"/>
                <w:szCs w:val="20"/>
              </w:rPr>
            </w:pPr>
            <w:r>
              <w:rPr>
                <w:rFonts w:hint="eastAsia" w:ascii="宋体" w:hAnsi="宋体" w:cs="宋体"/>
                <w:color w:val="000000"/>
                <w:kern w:val="0"/>
                <w:sz w:val="20"/>
                <w:szCs w:val="20"/>
              </w:rPr>
              <w:t>部门：</w:t>
            </w:r>
          </w:p>
        </w:tc>
        <w:tc>
          <w:tcPr>
            <w:tcW w:w="6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7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918"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678" w:type="dxa"/>
            <w:gridSpan w:val="4"/>
            <w:vMerge w:val="continue"/>
            <w:tcBorders>
              <w:left w:val="nil"/>
              <w:bottom w:val="nil"/>
              <w:right w:val="nil"/>
            </w:tcBorders>
            <w:tcMar>
              <w:top w:w="15" w:type="dxa"/>
              <w:left w:w="15" w:type="dxa"/>
              <w:right w:w="15" w:type="dxa"/>
            </w:tcMar>
            <w:vAlign w:val="bottom"/>
          </w:tcPr>
          <w:p>
            <w:pPr>
              <w:widowControl/>
              <w:jc w:val="right"/>
              <w:textAlignment w:val="bottom"/>
              <w:rPr>
                <w:rFonts w:ascii="宋体" w:cs="宋体"/>
                <w:color w:val="000000"/>
                <w:sz w:val="20"/>
                <w:szCs w:val="20"/>
              </w:rPr>
            </w:pPr>
          </w:p>
        </w:tc>
      </w:tr>
      <w:tr>
        <w:tblPrEx>
          <w:tblLayout w:type="fixed"/>
          <w:tblCellMar>
            <w:top w:w="0" w:type="dxa"/>
            <w:left w:w="0" w:type="dxa"/>
            <w:bottom w:w="0" w:type="dxa"/>
            <w:right w:w="0" w:type="dxa"/>
          </w:tblCellMar>
        </w:tblPrEx>
        <w:trPr>
          <w:gridAfter w:val="1"/>
          <w:wAfter w:w="544" w:type="dxa"/>
          <w:trHeight w:val="302" w:hRule="atLeast"/>
        </w:trPr>
        <w:tc>
          <w:tcPr>
            <w:tcW w:w="4248"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w:t>
            </w:r>
          </w:p>
        </w:tc>
        <w:tc>
          <w:tcPr>
            <w:tcW w:w="4272" w:type="dxa"/>
            <w:gridSpan w:val="4"/>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本年支出</w:t>
            </w:r>
          </w:p>
        </w:tc>
      </w:tr>
      <w:tr>
        <w:tblPrEx>
          <w:tblLayout w:type="fixed"/>
          <w:tblCellMar>
            <w:top w:w="0" w:type="dxa"/>
            <w:left w:w="0" w:type="dxa"/>
            <w:bottom w:w="0" w:type="dxa"/>
            <w:right w:w="0" w:type="dxa"/>
          </w:tblCellMar>
        </w:tblPrEx>
        <w:trPr>
          <w:gridAfter w:val="1"/>
          <w:wAfter w:w="544" w:type="dxa"/>
          <w:trHeight w:val="604" w:hRule="atLeast"/>
        </w:trPr>
        <w:tc>
          <w:tcPr>
            <w:tcW w:w="1291"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功能分类科目编码</w:t>
            </w:r>
          </w:p>
        </w:tc>
        <w:tc>
          <w:tcPr>
            <w:tcW w:w="29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科目名称</w:t>
            </w:r>
          </w:p>
        </w:tc>
        <w:tc>
          <w:tcPr>
            <w:tcW w:w="14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小计</w:t>
            </w:r>
          </w:p>
        </w:tc>
        <w:tc>
          <w:tcPr>
            <w:tcW w:w="142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基本支出</w:t>
            </w:r>
          </w:p>
        </w:tc>
        <w:tc>
          <w:tcPr>
            <w:tcW w:w="141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项目支出</w:t>
            </w:r>
          </w:p>
        </w:tc>
      </w:tr>
      <w:tr>
        <w:tblPrEx>
          <w:tblLayout w:type="fixed"/>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宋体"/>
                <w:color w:val="000000"/>
                <w:sz w:val="22"/>
              </w:rPr>
            </w:pPr>
            <w:r>
              <w:rPr>
                <w:rFonts w:hint="eastAsia" w:ascii="宋体" w:hAnsi="宋体" w:cs="宋体"/>
                <w:color w:val="000000"/>
                <w:kern w:val="0"/>
                <w:sz w:val="22"/>
              </w:rPr>
              <w:t>栏次</w:t>
            </w:r>
          </w:p>
        </w:tc>
        <w:tc>
          <w:tcPr>
            <w:tcW w:w="14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宋体"/>
                <w:color w:val="000000"/>
                <w:sz w:val="22"/>
              </w:rPr>
            </w:pPr>
            <w:r>
              <w:rPr>
                <w:rFonts w:ascii="宋体" w:hAnsi="宋体" w:cs="宋体"/>
                <w:color w:val="000000"/>
                <w:kern w:val="0"/>
                <w:sz w:val="22"/>
              </w:rPr>
              <w:t>1</w:t>
            </w:r>
          </w:p>
        </w:tc>
        <w:tc>
          <w:tcPr>
            <w:tcW w:w="142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宋体"/>
                <w:color w:val="000000"/>
                <w:sz w:val="22"/>
              </w:rPr>
            </w:pPr>
            <w:r>
              <w:rPr>
                <w:rFonts w:ascii="宋体" w:hAnsi="宋体" w:cs="宋体"/>
                <w:color w:val="000000"/>
                <w:kern w:val="0"/>
                <w:sz w:val="22"/>
              </w:rPr>
              <w:t>2</w:t>
            </w:r>
          </w:p>
        </w:tc>
        <w:tc>
          <w:tcPr>
            <w:tcW w:w="141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宋体"/>
                <w:color w:val="000000"/>
                <w:sz w:val="22"/>
              </w:rPr>
            </w:pPr>
            <w:r>
              <w:rPr>
                <w:rFonts w:ascii="宋体" w:hAnsi="宋体" w:cs="宋体"/>
                <w:color w:val="000000"/>
                <w:kern w:val="0"/>
                <w:sz w:val="22"/>
              </w:rPr>
              <w:t>3</w:t>
            </w:r>
          </w:p>
        </w:tc>
      </w:tr>
      <w:tr>
        <w:tblPrEx>
          <w:tblLayout w:type="fixed"/>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宋体"/>
                <w:color w:val="000000"/>
                <w:sz w:val="22"/>
              </w:rPr>
            </w:pPr>
            <w:r>
              <w:rPr>
                <w:rFonts w:hint="eastAsia" w:ascii="宋体" w:hAnsi="宋体" w:cs="宋体"/>
                <w:color w:val="000000"/>
                <w:kern w:val="0"/>
                <w:sz w:val="22"/>
              </w:rPr>
              <w:t>合计</w:t>
            </w:r>
          </w:p>
        </w:tc>
        <w:tc>
          <w:tcPr>
            <w:tcW w:w="14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b/>
                <w:color w:val="000000"/>
                <w:sz w:val="22"/>
              </w:rPr>
            </w:pPr>
          </w:p>
        </w:tc>
        <w:tc>
          <w:tcPr>
            <w:tcW w:w="142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b/>
                <w:color w:val="000000"/>
                <w:sz w:val="22"/>
              </w:rPr>
            </w:pPr>
          </w:p>
        </w:tc>
        <w:tc>
          <w:tcPr>
            <w:tcW w:w="141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b/>
                <w:color w:val="000000"/>
                <w:sz w:val="22"/>
              </w:rPr>
            </w:pPr>
          </w:p>
        </w:tc>
      </w:tr>
      <w:tr>
        <w:tblPrEx>
          <w:tblLayout w:type="fixed"/>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宋体"/>
                <w:color w:val="000000"/>
                <w:sz w:val="22"/>
              </w:rPr>
            </w:pPr>
          </w:p>
        </w:tc>
        <w:tc>
          <w:tcPr>
            <w:tcW w:w="2957" w:type="dxa"/>
            <w:gridSpan w:val="2"/>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宋体"/>
                <w:color w:val="000000"/>
                <w:sz w:val="22"/>
              </w:rPr>
            </w:pPr>
          </w:p>
        </w:tc>
        <w:tc>
          <w:tcPr>
            <w:tcW w:w="14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 w:val="22"/>
              </w:rPr>
            </w:pPr>
          </w:p>
        </w:tc>
        <w:tc>
          <w:tcPr>
            <w:tcW w:w="142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 w:val="22"/>
              </w:rPr>
            </w:pPr>
          </w:p>
        </w:tc>
        <w:tc>
          <w:tcPr>
            <w:tcW w:w="141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 w:val="22"/>
              </w:rPr>
            </w:pPr>
          </w:p>
        </w:tc>
      </w:tr>
      <w:tr>
        <w:tblPrEx>
          <w:tblLayout w:type="fixed"/>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宋体"/>
                <w:color w:val="000000"/>
                <w:sz w:val="22"/>
              </w:rPr>
            </w:pPr>
          </w:p>
        </w:tc>
        <w:tc>
          <w:tcPr>
            <w:tcW w:w="2957" w:type="dxa"/>
            <w:gridSpan w:val="2"/>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宋体"/>
                <w:color w:val="000000"/>
                <w:sz w:val="22"/>
              </w:rPr>
            </w:pPr>
          </w:p>
        </w:tc>
        <w:tc>
          <w:tcPr>
            <w:tcW w:w="14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 w:val="22"/>
              </w:rPr>
            </w:pPr>
          </w:p>
        </w:tc>
        <w:tc>
          <w:tcPr>
            <w:tcW w:w="142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 w:val="22"/>
              </w:rPr>
            </w:pPr>
          </w:p>
        </w:tc>
        <w:tc>
          <w:tcPr>
            <w:tcW w:w="141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 w:val="22"/>
              </w:rPr>
            </w:pPr>
          </w:p>
        </w:tc>
      </w:tr>
      <w:tr>
        <w:tblPrEx>
          <w:tblLayout w:type="fixed"/>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宋体"/>
                <w:color w:val="000000"/>
                <w:sz w:val="22"/>
              </w:rPr>
            </w:pPr>
          </w:p>
        </w:tc>
        <w:tc>
          <w:tcPr>
            <w:tcW w:w="2957" w:type="dxa"/>
            <w:gridSpan w:val="2"/>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宋体"/>
                <w:color w:val="000000"/>
                <w:sz w:val="22"/>
              </w:rPr>
            </w:pPr>
          </w:p>
        </w:tc>
        <w:tc>
          <w:tcPr>
            <w:tcW w:w="14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 w:val="22"/>
              </w:rPr>
            </w:pPr>
          </w:p>
        </w:tc>
        <w:tc>
          <w:tcPr>
            <w:tcW w:w="142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 w:val="22"/>
              </w:rPr>
            </w:pPr>
          </w:p>
        </w:tc>
        <w:tc>
          <w:tcPr>
            <w:tcW w:w="141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 w:val="22"/>
              </w:rPr>
            </w:pPr>
          </w:p>
        </w:tc>
      </w:tr>
      <w:tr>
        <w:tblPrEx>
          <w:tblLayout w:type="fixed"/>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宋体"/>
                <w:color w:val="000000"/>
                <w:sz w:val="22"/>
              </w:rPr>
            </w:pPr>
          </w:p>
        </w:tc>
        <w:tc>
          <w:tcPr>
            <w:tcW w:w="2957" w:type="dxa"/>
            <w:gridSpan w:val="2"/>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宋体"/>
                <w:color w:val="000000"/>
                <w:sz w:val="22"/>
              </w:rPr>
            </w:pPr>
          </w:p>
        </w:tc>
        <w:tc>
          <w:tcPr>
            <w:tcW w:w="14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 w:val="22"/>
              </w:rPr>
            </w:pPr>
          </w:p>
        </w:tc>
        <w:tc>
          <w:tcPr>
            <w:tcW w:w="142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 w:val="22"/>
              </w:rPr>
            </w:pPr>
          </w:p>
        </w:tc>
        <w:tc>
          <w:tcPr>
            <w:tcW w:w="141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 w:val="22"/>
              </w:rPr>
            </w:pPr>
          </w:p>
        </w:tc>
      </w:tr>
      <w:tr>
        <w:tblPrEx>
          <w:tblLayout w:type="fixed"/>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宋体"/>
                <w:color w:val="000000"/>
                <w:sz w:val="22"/>
              </w:rPr>
            </w:pPr>
          </w:p>
        </w:tc>
        <w:tc>
          <w:tcPr>
            <w:tcW w:w="2957" w:type="dxa"/>
            <w:gridSpan w:val="2"/>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宋体"/>
                <w:color w:val="000000"/>
                <w:sz w:val="22"/>
              </w:rPr>
            </w:pPr>
          </w:p>
        </w:tc>
        <w:tc>
          <w:tcPr>
            <w:tcW w:w="143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 w:val="22"/>
              </w:rPr>
            </w:pPr>
          </w:p>
        </w:tc>
        <w:tc>
          <w:tcPr>
            <w:tcW w:w="142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 w:val="22"/>
              </w:rPr>
            </w:pPr>
          </w:p>
        </w:tc>
        <w:tc>
          <w:tcPr>
            <w:tcW w:w="141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宋体"/>
                <w:color w:val="000000"/>
                <w:sz w:val="22"/>
              </w:rPr>
            </w:pPr>
          </w:p>
        </w:tc>
      </w:tr>
    </w:tbl>
    <w:p>
      <w:pPr>
        <w:rPr>
          <w:rFonts w:ascii="黑体" w:hAnsi="黑体" w:eastAsia="黑体" w:cs="黑体"/>
          <w:sz w:val="56"/>
          <w:szCs w:val="72"/>
          <w:highlight w:val="yellow"/>
        </w:rPr>
      </w:pPr>
      <w:r>
        <w:rPr>
          <w:rFonts w:hint="eastAsia" w:ascii="宋体" w:hAnsi="宋体" w:cs="宋体"/>
        </w:rPr>
        <w:t>注：本表反映部门本年度国有资本经营预算财政拨款支出情况。</w:t>
      </w:r>
    </w:p>
    <w:p>
      <w:pPr>
        <w:rPr>
          <w:rFonts w:ascii="黑体" w:hAnsi="黑体" w:eastAsia="黑体" w:cs="黑体"/>
          <w:sz w:val="56"/>
          <w:szCs w:val="72"/>
        </w:rPr>
      </w:pPr>
    </w:p>
    <w:p>
      <w:pPr>
        <w:rPr>
          <w:rFonts w:ascii="黑体" w:hAnsi="黑体" w:eastAsia="黑体" w:cs="黑体"/>
          <w:sz w:val="56"/>
          <w:szCs w:val="72"/>
        </w:rPr>
      </w:pPr>
    </w:p>
    <w:p>
      <w:pPr>
        <w:ind w:right="4410" w:rightChars="0"/>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tabs>
          <w:tab w:val="left" w:pos="235"/>
        </w:tabs>
        <w:spacing w:line="600" w:lineRule="exact"/>
        <w:ind w:firstLine="640" w:firstLineChars="200"/>
        <w:jc w:val="left"/>
        <w:rPr>
          <w:rFonts w:ascii="仿宋_GB2312" w:hAnsi="Cambria" w:eastAsia="仿宋_GB2312" w:cs="Arial Black"/>
          <w:kern w:val="0"/>
          <w:sz w:val="32"/>
          <w:szCs w:val="32"/>
        </w:rPr>
        <w:sectPr>
          <w:pgSz w:w="11906" w:h="16838"/>
          <w:pgMar w:top="1984" w:right="1531" w:bottom="2098" w:left="1531" w:header="851" w:footer="992" w:gutter="0"/>
          <w:cols w:space="425" w:num="1"/>
          <w:docGrid w:type="lines" w:linePitch="312" w:charSpace="0"/>
        </w:sectPr>
      </w:pPr>
    </w:p>
    <w:p>
      <w:pPr>
        <w:tabs>
          <w:tab w:val="left" w:pos="235"/>
        </w:tabs>
        <w:spacing w:line="600" w:lineRule="exact"/>
        <w:ind w:firstLine="420" w:firstLineChars="200"/>
        <w:jc w:val="left"/>
        <w:rPr>
          <w:rFonts w:ascii="仿宋_GB2312" w:hAnsi="Cambria" w:eastAsia="仿宋_GB2312" w:cs="Arial Black"/>
          <w:kern w:val="0"/>
          <w:sz w:val="32"/>
          <w:szCs w:val="32"/>
        </w:rPr>
      </w:pPr>
      <w:r>
        <w:pict>
          <v:rect id="_x0000_s1050" o:spid="_x0000_s1050" o:spt="1" style="position:absolute;left:0pt;margin-left:-78.2pt;margin-top:-106.6pt;height:842.2pt;width:601pt;z-index:251657216;v-text-anchor:middle;mso-width-relative:page;mso-height-relative:page;" fillcolor="#BDD7EE" filled="t" stroked="f" coordsize="21600,21600">
            <v:path/>
            <v:fill on="t" focussize="0,0"/>
            <v:stroke on="f" weight="1pt"/>
            <v:imagedata o:title=""/>
            <o:lock v:ext="edit"/>
          </v:rect>
        </w:pic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楷体_GB2312">
    <w:altName w:val="楷体"/>
    <w:panose1 w:val="00000000000000000000"/>
    <w:charset w:val="86"/>
    <w:family w:val="decorative"/>
    <w:pitch w:val="default"/>
    <w:sig w:usb0="00000000" w:usb1="00000000" w:usb2="00000010" w:usb3="00000000" w:csb0="00040000" w:csb1="00000000"/>
  </w:font>
  <w:font w:name="仿宋_GB2312">
    <w:altName w:val="仿宋"/>
    <w:panose1 w:val="02010609030101010101"/>
    <w:charset w:val="86"/>
    <w:family w:val="decorative"/>
    <w:pitch w:val="default"/>
    <w:sig w:usb0="00000000" w:usb1="00000000" w:usb2="00000010" w:usb3="00000000" w:csb0="00040000" w:csb1="00000000"/>
  </w:font>
  <w:font w:name="仿宋">
    <w:panose1 w:val="02010609060101010101"/>
    <w:charset w:val="86"/>
    <w:family w:val="decorative"/>
    <w:pitch w:val="default"/>
    <w:sig w:usb0="800002BF" w:usb1="38CF7CFA" w:usb2="00000016" w:usb3="00000000" w:csb0="00040001" w:csb1="00000000"/>
  </w:font>
  <w:font w:name="Arial Black">
    <w:panose1 w:val="020B0A04020102020204"/>
    <w:charset w:val="00"/>
    <w:family w:val="roman"/>
    <w:pitch w:val="default"/>
    <w:sig w:usb0="A00002AF" w:usb1="400078FB" w:usb2="00000000" w:usb3="00000000" w:csb0="6000009F" w:csb1="DFD70000"/>
  </w:font>
  <w:font w:name="ArialUnicodeMS">
    <w:altName w:val="Malgun Gothic"/>
    <w:panose1 w:val="00000000000000000000"/>
    <w:charset w:val="81"/>
    <w:family w:val="auto"/>
    <w:pitch w:val="default"/>
    <w:sig w:usb0="00000000" w:usb1="00000000" w:usb2="00000010" w:usb3="00000000" w:csb0="00080000" w:csb1="00000000"/>
  </w:font>
  <w:font w:name="Cambria">
    <w:panose1 w:val="02040503050406030204"/>
    <w:charset w:val="00"/>
    <w:family w:val="moder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0" w:csb1="00000000"/>
  </w:font>
  <w:font w:name="Mongolian Baiti">
    <w:panose1 w:val="03000500000000000000"/>
    <w:charset w:val="00"/>
    <w:family w:val="script"/>
    <w:pitch w:val="default"/>
    <w:sig w:usb0="80000023" w:usb1="00000000" w:usb2="00020000" w:usb3="00000000" w:csb0="00000001" w:csb1="00000000"/>
  </w:font>
  <w:font w:name="楷体">
    <w:panose1 w:val="02010609060101010101"/>
    <w:charset w:val="86"/>
    <w:family w:val="decorative"/>
    <w:pitch w:val="default"/>
    <w:sig w:usb0="800002BF" w:usb1="38CF7CFA" w:usb2="00000016" w:usb3="00000000" w:csb0="00040001" w:csb1="00000000"/>
  </w:font>
  <w:font w:name="MS Mincho">
    <w:altName w:val="Yu Gothic UI"/>
    <w:panose1 w:val="02020609040205080304"/>
    <w:charset w:val="80"/>
    <w:family w:val="decorative"/>
    <w:pitch w:val="default"/>
    <w:sig w:usb0="00000000" w:usb1="00000000" w:usb2="00000012" w:usb3="00000000" w:csb0="4002009F" w:csb1="DFD70000"/>
  </w:font>
  <w:font w:name="Yu Gothic UI">
    <w:panose1 w:val="020B0500000000000000"/>
    <w:charset w:val="80"/>
    <w:family w:val="auto"/>
    <w:pitch w:val="default"/>
    <w:sig w:usb0="E00002FF" w:usb1="2AC7FDFF" w:usb2="00000016" w:usb3="00000000" w:csb0="2002009F" w:csb1="00000000"/>
  </w:font>
  <w:font w:name="Malgun Gothic">
    <w:panose1 w:val="020B0503020000020004"/>
    <w:charset w:val="81"/>
    <w:family w:val="auto"/>
    <w:pitch w:val="default"/>
    <w:sig w:usb0="9000002F" w:usb1="29D77CFB" w:usb2="00000012" w:usb3="00000000" w:csb0="0008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cs="Times New Roman"/>
      </w:rPr>
    </w:lvl>
  </w:abstractNum>
  <w:abstractNum w:abstractNumId="1">
    <w:nsid w:val="5F222FFA"/>
    <w:multiLevelType w:val="singleLevel"/>
    <w:tmpl w:val="5F222FFA"/>
    <w:lvl w:ilvl="0" w:tentative="0">
      <w:start w:val="1"/>
      <w:numFmt w:val="decimal"/>
      <w:suff w:val="nothing"/>
      <w:lvlText w:val="（%1）"/>
      <w:lvlJc w:val="left"/>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noLineBreaksAfter w:lang="zh-CN" w:val="$([{£¥·‘“〈《「『【〔〖〝﹙﹛﹝＄（．［｛￡￥"/>
  <w:noLineBreaksBefore w:lang="zh-CN" w:val="!%),.:;&gt;?]}¢¨°·ˇˉ―‖’”…‰′″›℃∶、。〃〉》」』】〕〗〞︶︺︾﹀﹄﹚﹜﹞！＂％＇），．：；？］｀｜｝～￠"/>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34C45458"/>
    <w:rsid w:val="00061A05"/>
    <w:rsid w:val="00061B93"/>
    <w:rsid w:val="00147453"/>
    <w:rsid w:val="0018668E"/>
    <w:rsid w:val="001B73D2"/>
    <w:rsid w:val="001E62BF"/>
    <w:rsid w:val="00204309"/>
    <w:rsid w:val="00241850"/>
    <w:rsid w:val="0027064E"/>
    <w:rsid w:val="00293E7B"/>
    <w:rsid w:val="002C4B41"/>
    <w:rsid w:val="002D1F4F"/>
    <w:rsid w:val="002E005A"/>
    <w:rsid w:val="002E167A"/>
    <w:rsid w:val="002F1DA9"/>
    <w:rsid w:val="002F2FEF"/>
    <w:rsid w:val="00310EBF"/>
    <w:rsid w:val="00336199"/>
    <w:rsid w:val="00366D90"/>
    <w:rsid w:val="003D2226"/>
    <w:rsid w:val="003D678E"/>
    <w:rsid w:val="00456D8F"/>
    <w:rsid w:val="00461FAF"/>
    <w:rsid w:val="004D1EA2"/>
    <w:rsid w:val="0058557D"/>
    <w:rsid w:val="005E0E86"/>
    <w:rsid w:val="00605C45"/>
    <w:rsid w:val="006C01AE"/>
    <w:rsid w:val="007620A2"/>
    <w:rsid w:val="0078465E"/>
    <w:rsid w:val="00791C72"/>
    <w:rsid w:val="007920FC"/>
    <w:rsid w:val="007B4876"/>
    <w:rsid w:val="007D726A"/>
    <w:rsid w:val="00801F66"/>
    <w:rsid w:val="00812C39"/>
    <w:rsid w:val="008A5423"/>
    <w:rsid w:val="008B31C8"/>
    <w:rsid w:val="009334BF"/>
    <w:rsid w:val="00995AAE"/>
    <w:rsid w:val="009D1193"/>
    <w:rsid w:val="00A34789"/>
    <w:rsid w:val="00A61E3E"/>
    <w:rsid w:val="00AA2D4D"/>
    <w:rsid w:val="00AD3736"/>
    <w:rsid w:val="00B0223F"/>
    <w:rsid w:val="00BA1219"/>
    <w:rsid w:val="00BB2584"/>
    <w:rsid w:val="00BB4979"/>
    <w:rsid w:val="00BE2400"/>
    <w:rsid w:val="00C449C6"/>
    <w:rsid w:val="00CC6E98"/>
    <w:rsid w:val="00D5740C"/>
    <w:rsid w:val="00E54963"/>
    <w:rsid w:val="00E9734E"/>
    <w:rsid w:val="00EB3F98"/>
    <w:rsid w:val="00EE0E8C"/>
    <w:rsid w:val="00F217C2"/>
    <w:rsid w:val="00F84C37"/>
    <w:rsid w:val="00FD5E00"/>
    <w:rsid w:val="0B6E13D3"/>
    <w:rsid w:val="0EA325C9"/>
    <w:rsid w:val="0EE17C1A"/>
    <w:rsid w:val="0FEA7A83"/>
    <w:rsid w:val="181800A9"/>
    <w:rsid w:val="1E964116"/>
    <w:rsid w:val="207F699B"/>
    <w:rsid w:val="22E46C89"/>
    <w:rsid w:val="23D25A52"/>
    <w:rsid w:val="24EB20CA"/>
    <w:rsid w:val="27535964"/>
    <w:rsid w:val="2A792078"/>
    <w:rsid w:val="303C498C"/>
    <w:rsid w:val="30831790"/>
    <w:rsid w:val="34C45458"/>
    <w:rsid w:val="35C83C42"/>
    <w:rsid w:val="37445DC3"/>
    <w:rsid w:val="37E35A7F"/>
    <w:rsid w:val="397B75BA"/>
    <w:rsid w:val="3C3C41DD"/>
    <w:rsid w:val="3D63168F"/>
    <w:rsid w:val="49CB1638"/>
    <w:rsid w:val="4D7270D1"/>
    <w:rsid w:val="4DF6444B"/>
    <w:rsid w:val="4FF86A15"/>
    <w:rsid w:val="51A97A70"/>
    <w:rsid w:val="596547B4"/>
    <w:rsid w:val="5CA245CD"/>
    <w:rsid w:val="5D1C2794"/>
    <w:rsid w:val="60154311"/>
    <w:rsid w:val="695B26FD"/>
    <w:rsid w:val="6AF77BA8"/>
    <w:rsid w:val="6D234F07"/>
    <w:rsid w:val="706465AB"/>
    <w:rsid w:val="73D824BD"/>
    <w:rsid w:val="74F92C01"/>
    <w:rsid w:val="75D61BA8"/>
    <w:rsid w:val="75FE79FE"/>
    <w:rsid w:val="764B3663"/>
    <w:rsid w:val="7DA80C66"/>
  </w:rsids>
  <m:mathPr>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unhideWhenUsed="0" w:uiPriority="99" w:semiHidden="0" w:name="header"/>
    <w:lsdException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semiHidden="0"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nhideWhenUsed="0" w:uiPriority="99" w:semiHidden="0" w:name="Balloon Text"/>
    <w:lsdException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character" w:default="1" w:styleId="8">
    <w:name w:val="Default Paragraph Font"/>
    <w:semiHidden/>
    <w:uiPriority w:val="99"/>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3">
    <w:name w:val="Balloon Text"/>
    <w:basedOn w:val="1"/>
    <w:link w:val="10"/>
    <w:uiPriority w:val="99"/>
    <w:rPr>
      <w:sz w:val="18"/>
      <w:szCs w:val="18"/>
    </w:rPr>
  </w:style>
  <w:style w:type="paragraph" w:styleId="4">
    <w:name w:val="footer"/>
    <w:basedOn w:val="1"/>
    <w:link w:val="11"/>
    <w:uiPriority w:val="99"/>
    <w:pPr>
      <w:tabs>
        <w:tab w:val="center" w:pos="4153"/>
        <w:tab w:val="right" w:pos="8306"/>
      </w:tabs>
      <w:snapToGrid w:val="0"/>
      <w:jc w:val="left"/>
    </w:pPr>
    <w:rPr>
      <w:sz w:val="18"/>
      <w:szCs w:val="18"/>
    </w:rPr>
  </w:style>
  <w:style w:type="paragraph" w:styleId="5">
    <w:name w:val="header"/>
    <w:basedOn w:val="1"/>
    <w:link w:val="12"/>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basedOn w:val="6"/>
    <w:uiPriority w:val="99"/>
    <w:rPr>
      <w:kern w:val="0"/>
      <w:sz w:val="22"/>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Heading 1 Char"/>
    <w:basedOn w:val="8"/>
    <w:link w:val="2"/>
    <w:qFormat/>
    <w:locked/>
    <w:uiPriority w:val="99"/>
    <w:rPr>
      <w:rFonts w:ascii="Calibri" w:hAnsi="Calibri" w:cs="Times New Roman"/>
      <w:b/>
      <w:bCs/>
      <w:kern w:val="44"/>
      <w:sz w:val="44"/>
      <w:szCs w:val="44"/>
    </w:rPr>
  </w:style>
  <w:style w:type="character" w:customStyle="1" w:styleId="10">
    <w:name w:val="Balloon Text Char"/>
    <w:basedOn w:val="8"/>
    <w:link w:val="3"/>
    <w:locked/>
    <w:uiPriority w:val="99"/>
    <w:rPr>
      <w:rFonts w:ascii="Calibri" w:hAnsi="Calibri" w:eastAsia="宋体" w:cs="Times New Roman"/>
      <w:kern w:val="2"/>
      <w:sz w:val="18"/>
      <w:szCs w:val="18"/>
    </w:rPr>
  </w:style>
  <w:style w:type="character" w:customStyle="1" w:styleId="11">
    <w:name w:val="Footer Char"/>
    <w:basedOn w:val="8"/>
    <w:link w:val="4"/>
    <w:semiHidden/>
    <w:locked/>
    <w:uiPriority w:val="99"/>
    <w:rPr>
      <w:rFonts w:ascii="Calibri" w:hAnsi="Calibri" w:cs="Times New Roman"/>
      <w:sz w:val="18"/>
      <w:szCs w:val="18"/>
    </w:rPr>
  </w:style>
  <w:style w:type="character" w:customStyle="1" w:styleId="12">
    <w:name w:val="Header Char"/>
    <w:basedOn w:val="8"/>
    <w:link w:val="5"/>
    <w:semiHidden/>
    <w:qFormat/>
    <w:locked/>
    <w:uiPriority w:val="99"/>
    <w:rPr>
      <w:rFonts w:ascii="Calibri" w:hAnsi="Calibri" w:cs="Times New Roman"/>
      <w:sz w:val="18"/>
      <w:szCs w:val="18"/>
    </w:rPr>
  </w:style>
  <w:style w:type="paragraph" w:customStyle="1" w:styleId="13">
    <w:name w:val="List Paragraph1"/>
    <w:basedOn w:val="1"/>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emf"/><Relationship Id="rId15" Type="http://schemas.openxmlformats.org/officeDocument/2006/relationships/oleObject" Target="embeddings/oleObject3.bin"/><Relationship Id="rId14" Type="http://schemas.openxmlformats.org/officeDocument/2006/relationships/image" Target="media/image3.png"/><Relationship Id="rId13" Type="http://schemas.openxmlformats.org/officeDocument/2006/relationships/oleObject" Target="embeddings/oleObject2.bin"/><Relationship Id="rId12" Type="http://schemas.openxmlformats.org/officeDocument/2006/relationships/image" Target="media/image2.emf"/><Relationship Id="rId11" Type="http://schemas.openxmlformats.org/officeDocument/2006/relationships/oleObject" Target="embeddings/oleObject1.bin"/><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30"/>
    <customShpInfo spid="_x0000_s1031"/>
    <customShpInfo spid="_x0000_s1039"/>
    <customShpInfo spid="_x0000_s1040"/>
    <customShpInfo spid="_x0000_s1038"/>
    <customShpInfo spid="_x0000_s1042"/>
    <customShpInfo spid="_x0000_s1043"/>
    <customShpInfo spid="_x0000_s1041"/>
    <customShpInfo spid="_x0000_s1045"/>
    <customShpInfo spid="_x0000_s1046"/>
    <customShpInfo spid="_x0000_s1044"/>
    <customShpInfo spid="_x0000_s1047"/>
    <customShpInfo spid="_x0000_s1048"/>
    <customShpInfo spid="_x0000_s1049"/>
    <customShpInfo spid="_x0000_s1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29</Pages>
  <Words>808</Words>
  <Characters>4606</Characters>
  <Lines>0</Lines>
  <Paragraphs>0</Paragraphs>
  <TotalTime>1</TotalTime>
  <ScaleCrop>false</ScaleCrop>
  <LinksUpToDate>false</LinksUpToDate>
  <CharactersWithSpaces>0</CharactersWithSpaces>
  <Application>WPS Office_11.1.0.8976_F1E327BC-269C-435d-A152-05C5408002CA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夏有乔木，不可休思</cp:lastModifiedBy>
  <cp:lastPrinted>2021-08-26T06:52:00Z</cp:lastPrinted>
  <dcterms:modified xsi:type="dcterms:W3CDTF">2021-10-11T17:22:13Z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y fmtid="{D5CDD505-2E9C-101B-9397-08002B2CF9AE}" pid="3" name="ICV">
    <vt:lpwstr>79F88E3ADD4D49D8ACBE353C36062732</vt:lpwstr>
  </property>
</Properties>
</file>