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eastAsia="zh-CN"/>
        </w:rPr>
      </w:pPr>
    </w:p>
    <w:p>
      <w:pPr>
        <w:jc w:val="center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石家庄市液化气公司固定资产占用情况表</w:t>
      </w:r>
    </w:p>
    <w:p>
      <w:pPr>
        <w:jc w:val="center"/>
        <w:rPr>
          <w:rFonts w:hint="eastAsia"/>
          <w:sz w:val="36"/>
          <w:szCs w:val="36"/>
          <w:lang w:eastAsia="zh-CN"/>
        </w:rPr>
      </w:pPr>
      <w:bookmarkStart w:id="0" w:name="_GoBack"/>
      <w:bookmarkEnd w:id="0"/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6"/>
        <w:gridCol w:w="1555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项目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数量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固定资产总额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549.50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（一）房屋及构筑物（平方米）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1436.46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188.21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其中：办公用房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99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（二）通讯设备（个、台、辆等）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84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142.96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其中：车辆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11.75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（三）专用设备（个、台等）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21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215.39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其中：单价</w:t>
            </w: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100万（含）以上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（四）其他固定资产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2.94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无形资产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1.76</w:t>
            </w:r>
          </w:p>
        </w:tc>
      </w:tr>
    </w:tbl>
    <w:p>
      <w:pPr>
        <w:jc w:val="center"/>
        <w:rPr>
          <w:rFonts w:hint="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8309E3"/>
    <w:rsid w:val="19A3516A"/>
    <w:rsid w:val="1C7E6804"/>
    <w:rsid w:val="2FD32AE5"/>
    <w:rsid w:val="313937FE"/>
    <w:rsid w:val="31B0748C"/>
    <w:rsid w:val="33387752"/>
    <w:rsid w:val="35742C20"/>
    <w:rsid w:val="35D55877"/>
    <w:rsid w:val="3F6F7C59"/>
    <w:rsid w:val="49AA5BB4"/>
    <w:rsid w:val="49FB78B9"/>
    <w:rsid w:val="4CE53827"/>
    <w:rsid w:val="5CE43B53"/>
    <w:rsid w:val="6FE8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fz</dc:creator>
  <cp:lastModifiedBy>fz</cp:lastModifiedBy>
  <dcterms:modified xsi:type="dcterms:W3CDTF">2021-10-13T02:34:07Z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