
<file path=[Content_Types].xml><?xml version="1.0" encoding="utf-8"?>
<Types xmlns="http://schemas.openxmlformats.org/package/2006/content-types">
  <Default Extension="xml" ContentType="application/xml"/>
  <Default Extension="xlsx" ContentType="application/vnd.openxmlformats-officedocument.spreadsheetml.sheet"/>
  <Default Extension="jpeg" ContentType="image/jpe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center"/>
        <w:rPr>
          <w:rFonts w:asciiTheme="minorEastAsia" w:hAnsiTheme="minorEastAsia" w:eastAsiaTheme="minorEastAsia"/>
          <w:b/>
          <w:sz w:val="72"/>
          <w:szCs w:val="72"/>
        </w:rPr>
      </w:pPr>
      <w:r>
        <w:rPr>
          <w:rFonts w:hint="eastAsia" w:hAnsi="宋体" w:asciiTheme="minorEastAsia" w:eastAsiaTheme="minorEastAsia"/>
          <w:color w:val="002060"/>
          <w:sz w:val="72"/>
          <w:szCs w:val="72"/>
        </w:rPr>
        <w:drawing>
          <wp:anchor distT="0" distB="0" distL="114300" distR="114300" simplePos="0" relativeHeight="251637760" behindDoc="1" locked="0" layoutInCell="1" allowOverlap="1">
            <wp:simplePos x="0" y="0"/>
            <wp:positionH relativeFrom="column">
              <wp:posOffset>-760730</wp:posOffset>
            </wp:positionH>
            <wp:positionV relativeFrom="paragraph">
              <wp:posOffset>-1790700</wp:posOffset>
            </wp:positionV>
            <wp:extent cx="7576820" cy="10796905"/>
            <wp:effectExtent l="0" t="0" r="5080" b="4445"/>
            <wp:wrapNone/>
            <wp:docPr id="7" name="图片 7" descr="wc ga"/>
            <wp:cNvGraphicFramePr>
              <a:graphicFrameLocks xmlns:a="http://schemas.openxmlformats.org/drawingml/2006/main" noChangeAspect="true"/>
            </wp:cNvGraphicFramePr>
            <a:graphic xmlns:a="http://schemas.openxmlformats.org/drawingml/2006/main">
              <a:graphicData uri="http://schemas.openxmlformats.org/drawingml/2006/picture">
                <pic:pic xmlns:pic="http://schemas.openxmlformats.org/drawingml/2006/picture">
                  <pic:nvPicPr>
                    <pic:cNvPr id="7" name="图片 7" descr="wc ga"/>
                    <pic:cNvPicPr>
                      <a:picLocks noChangeAspect="true"/>
                    </pic:cNvPicPr>
                  </pic:nvPicPr>
                  <pic:blipFill>
                    <a:blip r:embed="rId6" cstate="print"/>
                    <a:stretch>
                      <a:fillRect/>
                    </a:stretch>
                  </pic:blipFill>
                  <pic:spPr>
                    <a:xfrm>
                      <a:off x="0" y="0"/>
                      <a:ext cx="7576820" cy="10796905"/>
                    </a:xfrm>
                    <a:prstGeom prst="rect">
                      <a:avLst/>
                    </a:prstGeom>
                  </pic:spPr>
                </pic:pic>
              </a:graphicData>
            </a:graphic>
          </wp:anchor>
        </w:drawing>
      </w:r>
    </w:p>
    <w:p>
      <w:pPr>
        <w:widowControl/>
        <w:jc w:val="center"/>
        <w:rPr>
          <w:rFonts w:hAnsi="宋体" w:asciiTheme="minorEastAsia" w:eastAsiaTheme="minorEastAsia"/>
          <w:color w:val="002060"/>
          <w:sz w:val="72"/>
          <w:szCs w:val="72"/>
        </w:rPr>
      </w:pPr>
      <w:r>
        <w:rPr>
          <w:sz w:val="72"/>
        </w:rPr>
        <w:pict>
          <v:shape id="_x0000_s1026" o:spid="_x0000_s1026" o:spt="202" type="#_x0000_t202" style="position:absolute;left:0pt;margin-left:-83.1pt;margin-top:43.25pt;height:166.25pt;width:596.2pt;z-index:251638784;mso-width-relative:page;mso-height-relative:page;" filled="f" stroked="f" coordsize="21600,21600" o:gfxdata="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">
            <v:path/>
            <v:fill on="f" focussize="0,0"/>
            <v:stroke on="f" weight="0.5pt" joinstyle="miter"/>
            <v:imagedata o:title=""/>
            <o:lock v:ext="edit"/>
            <v:textbox>
              <w:txbxContent>
                <w:p>
                  <w:pPr>
                    <w:widowControl/>
                    <w:spacing w:line="1200" w:lineRule="exact"/>
                    <w:jc w:val="center"/>
                    <w:rPr>
                      <w:rFonts w:hAnsi="宋体" w:asciiTheme="minorEastAsia" w:eastAsiaTheme="minorEastAsia"/>
                      <w:color w:val="FDEFBE"/>
                      <w:sz w:val="96"/>
                      <w:szCs w:val="96"/>
                    </w:rPr>
                  </w:pPr>
                  <w:r>
                    <w:rPr>
                      <w:rFonts w:hint="eastAsia" w:hAnsi="宋体" w:asciiTheme="minorEastAsia" w:eastAsiaTheme="minorEastAsia"/>
                      <w:color w:val="FDEFBE"/>
                      <w:sz w:val="96"/>
                      <w:szCs w:val="96"/>
                    </w:rPr>
                    <w:t>区直工委</w:t>
                  </w:r>
                </w:p>
                <w:p>
                  <w:pPr>
                    <w:ind w:firstLine="1920" w:firstLineChars="200"/>
                    <w:rPr>
                      <w:color w:val="FDEFBE"/>
                      <w:sz w:val="96"/>
                      <w:szCs w:val="96"/>
                    </w:rPr>
                  </w:pPr>
                  <w:r>
                    <w:rPr>
                      <w:rFonts w:hint="eastAsia" w:hAnsi="宋体" w:asciiTheme="minorEastAsia" w:eastAsiaTheme="minorEastAsia"/>
                      <w:color w:val="FDEFBE"/>
                      <w:sz w:val="96"/>
                      <w:szCs w:val="96"/>
                    </w:rPr>
                    <w:t>2018年度部门决算</w:t>
                  </w:r>
                </w:p>
              </w:txbxContent>
            </v:textbox>
          </v:shape>
        </w:pict>
      </w: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楷体" w:hAnsi="楷体" w:eastAsia="楷体" w:cs="楷体"/>
          <w:b/>
          <w:sz w:val="40"/>
          <w:szCs w:val="40"/>
        </w:rPr>
      </w:pPr>
    </w:p>
    <w:p>
      <w:pPr>
        <w:widowControl/>
        <w:jc w:val="center"/>
        <w:rPr>
          <w:rFonts w:ascii="楷体_GB2312" w:hAnsi="楷体" w:eastAsia="楷体_GB2312" w:cs="楷体"/>
          <w:b/>
          <w:sz w:val="40"/>
          <w:szCs w:val="40"/>
        </w:rPr>
        <w:sectPr>
          <w:pgSz w:w="11906" w:h="16838"/>
          <w:pgMar w:top="2098" w:right="1474" w:bottom="1985" w:left="1588" w:header="851" w:footer="992" w:gutter="0"/>
          <w:cols w:space="425" w:num="1"/>
          <w:docGrid w:type="lines" w:linePitch="312" w:charSpace="0"/>
        </w:sectPr>
      </w:pPr>
      <w:r>
        <w:rPr>
          <w:rFonts w:hint="eastAsia" w:ascii="楷体_GB2312" w:hAnsi="楷体" w:eastAsia="楷体_GB2312" w:cs="楷体"/>
          <w:b/>
          <w:sz w:val="40"/>
          <w:szCs w:val="40"/>
        </w:rPr>
        <w:t>二</w:t>
      </w:r>
      <w:r>
        <w:rPr>
          <w:rFonts w:hint="eastAsia" w:ascii="宋体" w:hAnsi="宋体" w:cs="宋体"/>
          <w:b/>
          <w:sz w:val="40"/>
          <w:szCs w:val="40"/>
        </w:rPr>
        <w:t>〇</w:t>
      </w:r>
      <w:r>
        <w:rPr>
          <w:rFonts w:hint="eastAsia" w:ascii="楷体_GB2312" w:hAnsi="楷体_GB2312" w:eastAsia="楷体_GB2312" w:cs="楷体_GB2312"/>
          <w:b/>
          <w:sz w:val="40"/>
          <w:szCs w:val="40"/>
        </w:rPr>
        <w:t>一九年九</w:t>
      </w:r>
      <w:r>
        <w:rPr>
          <w:rFonts w:hint="eastAsia" w:ascii="楷体_GB2312" w:hAnsi="楷体" w:eastAsia="楷体_GB2312" w:cs="楷体"/>
          <w:b/>
          <w:sz w:val="40"/>
          <w:szCs w:val="40"/>
        </w:rPr>
        <w:t>月二十四日</w:t>
      </w:r>
    </w:p>
    <w:p>
      <w:pPr>
        <w:spacing w:beforeLines="200" w:after="0" w:line="1000" w:lineRule="exact"/>
        <w:jc w:val="center"/>
        <w:rPr>
          <w:rFonts w:ascii="黑体" w:eastAsia="黑体"/>
          <w:sz w:val="48"/>
          <w:szCs w:val="48"/>
        </w:rPr>
      </w:pPr>
      <w:r>
        <w:rPr>
          <w:sz w:val="48"/>
          <w:szCs w:val="28"/>
        </w:rPr>
        <w:pict>
          <v:group id="_x0000_s1095" o:spid="_x0000_s1095" o:spt="203" style="position:absolute;left:0pt;margin-left:-80.8pt;margin-top:39.95pt;height:46.7pt;width:250.05pt;mso-position-vertical-relative:page;z-index:251655168;mso-width-relative:page;mso-height-relative:page;" coordorigin="4551,52615" coordsize="8546,1398203" o:allowoverlap="f" o:gfxdata="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">
            <o:lock v:ext="edit"/>
            <v:rect id="矩形 13" o:spid="_x0000_s1097" o:spt="1" style="position:absolute;left:4551;top:52615;height:1175;width:8546;v-text-anchor:middle;" fillcolor="#D9D9D9" filled="t" stroked="f" coordsize="21600,21600" o:gfxdata="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FdhqAa/&#10;AAAA3AAAAA8AAAAAAAAAAQAgAAAAIgAAAGRycy9kb3ducmV2LnhtbFBLAQIUABQAAAAIAIdO4kAz&#10;LwWeOwAAADkAAAAQAAAAAAAAAAEAIAAAAA4BAABkcnMvc2hhcGV4bWwueG1sUEsFBgAAAAAGAAYA&#10;WwEAALgDAAAAAA==&#10;">
              <v:path/>
              <v:fill on="t" focussize="0,0"/>
              <v:stroke on="f" weight="2pt"/>
              <v:imagedata o:title=""/>
              <o:lock v:ext="edit"/>
            </v:rect>
            <v:rect id="矩形 14" o:spid="_x0000_s1096" o:spt="1" style="position:absolute;left:4577;top:52890;height:1123;width:8324;v-text-anchor:middle;" fillcolor="#AD002D" filled="t" stroked="t" coordsize="21600,21600" o:gfxdata="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FVJfCbsAAADc&#10;AAAADwAAAAAAAAABACAAAAAiAAAAZHJzL2Rvd25yZXYueG1sUEsBAhQAFAAAAAgAh07iQDMvBZ47&#10;AAAAOQAAABAAAAAAAAAAAQAgAAAACgEAAGRycy9zaGFwZXhtbC54bWxQSwUGAAAAAAYABgBbAQAA&#10;tAMAAAAA&#10;">
              <v:path/>
              <v:fill on="t" focussize="0,0"/>
              <v:stroke weight="2pt" color="#B0761F" joinstyle="round"/>
              <v:imagedata o:title=""/>
              <o:lock v:ext="edit"/>
              <v:textbox>
                <w:txbxContent>
                  <w:p>
                    <w:pPr>
                      <w:widowControl/>
                      <w:jc w:val="left"/>
                      <w:rPr>
                        <w:rFonts w:ascii="楷体" w:hAnsi="楷体" w:eastAsia="楷体" w:cs="楷体"/>
                        <w:b/>
                        <w:bCs/>
                        <w:color w:val="FDEFBE"/>
                        <w:sz w:val="36"/>
                        <w:szCs w:val="36"/>
                      </w:rPr>
                    </w:pPr>
                    <w:r>
                      <w:rPr>
                        <w:rFonts w:hint="eastAsia" w:ascii="楷体" w:hAnsi="楷体" w:eastAsia="楷体" w:cs="楷体"/>
                        <w:b/>
                        <w:bCs/>
                        <w:color w:val="FDEFBE"/>
                        <w:kern w:val="0"/>
                        <w:sz w:val="36"/>
                        <w:szCs w:val="36"/>
                      </w:rPr>
                      <w:t>2018年度部门决算☞目 录</w:t>
                    </w:r>
                  </w:p>
                  <w:p>
                    <w:pPr>
                      <w:jc w:val="center"/>
                    </w:pPr>
                  </w:p>
                </w:txbxContent>
              </v:textbox>
            </v:rect>
            <w10:anchorlock/>
          </v:group>
        </w:pict>
      </w:r>
      <w:r>
        <w:rPr>
          <w:rFonts w:hint="eastAsia" w:ascii="黑体" w:eastAsia="黑体"/>
          <w:sz w:val="48"/>
          <w:szCs w:val="48"/>
        </w:rPr>
        <w:t>目    录</w:t>
      </w:r>
    </w:p>
    <w:p>
      <w:pPr>
        <w:widowControl/>
        <w:spacing w:line="580" w:lineRule="exact"/>
        <w:ind w:firstLine="640" w:firstLineChars="200"/>
        <w:rPr>
          <w:rFonts w:eastAsia="黑体"/>
          <w:sz w:val="32"/>
          <w:szCs w:val="32"/>
        </w:rPr>
      </w:pPr>
    </w:p>
    <w:p>
      <w:pPr>
        <w:widowControl/>
        <w:spacing w:line="580" w:lineRule="exact"/>
        <w:ind w:firstLine="640" w:firstLineChars="200"/>
        <w:rPr>
          <w:rFonts w:eastAsia="仿宋_GB2312"/>
          <w:sz w:val="24"/>
          <w:szCs w:val="32"/>
        </w:rPr>
      </w:pPr>
      <w:r>
        <w:rPr>
          <w:rFonts w:eastAsia="黑体"/>
          <w:sz w:val="32"/>
          <w:szCs w:val="32"/>
        </w:rPr>
        <w:t>第一部分   部门概况</w:t>
      </w:r>
      <w:r>
        <w:rPr>
          <w:rFonts w:hint="eastAsia" w:eastAsia="仿宋_GB2312"/>
          <w:sz w:val="28"/>
          <w:szCs w:val="36"/>
        </w:rPr>
        <w:t xml:space="preserve">  </w:t>
      </w:r>
      <w:r>
        <w:rPr>
          <w:rFonts w:hint="eastAsia" w:eastAsia="仿宋_GB2312"/>
          <w:sz w:val="24"/>
          <w:szCs w:val="32"/>
        </w:rPr>
        <w:t xml:space="preserve"> </w:t>
      </w:r>
    </w:p>
    <w:p>
      <w:pPr>
        <w:widowControl/>
        <w:spacing w:line="580" w:lineRule="exact"/>
        <w:ind w:firstLine="1273" w:firstLineChars="398"/>
        <w:rPr>
          <w:rFonts w:eastAsia="仿宋_GB2312"/>
          <w:sz w:val="32"/>
          <w:szCs w:val="32"/>
        </w:rPr>
      </w:pPr>
      <w:r>
        <w:rPr>
          <w:rFonts w:eastAsia="仿宋_GB2312"/>
          <w:sz w:val="32"/>
          <w:szCs w:val="32"/>
        </w:rPr>
        <w:t>一、部门</w:t>
      </w:r>
      <w:r>
        <w:rPr>
          <w:rFonts w:hint="eastAsia" w:eastAsia="仿宋_GB2312"/>
          <w:sz w:val="32"/>
          <w:szCs w:val="32"/>
        </w:rPr>
        <w:t>职责</w:t>
      </w:r>
    </w:p>
    <w:p>
      <w:pPr>
        <w:widowControl/>
        <w:spacing w:line="580" w:lineRule="exact"/>
        <w:ind w:firstLine="1273" w:firstLineChars="398"/>
        <w:rPr>
          <w:rFonts w:eastAsia="仿宋_GB2312"/>
          <w:sz w:val="32"/>
          <w:szCs w:val="32"/>
        </w:rPr>
      </w:pPr>
      <w:r>
        <w:rPr>
          <w:rFonts w:eastAsia="仿宋_GB2312"/>
          <w:sz w:val="32"/>
          <w:szCs w:val="32"/>
        </w:rPr>
        <w:t>二、</w:t>
      </w:r>
      <w:r>
        <w:rPr>
          <w:rFonts w:hint="eastAsia" w:eastAsia="仿宋_GB2312"/>
          <w:sz w:val="32"/>
          <w:szCs w:val="32"/>
        </w:rPr>
        <w:t>机构设置</w:t>
      </w:r>
    </w:p>
    <w:p>
      <w:pPr>
        <w:widowControl/>
        <w:spacing w:line="580" w:lineRule="exact"/>
        <w:ind w:firstLine="640" w:firstLineChars="200"/>
        <w:rPr>
          <w:rFonts w:eastAsia="仿宋_GB2312"/>
          <w:sz w:val="20"/>
          <w:szCs w:val="32"/>
        </w:rPr>
      </w:pPr>
      <w:r>
        <w:rPr>
          <w:rFonts w:eastAsia="黑体"/>
          <w:sz w:val="32"/>
          <w:szCs w:val="32"/>
        </w:rPr>
        <w:t>第二部分   201</w:t>
      </w:r>
      <w:r>
        <w:rPr>
          <w:rFonts w:hint="eastAsia" w:eastAsia="黑体"/>
          <w:sz w:val="32"/>
          <w:szCs w:val="32"/>
        </w:rPr>
        <w:t>8</w:t>
      </w:r>
      <w:r>
        <w:rPr>
          <w:rFonts w:eastAsia="黑体"/>
          <w:sz w:val="32"/>
          <w:szCs w:val="32"/>
        </w:rPr>
        <w:t>年度部门决算报表</w:t>
      </w:r>
    </w:p>
    <w:p>
      <w:pPr>
        <w:widowControl/>
        <w:spacing w:line="580" w:lineRule="exact"/>
        <w:ind w:left="640" w:firstLine="640" w:firstLineChars="200"/>
        <w:rPr>
          <w:rFonts w:eastAsia="仿宋_GB2312"/>
          <w:sz w:val="32"/>
          <w:szCs w:val="32"/>
        </w:rPr>
      </w:pPr>
      <w:r>
        <w:rPr>
          <w:rFonts w:eastAsia="仿宋_GB2312"/>
          <w:sz w:val="32"/>
          <w:szCs w:val="32"/>
        </w:rPr>
        <w:t>一、收入支出决算总表</w:t>
      </w:r>
    </w:p>
    <w:p>
      <w:pPr>
        <w:widowControl/>
        <w:spacing w:line="580" w:lineRule="exact"/>
        <w:ind w:left="640" w:firstLine="640" w:firstLineChars="200"/>
        <w:rPr>
          <w:rFonts w:eastAsia="仿宋_GB2312"/>
          <w:sz w:val="32"/>
          <w:szCs w:val="32"/>
        </w:rPr>
      </w:pPr>
      <w:r>
        <w:rPr>
          <w:rFonts w:eastAsia="仿宋_GB2312"/>
          <w:sz w:val="32"/>
          <w:szCs w:val="32"/>
        </w:rPr>
        <w:t>二、收入决算表</w:t>
      </w:r>
    </w:p>
    <w:p>
      <w:pPr>
        <w:widowControl/>
        <w:spacing w:line="580" w:lineRule="exact"/>
        <w:ind w:left="640" w:firstLine="640" w:firstLineChars="200"/>
        <w:rPr>
          <w:rFonts w:eastAsia="仿宋_GB2312"/>
          <w:sz w:val="32"/>
          <w:szCs w:val="32"/>
        </w:rPr>
      </w:pPr>
      <w:r>
        <w:rPr>
          <w:rFonts w:eastAsia="仿宋_GB2312"/>
          <w:sz w:val="32"/>
          <w:szCs w:val="32"/>
        </w:rPr>
        <w:t>三、支出决算表</w:t>
      </w:r>
    </w:p>
    <w:p>
      <w:pPr>
        <w:widowControl/>
        <w:spacing w:line="580" w:lineRule="exact"/>
        <w:ind w:left="640" w:firstLine="640" w:firstLineChars="200"/>
        <w:rPr>
          <w:rFonts w:eastAsia="仿宋_GB2312"/>
          <w:sz w:val="32"/>
          <w:szCs w:val="32"/>
        </w:rPr>
      </w:pPr>
      <w:r>
        <w:rPr>
          <w:rFonts w:eastAsia="仿宋_GB2312"/>
          <w:sz w:val="32"/>
          <w:szCs w:val="32"/>
        </w:rPr>
        <w:t>四、财政拨款收入支出决算总表</w:t>
      </w:r>
    </w:p>
    <w:p>
      <w:pPr>
        <w:widowControl/>
        <w:spacing w:line="580" w:lineRule="exact"/>
        <w:ind w:left="640" w:firstLine="640" w:firstLineChars="200"/>
        <w:rPr>
          <w:rFonts w:eastAsia="仿宋_GB2312"/>
          <w:sz w:val="32"/>
          <w:szCs w:val="32"/>
        </w:rPr>
      </w:pPr>
      <w:r>
        <w:rPr>
          <w:rFonts w:eastAsia="仿宋_GB2312"/>
          <w:sz w:val="32"/>
          <w:szCs w:val="32"/>
        </w:rPr>
        <w:t>五、一般公共预算财政拨款支出决算表</w:t>
      </w:r>
    </w:p>
    <w:p>
      <w:pPr>
        <w:widowControl/>
        <w:spacing w:line="580" w:lineRule="exact"/>
        <w:ind w:left="640" w:firstLine="640" w:firstLineChars="200"/>
        <w:rPr>
          <w:rFonts w:eastAsia="仿宋_GB2312"/>
          <w:sz w:val="32"/>
          <w:szCs w:val="32"/>
        </w:rPr>
      </w:pPr>
      <w:r>
        <w:rPr>
          <w:rFonts w:eastAsia="仿宋_GB2312"/>
          <w:sz w:val="32"/>
          <w:szCs w:val="32"/>
        </w:rPr>
        <w:t>六、一般公共预算财政拨款基本支出决算表</w:t>
      </w:r>
    </w:p>
    <w:p>
      <w:pPr>
        <w:widowControl/>
        <w:spacing w:line="580" w:lineRule="exact"/>
        <w:ind w:left="640" w:firstLine="640" w:firstLineChars="200"/>
        <w:rPr>
          <w:rFonts w:eastAsia="仿宋_GB2312"/>
          <w:sz w:val="32"/>
          <w:szCs w:val="32"/>
        </w:rPr>
      </w:pPr>
      <w:r>
        <w:rPr>
          <w:rFonts w:eastAsia="仿宋_GB2312"/>
          <w:sz w:val="32"/>
          <w:szCs w:val="32"/>
        </w:rPr>
        <w:t>七、</w:t>
      </w:r>
      <w:r>
        <w:rPr>
          <w:rFonts w:hint="eastAsia" w:eastAsia="仿宋_GB2312"/>
          <w:sz w:val="32"/>
          <w:szCs w:val="32"/>
        </w:rPr>
        <w:t>一般公共预算财政拨款</w:t>
      </w:r>
      <w:r>
        <w:rPr>
          <w:rFonts w:eastAsia="仿宋_GB2312"/>
          <w:sz w:val="32"/>
          <w:szCs w:val="32"/>
        </w:rPr>
        <w:t>“三公”经费</w:t>
      </w:r>
      <w:r>
        <w:rPr>
          <w:rFonts w:hint="eastAsia" w:eastAsia="仿宋_GB2312"/>
          <w:sz w:val="32"/>
          <w:szCs w:val="32"/>
        </w:rPr>
        <w:t>支出决算表</w:t>
      </w:r>
    </w:p>
    <w:p>
      <w:pPr>
        <w:widowControl/>
        <w:spacing w:line="580" w:lineRule="exact"/>
        <w:ind w:left="640" w:firstLine="640" w:firstLineChars="200"/>
        <w:rPr>
          <w:rFonts w:eastAsia="仿宋_GB2312"/>
          <w:sz w:val="32"/>
          <w:szCs w:val="32"/>
        </w:rPr>
      </w:pPr>
      <w:r>
        <w:rPr>
          <w:rFonts w:hint="eastAsia" w:eastAsia="仿宋_GB2312"/>
          <w:sz w:val="32"/>
          <w:szCs w:val="32"/>
        </w:rPr>
        <w:t>八、</w:t>
      </w:r>
      <w:r>
        <w:rPr>
          <w:rFonts w:eastAsia="仿宋_GB2312"/>
          <w:sz w:val="32"/>
          <w:szCs w:val="32"/>
        </w:rPr>
        <w:t>政府性基金预算财政拨款收入支出决算表</w:t>
      </w:r>
    </w:p>
    <w:p>
      <w:pPr>
        <w:widowControl/>
        <w:spacing w:line="580" w:lineRule="exact"/>
        <w:ind w:left="640" w:firstLine="640" w:firstLineChars="200"/>
        <w:rPr>
          <w:rFonts w:eastAsia="仿宋_GB2312"/>
          <w:sz w:val="32"/>
          <w:szCs w:val="32"/>
        </w:rPr>
      </w:pPr>
      <w:r>
        <w:rPr>
          <w:rFonts w:hint="eastAsia" w:eastAsia="仿宋_GB2312"/>
          <w:sz w:val="32"/>
          <w:szCs w:val="32"/>
        </w:rPr>
        <w:t>九</w:t>
      </w:r>
      <w:r>
        <w:rPr>
          <w:rFonts w:eastAsia="仿宋_GB2312"/>
          <w:sz w:val="32"/>
          <w:szCs w:val="32"/>
        </w:rPr>
        <w:t>、国有资本经营预算</w:t>
      </w:r>
      <w:r>
        <w:rPr>
          <w:rFonts w:hint="eastAsia" w:eastAsia="仿宋_GB2312"/>
          <w:sz w:val="32"/>
          <w:szCs w:val="32"/>
        </w:rPr>
        <w:t>财政拨款</w:t>
      </w:r>
      <w:r>
        <w:rPr>
          <w:rFonts w:eastAsia="仿宋_GB2312"/>
          <w:sz w:val="32"/>
          <w:szCs w:val="32"/>
        </w:rPr>
        <w:t>支出决算表</w:t>
      </w:r>
    </w:p>
    <w:p>
      <w:pPr>
        <w:widowControl/>
        <w:spacing w:line="580" w:lineRule="exact"/>
        <w:ind w:left="640" w:firstLine="640" w:firstLineChars="200"/>
        <w:rPr>
          <w:rFonts w:eastAsia="仿宋_GB2312"/>
          <w:sz w:val="32"/>
          <w:szCs w:val="32"/>
        </w:rPr>
      </w:pPr>
      <w:r>
        <w:rPr>
          <w:rFonts w:hint="eastAsia" w:eastAsia="仿宋_GB2312"/>
          <w:sz w:val="32"/>
          <w:szCs w:val="32"/>
        </w:rPr>
        <w:t>十</w:t>
      </w:r>
      <w:r>
        <w:rPr>
          <w:rFonts w:eastAsia="仿宋_GB2312"/>
          <w:sz w:val="32"/>
          <w:szCs w:val="32"/>
        </w:rPr>
        <w:t>、政府采购情况表</w:t>
      </w: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r>
        <w:rPr>
          <w:rFonts w:eastAsia="黑体"/>
          <w:sz w:val="32"/>
          <w:szCs w:val="32"/>
        </w:rPr>
        <w:t>第三部分  XX部门201</w:t>
      </w:r>
      <w:r>
        <w:rPr>
          <w:rFonts w:hint="eastAsia" w:eastAsia="黑体"/>
          <w:sz w:val="32"/>
          <w:szCs w:val="32"/>
        </w:rPr>
        <w:t>8</w:t>
      </w:r>
      <w:r>
        <w:rPr>
          <w:rFonts w:eastAsia="黑体"/>
          <w:sz w:val="32"/>
          <w:szCs w:val="32"/>
        </w:rPr>
        <w:t>年部门决算情况说明</w:t>
      </w:r>
      <w:r>
        <w:rPr>
          <w:sz w:val="44"/>
        </w:rPr>
        <w:pict>
          <v:group id="_x0000_s1092" o:spid="_x0000_s1092" o:spt="203" style="position:absolute;left:0pt;margin-left:-76.45pt;margin-top:38.95pt;height:53.6pt;width:469pt;mso-position-vertical-relative:page;z-index:251654144;mso-width-relative:page;mso-height-relative:page;" coordorigin="-4892,52615" coordsize="17989,1604203" o:gfxdata="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">
            <o:lock v:ext="edit"/>
            <v:rect id="矩形 13" o:spid="_x0000_s1094" o:spt="1" style="position:absolute;left:4551;top:52615;height:1175;width:8546;v-text-anchor:middle;" fillcolor="#D9D9D9" filled="t" stroked="f" coordsize="21600,21600" o:gfxdata="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7V1AVbsAAADc&#10;AAAADwAAAAAAAAABACAAAAAiAAAAZHJzL2Rvd25yZXYueG1sUEsBAhQAFAAAAAgAh07iQDMvBZ47&#10;AAAAOQAAABAAAAAAAAAAAQAgAAAACgEAAGRycy9zaGFwZXhtbC54bWxQSwUGAAAAAAYABgBbAQAA&#10;tAMAAAAA&#10;">
              <v:path/>
              <v:fill on="t" focussize="0,0"/>
              <v:stroke on="f" weight="2pt"/>
              <v:imagedata o:title=""/>
              <o:lock v:ext="edit"/>
            </v:rect>
            <v:rect id="矩形 14" o:spid="_x0000_s1093" o:spt="1" style="position:absolute;left:-4892;top:53096;height:1123;width:8323;v-text-anchor:middle;" fillcolor="#AD002D" filled="t" stroked="t" coordsize="21600,21600" o:gfxdata="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xvYazvQAA&#10;ANwAAAAPAAAAAAAAAAEAIAAAACIAAABkcnMvZG93bnJldi54bWxQSwECFAAUAAAACACHTuJAMy8F&#10;njsAAAA5AAAAEAAAAAAAAAABACAAAAAMAQAAZHJzL3NoYXBleG1sLnhtbFBLBQYAAAAABgAGAFsB&#10;AAC2AwAAAAA=&#10;">
              <v:path/>
              <v:fill on="t" focussize="0,0"/>
              <v:stroke weight="2pt" color="#B0761F" joinstyle="round"/>
              <v:imagedata o:title=""/>
              <o:lock v:ext="edit"/>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2018年度部门决算☞目 录</w:t>
                    </w:r>
                  </w:p>
                  <w:p>
                    <w:pPr>
                      <w:jc w:val="center"/>
                    </w:pPr>
                  </w:p>
                </w:txbxContent>
              </v:textbox>
            </v:rect>
            <w10:anchorlock/>
          </v:group>
        </w:pict>
      </w:r>
    </w:p>
    <w:p>
      <w:pPr>
        <w:widowControl/>
        <w:spacing w:line="580" w:lineRule="exact"/>
        <w:ind w:left="640" w:firstLine="640" w:firstLineChars="200"/>
        <w:rPr>
          <w:rFonts w:eastAsia="仿宋_GB2312"/>
          <w:sz w:val="32"/>
          <w:szCs w:val="32"/>
        </w:rPr>
      </w:pPr>
      <w:r>
        <w:rPr>
          <w:rFonts w:eastAsia="仿宋_GB2312"/>
          <w:sz w:val="32"/>
          <w:szCs w:val="32"/>
        </w:rPr>
        <w:t>一、收入支出决算总体情况说明</w:t>
      </w:r>
    </w:p>
    <w:p>
      <w:pPr>
        <w:widowControl/>
        <w:spacing w:line="580" w:lineRule="exact"/>
        <w:ind w:left="640" w:firstLine="640" w:firstLineChars="200"/>
        <w:rPr>
          <w:rFonts w:eastAsia="仿宋_GB2312"/>
          <w:sz w:val="32"/>
          <w:szCs w:val="32"/>
        </w:rPr>
      </w:pPr>
      <w:r>
        <w:rPr>
          <w:rFonts w:eastAsia="仿宋_GB2312"/>
          <w:sz w:val="32"/>
          <w:szCs w:val="32"/>
        </w:rPr>
        <w:t>二、收入决算情况说明</w:t>
      </w:r>
    </w:p>
    <w:p>
      <w:pPr>
        <w:widowControl/>
        <w:spacing w:line="580" w:lineRule="exact"/>
        <w:ind w:left="640" w:firstLine="640" w:firstLineChars="200"/>
        <w:rPr>
          <w:rFonts w:eastAsia="仿宋_GB2312"/>
          <w:sz w:val="32"/>
          <w:szCs w:val="32"/>
        </w:rPr>
      </w:pPr>
      <w:r>
        <w:rPr>
          <w:rFonts w:eastAsia="仿宋_GB2312"/>
          <w:sz w:val="32"/>
          <w:szCs w:val="32"/>
        </w:rPr>
        <w:t>三、支出决算情况说明</w:t>
      </w:r>
    </w:p>
    <w:p>
      <w:pPr>
        <w:widowControl/>
        <w:spacing w:line="580" w:lineRule="exact"/>
        <w:ind w:left="640" w:firstLine="640" w:firstLineChars="200"/>
        <w:rPr>
          <w:rFonts w:eastAsia="仿宋_GB2312"/>
          <w:sz w:val="32"/>
          <w:szCs w:val="32"/>
        </w:rPr>
      </w:pPr>
      <w:r>
        <w:rPr>
          <w:rFonts w:eastAsia="仿宋_GB2312"/>
          <w:sz w:val="32"/>
          <w:szCs w:val="32"/>
        </w:rPr>
        <w:t>四、财政拨款收入支出决算情况说明</w:t>
      </w:r>
    </w:p>
    <w:p>
      <w:pPr>
        <w:widowControl/>
        <w:spacing w:line="580" w:lineRule="exact"/>
        <w:ind w:left="640" w:firstLine="640" w:firstLineChars="200"/>
        <w:rPr>
          <w:rFonts w:eastAsia="仿宋_GB2312"/>
          <w:sz w:val="32"/>
          <w:szCs w:val="32"/>
        </w:rPr>
      </w:pPr>
      <w:r>
        <w:rPr>
          <w:rFonts w:hint="eastAsia" w:eastAsia="仿宋_GB2312"/>
          <w:sz w:val="32"/>
          <w:szCs w:val="32"/>
        </w:rPr>
        <w:t>五、一般公共预算财政拨款</w:t>
      </w:r>
      <w:r>
        <w:rPr>
          <w:rFonts w:eastAsia="仿宋_GB2312"/>
          <w:sz w:val="32"/>
          <w:szCs w:val="32"/>
        </w:rPr>
        <w:t>“三公”经费支出决算情况说明</w:t>
      </w:r>
    </w:p>
    <w:p>
      <w:pPr>
        <w:widowControl/>
        <w:spacing w:line="580" w:lineRule="exact"/>
        <w:ind w:left="640" w:firstLine="640" w:firstLineChars="200"/>
        <w:rPr>
          <w:rFonts w:eastAsia="仿宋_GB2312"/>
          <w:sz w:val="32"/>
          <w:szCs w:val="32"/>
        </w:rPr>
      </w:pPr>
      <w:r>
        <w:rPr>
          <w:rFonts w:hint="eastAsia" w:eastAsia="仿宋_GB2312"/>
          <w:sz w:val="32"/>
          <w:szCs w:val="32"/>
        </w:rPr>
        <w:t>六</w:t>
      </w:r>
      <w:r>
        <w:rPr>
          <w:rFonts w:eastAsia="仿宋_GB2312"/>
          <w:sz w:val="32"/>
          <w:szCs w:val="32"/>
        </w:rPr>
        <w:t>、预算绩效情况说明</w:t>
      </w:r>
    </w:p>
    <w:p>
      <w:pPr>
        <w:widowControl/>
        <w:spacing w:line="580" w:lineRule="exact"/>
        <w:ind w:left="640" w:firstLine="640" w:firstLineChars="200"/>
        <w:rPr>
          <w:rFonts w:eastAsia="仿宋_GB2312"/>
          <w:sz w:val="32"/>
          <w:szCs w:val="32"/>
        </w:rPr>
      </w:pPr>
      <w:r>
        <w:rPr>
          <w:rFonts w:hint="eastAsia" w:eastAsia="仿宋_GB2312"/>
          <w:sz w:val="32"/>
          <w:szCs w:val="32"/>
        </w:rPr>
        <w:t>七</w:t>
      </w:r>
      <w:r>
        <w:rPr>
          <w:rFonts w:eastAsia="仿宋_GB2312"/>
          <w:sz w:val="32"/>
          <w:szCs w:val="32"/>
        </w:rPr>
        <w:t>、其他重要事项的说明</w:t>
      </w:r>
    </w:p>
    <w:p>
      <w:pPr>
        <w:widowControl/>
        <w:spacing w:line="580" w:lineRule="exact"/>
        <w:ind w:firstLine="640" w:firstLineChars="200"/>
        <w:rPr>
          <w:rFonts w:eastAsia="黑体"/>
          <w:sz w:val="32"/>
          <w:szCs w:val="32"/>
        </w:rPr>
      </w:pPr>
      <w:r>
        <w:rPr>
          <w:rFonts w:eastAsia="黑体"/>
          <w:sz w:val="32"/>
          <w:szCs w:val="32"/>
        </w:rPr>
        <w:t>第四部分  名词解释</w:t>
      </w: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r>
        <w:br w:type="page"/>
      </w:r>
    </w:p>
    <w:p>
      <w:r>
        <w:rPr>
          <w:rFonts w:hint="eastAsia" w:ascii="宋体" w:hAnsi="宋体" w:cs="ArialUnicodeMS"/>
          <w:color w:val="000000"/>
          <w:kern w:val="0"/>
        </w:rPr>
        <w:drawing>
          <wp:anchor distT="0" distB="0" distL="114300" distR="114300" simplePos="0" relativeHeight="251639808" behindDoc="1" locked="0" layoutInCell="1" allowOverlap="1">
            <wp:simplePos x="0" y="0"/>
            <wp:positionH relativeFrom="column">
              <wp:posOffset>-1024890</wp:posOffset>
            </wp:positionH>
            <wp:positionV relativeFrom="paragraph">
              <wp:posOffset>-1351915</wp:posOffset>
            </wp:positionV>
            <wp:extent cx="7585710" cy="10727055"/>
            <wp:effectExtent l="0" t="0" r="15240" b="17145"/>
            <wp:wrapNone/>
            <wp:docPr id="12" name="图片 12" descr="2"/>
            <wp:cNvGraphicFramePr>
              <a:graphicFrameLocks xmlns:a="http://schemas.openxmlformats.org/drawingml/2006/main" noChangeAspect="true"/>
            </wp:cNvGraphicFramePr>
            <a:graphic xmlns:a="http://schemas.openxmlformats.org/drawingml/2006/main">
              <a:graphicData uri="http://schemas.openxmlformats.org/drawingml/2006/picture">
                <pic:pic xmlns:pic="http://schemas.openxmlformats.org/drawingml/2006/picture">
                  <pic:nvPicPr>
                    <pic:cNvPr id="12" name="图片 12" descr="2"/>
                    <pic:cNvPicPr>
                      <a:picLocks noChangeAspect="true"/>
                    </pic:cNvPicPr>
                  </pic:nvPicPr>
                  <pic:blipFill>
                    <a:blip r:embed="rId7" cstate="print"/>
                    <a:stretch>
                      <a:fillRect/>
                    </a:stretch>
                  </pic:blipFill>
                  <pic:spPr>
                    <a:xfrm>
                      <a:off x="0" y="0"/>
                      <a:ext cx="7585710" cy="10727055"/>
                    </a:xfrm>
                    <a:prstGeom prst="rect">
                      <a:avLst/>
                    </a:prstGeom>
                  </pic:spPr>
                </pic:pic>
              </a:graphicData>
            </a:graphic>
          </wp:anchor>
        </w:drawing>
      </w:r>
      <w:r>
        <w:rPr>
          <w:sz w:val="72"/>
        </w:rPr>
        <w:pict>
          <v:shape id="_x0000_s1091" o:spid="_x0000_s1091" o:spt="202" type="#_x0000_t202" style="position:absolute;left:0pt;margin-left:-97.3pt;margin-top:259.1pt;height:81.7pt;width:613.65pt;z-index:251652096;mso-width-relative:page;mso-height-relative:page;" filled="f" stroked="f" coordsize="21600,21600" o:gfxdata="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oisOp3gAAAA0BAAAPAAAAAAAAAAEAIAAAACIAAABkcnMvZG93bnJldi54bWxQSwECFAAU&#10;AAAACACHTuJAVy+BgSQCAAAdBAAADgAAAAAAAAABACAAAAAtAQAAZHJzL2Uyb0RvYy54bWxQSwUG&#10;AAAAAAYABgBZAQAAwwUAAAAA&#10;">
            <v:path/>
            <v:fill on="f" focussize="0,0"/>
            <v:stroke on="f" weight="0.5pt" joinstyle="miter"/>
            <v:imagedata o:title=""/>
            <o:lock v:ext="edit"/>
            <v:textbox>
              <w:txbxContent>
                <w:p>
                  <w:pPr>
                    <w:widowControl/>
                    <w:jc w:val="center"/>
                    <w:rPr>
                      <w:color w:val="FDEFBE"/>
                      <w:sz w:val="96"/>
                      <w:szCs w:val="96"/>
                    </w:rPr>
                  </w:pPr>
                  <w:r>
                    <w:rPr>
                      <w:rFonts w:hint="eastAsia" w:hAnsi="宋体" w:asciiTheme="minorEastAsia" w:eastAsiaTheme="minorEastAsia"/>
                      <w:color w:val="FDEFBE"/>
                      <w:sz w:val="96"/>
                      <w:szCs w:val="96"/>
                    </w:rPr>
                    <w:t>第一部分  部门概况</w:t>
                  </w:r>
                </w:p>
              </w:txbxContent>
            </v:textbox>
          </v:shape>
        </w:pict>
      </w:r>
    </w:p>
    <w:p/>
    <w:p/>
    <w:p/>
    <w:p/>
    <w:p/>
    <w:p/>
    <w:p/>
    <w:p/>
    <w:p/>
    <w:p/>
    <w:p/>
    <w:p/>
    <w:p/>
    <w:p/>
    <w:p/>
    <w:p>
      <w:pPr>
        <w:pStyle w:val="2"/>
        <w:spacing w:before="0" w:after="0" w:line="600" w:lineRule="exact"/>
        <w:jc w:val="left"/>
        <w:rPr>
          <w:rFonts w:ascii="黑体" w:eastAsia="黑体" w:cs="黑体" w:hAnsiTheme="minorHAnsi"/>
          <w:b w:val="0"/>
          <w:bCs w:val="0"/>
          <w:kern w:val="0"/>
          <w:sz w:val="32"/>
          <w:szCs w:val="32"/>
        </w:rPr>
      </w:pPr>
      <w:r>
        <w:rPr>
          <w:b w:val="0"/>
          <w:bCs w:val="0"/>
          <w:sz w:val="32"/>
          <w:szCs w:val="32"/>
        </w:rPr>
        <w:pict>
          <v:group id="_x0000_s1088" o:spid="_x0000_s1088" o:spt="203" style="position:absolute;left:0pt;margin-left:-80.8pt;margin-top:39.5pt;height:46.7pt;width:245.25pt;mso-position-vertical-relative:page;z-index:251640832;mso-width-relative:page;mso-height-relative:page;" coordorigin="4551,52615" coordsize="8546,1398203" o:gfxdata="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">
            <o:lock v:ext="edit"/>
            <v:rect id="_x0000_s1090" o:spid="_x0000_s1090" o:spt="1" style="position:absolute;left:4551;top:52615;height:1175;width:8546;v-text-anchor:middle;" fillcolor="#D9D9D9" filled="t" stroked="f" coordsize="21600,21600" o:gfxdata="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HZ4qXLsAAADb&#10;AAAADwAAAAAAAAABACAAAAAiAAAAZHJzL2Rvd25yZXYueG1sUEsBAhQAFAAAAAgAh07iQDMvBZ47&#10;AAAAOQAAABAAAAAAAAAAAQAgAAAACgEAAGRycy9zaGFwZXhtbC54bWxQSwUGAAAAAAYABgBbAQAA&#10;tAMAAAAA&#10;">
              <v:path/>
              <v:fill on="t" focussize="0,0"/>
              <v:stroke on="f" weight="2pt"/>
              <v:imagedata o:title=""/>
              <o:lock v:ext="edit"/>
            </v:rect>
            <v:rect id="_x0000_s1089" o:spid="_x0000_s1089" o:spt="1" style="position:absolute;left:4577;top:52890;height:1123;width:8324;v-text-anchor:middle;" fillcolor="#AD002D" filled="t" stroked="t" coordsize="21600,21600" o:gfxdata="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Bve9h65AAAA2wAA&#10;AA8AAAAAAAAAAQAgAAAAIgAAAGRycy9kb3ducmV2LnhtbFBLAQIUABQAAAAIAIdO4kAzLwWeOwAA&#10;ADkAAAAQAAAAAAAAAAEAIAAAAAgBAABkcnMvc2hhcGV4bWwueG1sUEsFBgAAAAAGAAYAWwEAALID&#10;AAAAAA==&#10;">
              <v:path/>
              <v:fill on="t" focussize="0,0"/>
              <v:stroke weight="2pt" color="#B0761F" joinstyle="round"/>
              <v:imagedata o:title=""/>
              <o:lock v:ext="edit"/>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2018年度部门决算☞部门概况</w:t>
                    </w:r>
                  </w:p>
                  <w:p>
                    <w:pPr>
                      <w:jc w:val="center"/>
                    </w:pPr>
                  </w:p>
                </w:txbxContent>
              </v:textbox>
            </v:rect>
            <w10:anchorlock/>
          </v:group>
        </w:pict>
      </w:r>
      <w:r>
        <w:rPr>
          <w:rFonts w:hint="eastAsia" w:ascii="黑体" w:eastAsia="黑体" w:cs="黑体" w:hAnsiTheme="minorHAnsi"/>
          <w:b w:val="0"/>
          <w:bCs w:val="0"/>
          <w:kern w:val="0"/>
          <w:sz w:val="32"/>
          <w:szCs w:val="32"/>
        </w:rPr>
        <w:t>一、部门职责</w:t>
      </w:r>
    </w:p>
    <w:p>
      <w:pPr>
        <w:ind w:firstLine="640" w:firstLineChars="200"/>
        <w:rPr>
          <w:rFonts w:ascii="仿宋" w:hAnsi="仿宋" w:eastAsia="仿宋" w:cs="仿宋_GB2312"/>
          <w:color w:val="000000"/>
          <w:sz w:val="32"/>
          <w:szCs w:val="32"/>
        </w:rPr>
      </w:pPr>
      <w:r>
        <w:rPr>
          <w:rFonts w:hint="eastAsia" w:ascii="仿宋" w:hAnsi="仿宋" w:eastAsia="仿宋" w:cs="仿宋_GB2312"/>
          <w:color w:val="000000"/>
          <w:sz w:val="32"/>
          <w:szCs w:val="32"/>
        </w:rPr>
        <w:t>1）</w:t>
      </w:r>
      <w:r>
        <w:rPr>
          <w:rFonts w:hint="eastAsia" w:ascii="仿宋" w:hAnsi="仿宋" w:eastAsia="仿宋" w:cs="仿宋_GB2312"/>
          <w:color w:val="000000"/>
          <w:spacing w:val="-4"/>
          <w:sz w:val="32"/>
          <w:szCs w:val="32"/>
        </w:rPr>
        <w:t>按照区直部门机关党建工作单项考核办法，做好年度单项考核及结果报送工作。</w:t>
      </w:r>
    </w:p>
    <w:p>
      <w:pPr>
        <w:widowControl/>
        <w:tabs>
          <w:tab w:val="left" w:pos="705"/>
        </w:tabs>
        <w:textAlignment w:val="baseline"/>
        <w:rPr>
          <w:rFonts w:ascii="仿宋" w:hAnsi="仿宋" w:eastAsia="仿宋" w:cs="仿宋_GB2312"/>
          <w:color w:val="000000"/>
          <w:sz w:val="32"/>
          <w:szCs w:val="32"/>
        </w:rPr>
      </w:pPr>
      <w:r>
        <w:rPr>
          <w:rFonts w:hint="eastAsia" w:ascii="仿宋" w:hAnsi="仿宋" w:eastAsia="仿宋" w:cs="仿宋_GB2312"/>
          <w:color w:val="000000"/>
          <w:sz w:val="32"/>
          <w:szCs w:val="32"/>
        </w:rPr>
        <w:t xml:space="preserve">   （2）按照区委要求，做好工委系统机关作风整顿及“两学一做”学习教育工作，召开一次经验交流会。</w:t>
      </w:r>
    </w:p>
    <w:p>
      <w:pPr>
        <w:widowControl/>
        <w:tabs>
          <w:tab w:val="left" w:pos="705"/>
        </w:tabs>
        <w:textAlignment w:val="baseline"/>
        <w:rPr>
          <w:rFonts w:ascii="仿宋" w:hAnsi="仿宋" w:eastAsia="仿宋" w:cs="仿宋_GB2312"/>
          <w:color w:val="000000"/>
          <w:sz w:val="32"/>
          <w:szCs w:val="32"/>
        </w:rPr>
      </w:pPr>
      <w:r>
        <w:rPr>
          <w:rFonts w:hint="eastAsia" w:ascii="仿宋" w:hAnsi="仿宋" w:eastAsia="仿宋" w:cs="仿宋_GB2312"/>
          <w:color w:val="000000"/>
          <w:sz w:val="32"/>
          <w:szCs w:val="32"/>
        </w:rPr>
        <w:t xml:space="preserve">   （3）全面落实《机关基层党组织工作条例》，选好配强直属党组织班子，切实加强党务干部队伍建设。进一步规范机关党组织设置，理顺工作关系。</w:t>
      </w:r>
    </w:p>
    <w:p>
      <w:pPr>
        <w:widowControl/>
        <w:tabs>
          <w:tab w:val="left" w:pos="705"/>
        </w:tabs>
        <w:textAlignment w:val="baseline"/>
        <w:rPr>
          <w:rFonts w:ascii="仿宋" w:hAnsi="仿宋" w:eastAsia="仿宋" w:cs="仿宋_GB2312"/>
          <w:color w:val="000000"/>
          <w:sz w:val="32"/>
          <w:szCs w:val="32"/>
        </w:rPr>
      </w:pPr>
      <w:r>
        <w:rPr>
          <w:rFonts w:hint="eastAsia" w:ascii="仿宋" w:hAnsi="仿宋" w:eastAsia="仿宋" w:cs="仿宋_GB2312"/>
          <w:color w:val="000000"/>
          <w:sz w:val="32"/>
          <w:szCs w:val="32"/>
        </w:rPr>
        <w:t xml:space="preserve">   （4）认真做好发展党员工作。严格按照“控制总量，优化结构，提高质量，发挥作用”的总要求和《发展党员工作细 则》有关规定，发展新党员20名左右。</w:t>
      </w:r>
    </w:p>
    <w:p>
      <w:pPr>
        <w:widowControl/>
        <w:tabs>
          <w:tab w:val="left" w:pos="705"/>
        </w:tabs>
        <w:textAlignment w:val="baseline"/>
        <w:rPr>
          <w:rFonts w:ascii="仿宋" w:hAnsi="仿宋" w:eastAsia="仿宋" w:cs="仿宋_GB2312"/>
          <w:color w:val="000000"/>
          <w:sz w:val="32"/>
          <w:szCs w:val="32"/>
        </w:rPr>
      </w:pPr>
      <w:r>
        <w:rPr>
          <w:rFonts w:hint="eastAsia" w:ascii="仿宋" w:hAnsi="仿宋" w:eastAsia="仿宋" w:cs="仿宋_GB2312"/>
          <w:color w:val="000000"/>
          <w:sz w:val="32"/>
          <w:szCs w:val="32"/>
        </w:rPr>
        <w:t xml:space="preserve">   （5）举办一期党章党规基本知识培训。</w:t>
      </w:r>
    </w:p>
    <w:p>
      <w:pPr>
        <w:widowControl/>
        <w:tabs>
          <w:tab w:val="left" w:pos="705"/>
        </w:tabs>
        <w:textAlignment w:val="baseline"/>
        <w:rPr>
          <w:rFonts w:ascii="仿宋" w:hAnsi="仿宋" w:eastAsia="仿宋" w:cs="仿宋_GB2312"/>
          <w:color w:val="000000"/>
          <w:sz w:val="32"/>
          <w:szCs w:val="32"/>
        </w:rPr>
      </w:pPr>
      <w:r>
        <w:rPr>
          <w:rFonts w:hint="eastAsia" w:ascii="仿宋" w:hAnsi="仿宋" w:eastAsia="仿宋" w:cs="仿宋_GB2312"/>
          <w:color w:val="000000"/>
          <w:sz w:val="32"/>
          <w:szCs w:val="32"/>
        </w:rPr>
        <w:t xml:space="preserve">   （6）举办一期习近平总书记系列</w:t>
      </w:r>
      <w:r>
        <w:rPr>
          <w:rFonts w:hint="eastAsia" w:ascii="仿宋" w:hAnsi="仿宋" w:eastAsia="仿宋" w:cs="仿宋_GB2312"/>
          <w:color w:val="000000"/>
          <w:sz w:val="32"/>
          <w:szCs w:val="32"/>
          <w:lang w:eastAsia="zh"/>
        </w:rPr>
        <w:t>重要</w:t>
      </w:r>
      <w:bookmarkStart w:id="0" w:name="_GoBack"/>
      <w:bookmarkEnd w:id="0"/>
      <w:r>
        <w:rPr>
          <w:rFonts w:hint="eastAsia" w:ascii="仿宋" w:hAnsi="仿宋" w:eastAsia="仿宋" w:cs="仿宋_GB2312"/>
          <w:color w:val="000000"/>
          <w:sz w:val="32"/>
          <w:szCs w:val="32"/>
        </w:rPr>
        <w:t>讲话专题讲座或辅导班。</w:t>
      </w:r>
    </w:p>
    <w:p>
      <w:pPr>
        <w:widowControl/>
        <w:tabs>
          <w:tab w:val="left" w:pos="705"/>
        </w:tabs>
        <w:textAlignment w:val="baseline"/>
        <w:rPr>
          <w:rFonts w:ascii="仿宋" w:hAnsi="仿宋" w:eastAsia="仿宋" w:cs="仿宋_GB2312"/>
          <w:color w:val="000000"/>
          <w:sz w:val="32"/>
          <w:szCs w:val="32"/>
        </w:rPr>
      </w:pPr>
      <w:r>
        <w:rPr>
          <w:rFonts w:hint="eastAsia" w:ascii="仿宋" w:hAnsi="仿宋" w:eastAsia="仿宋" w:cs="仿宋_GB2312"/>
          <w:color w:val="000000"/>
          <w:sz w:val="32"/>
          <w:szCs w:val="32"/>
        </w:rPr>
        <w:t xml:space="preserve">   （7）围绕建党纪念，组织开展表彰、慰问、讲党课等系列活动。</w:t>
      </w:r>
    </w:p>
    <w:p>
      <w:pPr>
        <w:widowControl/>
        <w:jc w:val="left"/>
        <w:rPr>
          <w:rFonts w:ascii="仿宋" w:hAnsi="仿宋" w:eastAsia="仿宋"/>
          <w:color w:val="000000"/>
          <w:sz w:val="32"/>
          <w:szCs w:val="32"/>
        </w:rPr>
      </w:pPr>
      <w:r>
        <w:rPr>
          <w:rFonts w:hint="eastAsia" w:ascii="仿宋" w:hAnsi="仿宋" w:eastAsia="仿宋" w:cs="仿宋_GB2312"/>
          <w:color w:val="000000"/>
          <w:sz w:val="32"/>
          <w:szCs w:val="32"/>
        </w:rPr>
        <w:t xml:space="preserve">   （8）做好工委系统直属机关党组织书记党建专项述职工作。</w:t>
      </w:r>
    </w:p>
    <w:p>
      <w:pPr>
        <w:widowControl/>
        <w:ind w:firstLine="640"/>
        <w:jc w:val="left"/>
        <w:rPr>
          <w:rFonts w:ascii="仿宋" w:hAnsi="仿宋" w:eastAsia="仿宋" w:cs="仿宋"/>
          <w:color w:val="000000"/>
          <w:kern w:val="1"/>
          <w:sz w:val="32"/>
          <w:szCs w:val="32"/>
        </w:rPr>
      </w:pPr>
    </w:p>
    <w:p>
      <w:pPr>
        <w:widowControl/>
        <w:ind w:firstLine="640"/>
        <w:jc w:val="left"/>
        <w:rPr>
          <w:rFonts w:ascii="仿宋" w:hAnsi="仿宋" w:eastAsia="仿宋" w:cs="仿宋"/>
          <w:color w:val="000000"/>
          <w:kern w:val="1"/>
          <w:sz w:val="32"/>
          <w:szCs w:val="32"/>
        </w:rPr>
      </w:pPr>
    </w:p>
    <w:p>
      <w:pPr>
        <w:pStyle w:val="2"/>
        <w:spacing w:before="0" w:after="0" w:line="600" w:lineRule="exact"/>
        <w:jc w:val="left"/>
        <w:rPr>
          <w:rFonts w:ascii="黑体" w:eastAsia="黑体" w:cs="黑体" w:hAnsiTheme="minorHAnsi"/>
          <w:b w:val="0"/>
          <w:bCs w:val="0"/>
          <w:kern w:val="0"/>
          <w:sz w:val="32"/>
          <w:szCs w:val="32"/>
        </w:rPr>
      </w:pPr>
      <w:r>
        <w:rPr>
          <w:rFonts w:hint="eastAsia" w:ascii="黑体" w:eastAsia="黑体" w:cs="黑体" w:hAnsiTheme="minorHAnsi"/>
          <w:b w:val="0"/>
          <w:bCs w:val="0"/>
          <w:kern w:val="0"/>
          <w:sz w:val="32"/>
          <w:szCs w:val="32"/>
        </w:rPr>
        <w:t>二、机构设置</w:t>
      </w:r>
    </w:p>
    <w:p>
      <w:pPr>
        <w:spacing w:after="0" w:line="560" w:lineRule="exact"/>
        <w:rPr>
          <w:rFonts w:ascii="仿宋_GB2312" w:eastAsia="仿宋_GB2312" w:cs="ArialUnicodeMS" w:hAnsiTheme="minorHAnsi"/>
          <w:kern w:val="0"/>
          <w:sz w:val="32"/>
          <w:szCs w:val="32"/>
        </w:rPr>
      </w:pPr>
      <w:r>
        <w:rPr>
          <w:rFonts w:hint="eastAsia" w:ascii="仿宋_GB2312" w:eastAsia="仿宋_GB2312" w:cs="ArialUnicodeMS" w:hAnsiTheme="minorHAnsi"/>
          <w:kern w:val="0"/>
          <w:sz w:val="32"/>
          <w:szCs w:val="32"/>
        </w:rPr>
        <w:t>从决算编报单位构成看，纳入2018 年度本部门决算汇编范围的独立核算单位（以下简称“单位”）共 个，具体情况如下：</w:t>
      </w:r>
    </w:p>
    <w:tbl>
      <w:tblPr>
        <w:tblStyle w:val="13"/>
        <w:tblpPr w:leftFromText="180" w:rightFromText="180" w:vertAnchor="text" w:horzAnchor="page" w:tblpXSpec="center" w:tblpY="10"/>
        <w:tblOverlap w:val="never"/>
        <w:tblW w:w="95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3485"/>
        <w:gridCol w:w="2445"/>
        <w:gridCol w:w="266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985" w:type="dxa"/>
            <w:vAlign w:val="center"/>
          </w:tcPr>
          <w:p>
            <w:pPr>
              <w:spacing w:after="0" w:line="560" w:lineRule="exact"/>
              <w:jc w:val="center"/>
              <w:rPr>
                <w:rFonts w:ascii="仿宋_GB2312" w:eastAsia="仿宋_GB2312" w:cs="ArialUnicodeMS" w:hAnsiTheme="minorHAnsi"/>
                <w:b/>
                <w:bCs/>
                <w:kern w:val="0"/>
                <w:sz w:val="28"/>
                <w:szCs w:val="28"/>
              </w:rPr>
            </w:pPr>
            <w:r>
              <w:rPr>
                <w:rFonts w:hint="eastAsia" w:ascii="仿宋_GB2312" w:eastAsia="仿宋_GB2312" w:cs="ArialUnicodeMS" w:hAnsiTheme="minorHAnsi"/>
                <w:b/>
                <w:bCs/>
                <w:kern w:val="0"/>
                <w:sz w:val="28"/>
                <w:szCs w:val="28"/>
              </w:rPr>
              <w:t>序号</w:t>
            </w:r>
          </w:p>
        </w:tc>
        <w:tc>
          <w:tcPr>
            <w:tcW w:w="3485" w:type="dxa"/>
            <w:vAlign w:val="center"/>
          </w:tcPr>
          <w:p>
            <w:pPr>
              <w:spacing w:after="0" w:line="560" w:lineRule="exact"/>
              <w:jc w:val="center"/>
              <w:rPr>
                <w:rFonts w:ascii="仿宋_GB2312" w:eastAsia="仿宋_GB2312" w:cs="ArialUnicodeMS" w:hAnsiTheme="minorHAnsi"/>
                <w:b/>
                <w:bCs/>
                <w:kern w:val="0"/>
                <w:sz w:val="28"/>
                <w:szCs w:val="28"/>
              </w:rPr>
            </w:pPr>
            <w:r>
              <w:rPr>
                <w:rFonts w:hint="eastAsia" w:ascii="仿宋_GB2312" w:eastAsia="仿宋_GB2312" w:cs="ArialUnicodeMS" w:hAnsiTheme="minorHAnsi"/>
                <w:b/>
                <w:bCs/>
                <w:kern w:val="0"/>
                <w:sz w:val="28"/>
                <w:szCs w:val="28"/>
              </w:rPr>
              <w:t>单位名称</w:t>
            </w:r>
          </w:p>
        </w:tc>
        <w:tc>
          <w:tcPr>
            <w:tcW w:w="2445" w:type="dxa"/>
            <w:vAlign w:val="center"/>
          </w:tcPr>
          <w:p>
            <w:pPr>
              <w:spacing w:after="0" w:line="560" w:lineRule="exact"/>
              <w:jc w:val="center"/>
              <w:rPr>
                <w:rFonts w:ascii="仿宋_GB2312" w:eastAsia="仿宋_GB2312" w:cs="ArialUnicodeMS" w:hAnsiTheme="minorHAnsi"/>
                <w:b/>
                <w:bCs/>
                <w:kern w:val="0"/>
                <w:sz w:val="28"/>
                <w:szCs w:val="28"/>
              </w:rPr>
            </w:pPr>
            <w:r>
              <w:rPr>
                <w:rFonts w:hint="eastAsia" w:ascii="仿宋_GB2312" w:eastAsia="仿宋_GB2312" w:cs="ArialUnicodeMS" w:hAnsiTheme="minorHAnsi"/>
                <w:b/>
                <w:bCs/>
                <w:kern w:val="0"/>
                <w:sz w:val="28"/>
                <w:szCs w:val="28"/>
              </w:rPr>
              <w:t>单位基本性质</w:t>
            </w:r>
          </w:p>
        </w:tc>
        <w:tc>
          <w:tcPr>
            <w:tcW w:w="2665" w:type="dxa"/>
            <w:vAlign w:val="center"/>
          </w:tcPr>
          <w:p>
            <w:pPr>
              <w:spacing w:after="0" w:line="560" w:lineRule="exact"/>
              <w:jc w:val="center"/>
              <w:rPr>
                <w:rFonts w:ascii="仿宋_GB2312" w:eastAsia="仿宋_GB2312" w:cs="ArialUnicodeMS" w:hAnsiTheme="minorHAnsi"/>
                <w:b/>
                <w:bCs/>
                <w:kern w:val="0"/>
                <w:sz w:val="28"/>
                <w:szCs w:val="28"/>
              </w:rPr>
            </w:pPr>
            <w:r>
              <w:rPr>
                <w:rFonts w:hint="eastAsia" w:ascii="仿宋_GB2312" w:eastAsia="仿宋_GB2312" w:cs="ArialUnicodeMS" w:hAnsiTheme="minorHAnsi"/>
                <w:b/>
                <w:bCs/>
                <w:kern w:val="0"/>
                <w:sz w:val="28"/>
                <w:szCs w:val="28"/>
              </w:rPr>
              <w:t>经费形式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pPr>
              <w:spacing w:after="0" w:line="560" w:lineRule="exact"/>
              <w:jc w:val="center"/>
              <w:rPr>
                <w:rFonts w:ascii="仿宋_GB2312" w:eastAsia="仿宋_GB2312" w:cs="ArialUnicodeMS" w:hAnsiTheme="minorHAnsi"/>
                <w:kern w:val="0"/>
                <w:sz w:val="28"/>
                <w:szCs w:val="28"/>
              </w:rPr>
            </w:pPr>
            <w:r>
              <w:rPr>
                <w:rFonts w:hint="eastAsia" w:ascii="仿宋_GB2312" w:eastAsia="仿宋_GB2312" w:cs="ArialUnicodeMS" w:hAnsiTheme="minorHAnsi"/>
                <w:kern w:val="0"/>
                <w:sz w:val="28"/>
                <w:szCs w:val="28"/>
              </w:rPr>
              <w:t>1</w:t>
            </w:r>
          </w:p>
        </w:tc>
        <w:tc>
          <w:tcPr>
            <w:tcW w:w="3485" w:type="dxa"/>
          </w:tcPr>
          <w:p>
            <w:pPr>
              <w:spacing w:after="0" w:line="560" w:lineRule="exact"/>
              <w:rPr>
                <w:rFonts w:ascii="仿宋_GB2312" w:eastAsia="仿宋_GB2312" w:cs="ArialUnicodeMS" w:hAnsiTheme="minorHAnsi"/>
                <w:kern w:val="0"/>
                <w:sz w:val="28"/>
                <w:szCs w:val="28"/>
              </w:rPr>
            </w:pPr>
            <w:r>
              <w:rPr>
                <w:rFonts w:hint="eastAsia" w:ascii="仿宋_GB2312" w:cs="ArialUnicodeMS" w:hAnsiTheme="minorHAnsi" w:eastAsiaTheme="minorEastAsia"/>
                <w:kern w:val="0"/>
                <w:sz w:val="28"/>
                <w:szCs w:val="28"/>
              </w:rPr>
              <w:t>中共石家庄市鹿泉区委区直机关工作委员会</w:t>
            </w:r>
          </w:p>
        </w:tc>
        <w:tc>
          <w:tcPr>
            <w:tcW w:w="2445" w:type="dxa"/>
          </w:tcPr>
          <w:p>
            <w:pPr>
              <w:spacing w:after="0" w:line="560" w:lineRule="exact"/>
              <w:jc w:val="center"/>
              <w:rPr>
                <w:rFonts w:ascii="仿宋_GB2312" w:eastAsia="仿宋_GB2312" w:cs="ArialUnicodeMS" w:hAnsiTheme="minorHAnsi"/>
                <w:kern w:val="0"/>
                <w:sz w:val="28"/>
                <w:szCs w:val="28"/>
              </w:rPr>
            </w:pPr>
            <w:r>
              <w:rPr>
                <w:rFonts w:hint="eastAsia" w:ascii="仿宋_GB2312" w:cs="ArialUnicodeMS" w:hAnsiTheme="minorHAnsi" w:eastAsiaTheme="minorEastAsia"/>
                <w:kern w:val="0"/>
                <w:sz w:val="28"/>
                <w:szCs w:val="28"/>
              </w:rPr>
              <w:t>行政单位</w:t>
            </w:r>
          </w:p>
        </w:tc>
        <w:tc>
          <w:tcPr>
            <w:tcW w:w="2665" w:type="dxa"/>
          </w:tcPr>
          <w:p>
            <w:pPr>
              <w:spacing w:after="0" w:line="560" w:lineRule="exact"/>
              <w:jc w:val="center"/>
              <w:rPr>
                <w:rFonts w:ascii="仿宋_GB2312" w:eastAsia="仿宋_GB2312" w:cs="ArialUnicodeMS" w:hAnsiTheme="minorHAnsi"/>
                <w:kern w:val="0"/>
                <w:sz w:val="28"/>
                <w:szCs w:val="28"/>
              </w:rPr>
            </w:pPr>
            <w:r>
              <w:rPr>
                <w:rFonts w:hint="eastAsia" w:ascii="仿宋_GB2312" w:cs="ArialUnicodeMS" w:hAnsiTheme="minorHAnsi" w:eastAsiaTheme="minorEastAsia"/>
                <w:kern w:val="0"/>
                <w:sz w:val="28"/>
                <w:szCs w:val="28"/>
              </w:rPr>
              <w:t>财政拨款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6" w:hRule="atLeast"/>
          <w:jc w:val="center"/>
        </w:trPr>
        <w:tc>
          <w:tcPr>
            <w:tcW w:w="9580" w:type="dxa"/>
            <w:gridSpan w:val="4"/>
            <w:tcBorders>
              <w:top w:val="single" w:color="auto" w:sz="4" w:space="0"/>
              <w:left w:val="nil"/>
              <w:bottom w:val="nil"/>
              <w:right w:val="nil"/>
            </w:tcBorders>
          </w:tcPr>
          <w:p>
            <w:pPr>
              <w:spacing w:after="0" w:line="560" w:lineRule="exact"/>
              <w:ind w:firstLine="560" w:firstLineChars="200"/>
              <w:jc w:val="left"/>
              <w:rPr>
                <w:rFonts w:ascii="仿宋_GB2312" w:eastAsia="仿宋_GB2312" w:cs="ArialUnicodeMS" w:hAnsiTheme="minorHAnsi"/>
                <w:kern w:val="0"/>
                <w:sz w:val="28"/>
                <w:szCs w:val="28"/>
              </w:rPr>
            </w:pPr>
          </w:p>
        </w:tc>
      </w:tr>
    </w:tbl>
    <w:p>
      <w:pPr>
        <w:spacing w:after="0" w:line="560" w:lineRule="exact"/>
        <w:rPr>
          <w:rFonts w:ascii="仿宋_GB2312" w:eastAsia="仿宋_GB2312" w:cs="ArialUnicodeMS" w:hAnsiTheme="minorHAnsi"/>
          <w:kern w:val="0"/>
          <w:sz w:val="32"/>
          <w:szCs w:val="32"/>
        </w:rPr>
      </w:pPr>
    </w:p>
    <w:p>
      <w:pPr>
        <w:widowControl/>
        <w:spacing w:line="560" w:lineRule="exact"/>
        <w:jc w:val="center"/>
        <w:rPr>
          <w:rFonts w:ascii="黑体" w:eastAsia="黑体" w:cs="MS-UIGothic,Bold" w:hAnsiTheme="minorHAnsi"/>
          <w:bCs/>
          <w:kern w:val="0"/>
          <w:sz w:val="52"/>
          <w:szCs w:val="52"/>
        </w:rPr>
      </w:pPr>
    </w:p>
    <w:p>
      <w:pPr>
        <w:widowControl/>
        <w:spacing w:line="560" w:lineRule="exact"/>
        <w:jc w:val="center"/>
        <w:rPr>
          <w:rFonts w:ascii="黑体" w:eastAsia="黑体" w:cs="MS-UIGothic,Bold" w:hAnsiTheme="minorHAnsi"/>
          <w:bCs/>
          <w:kern w:val="0"/>
          <w:sz w:val="52"/>
          <w:szCs w:val="52"/>
        </w:rPr>
      </w:pPr>
    </w:p>
    <w:p>
      <w:pPr>
        <w:widowControl/>
        <w:spacing w:line="560" w:lineRule="exact"/>
        <w:jc w:val="center"/>
        <w:rPr>
          <w:rFonts w:ascii="黑体" w:eastAsia="黑体" w:cs="MS-UIGothic,Bold" w:hAnsiTheme="minorHAnsi"/>
          <w:bCs/>
          <w:kern w:val="0"/>
          <w:sz w:val="52"/>
          <w:szCs w:val="52"/>
        </w:rPr>
        <w:sectPr>
          <w:pgSz w:w="11906" w:h="16838"/>
          <w:pgMar w:top="2098" w:right="1474" w:bottom="1984" w:left="1588" w:header="851" w:footer="992" w:gutter="0"/>
          <w:cols w:space="0" w:num="1"/>
          <w:docGrid w:type="lines" w:linePitch="312" w:charSpace="0"/>
        </w:sectPr>
      </w:pPr>
    </w:p>
    <w:p>
      <w:pPr>
        <w:widowControl/>
        <w:spacing w:line="560" w:lineRule="exact"/>
        <w:jc w:val="center"/>
        <w:rPr>
          <w:rFonts w:ascii="黑体" w:eastAsia="黑体" w:cs="MS-UIGothic,Bold" w:hAnsiTheme="minorHAnsi"/>
          <w:bCs/>
          <w:kern w:val="0"/>
          <w:sz w:val="52"/>
          <w:szCs w:val="52"/>
        </w:rPr>
      </w:pPr>
      <w:r>
        <w:rPr>
          <w:rFonts w:hint="eastAsia" w:ascii="宋体" w:hAnsi="宋体" w:cs="ArialUnicodeMS"/>
          <w:color w:val="000000"/>
          <w:kern w:val="0"/>
        </w:rPr>
        <w:drawing>
          <wp:anchor distT="0" distB="0" distL="114300" distR="114300" simplePos="0" relativeHeight="251642880" behindDoc="1" locked="0" layoutInCell="1" allowOverlap="1">
            <wp:simplePos x="0" y="0"/>
            <wp:positionH relativeFrom="column">
              <wp:posOffset>-1023620</wp:posOffset>
            </wp:positionH>
            <wp:positionV relativeFrom="paragraph">
              <wp:posOffset>-1327150</wp:posOffset>
            </wp:positionV>
            <wp:extent cx="7571105" cy="10680065"/>
            <wp:effectExtent l="0" t="0" r="10795" b="6985"/>
            <wp:wrapNone/>
            <wp:docPr id="16" name="图片 16" descr="2"/>
            <wp:cNvGraphicFramePr>
              <a:graphicFrameLocks xmlns:a="http://schemas.openxmlformats.org/drawingml/2006/main" noChangeAspect="true"/>
            </wp:cNvGraphicFramePr>
            <a:graphic xmlns:a="http://schemas.openxmlformats.org/drawingml/2006/main">
              <a:graphicData uri="http://schemas.openxmlformats.org/drawingml/2006/picture">
                <pic:pic xmlns:pic="http://schemas.openxmlformats.org/drawingml/2006/picture">
                  <pic:nvPicPr>
                    <pic:cNvPr id="16" name="图片 16" descr="2"/>
                    <pic:cNvPicPr>
                      <a:picLocks noChangeAspect="true"/>
                    </pic:cNvPicPr>
                  </pic:nvPicPr>
                  <pic:blipFill>
                    <a:blip r:embed="rId7" cstate="print"/>
                    <a:stretch>
                      <a:fillRect/>
                    </a:stretch>
                  </pic:blipFill>
                  <pic:spPr>
                    <a:xfrm>
                      <a:off x="0" y="0"/>
                      <a:ext cx="7571105" cy="10680065"/>
                    </a:xfrm>
                    <a:prstGeom prst="rect">
                      <a:avLst/>
                    </a:prstGeom>
                  </pic:spPr>
                </pic:pic>
              </a:graphicData>
            </a:graphic>
          </wp:anchor>
        </w:drawing>
      </w:r>
    </w:p>
    <w:p>
      <w:pPr>
        <w:widowControl/>
        <w:spacing w:line="560" w:lineRule="exact"/>
        <w:jc w:val="center"/>
        <w:rPr>
          <w:rFonts w:ascii="黑体" w:eastAsia="黑体" w:cs="MS-UIGothic,Bold" w:hAnsiTheme="minorHAnsi"/>
          <w:bCs/>
          <w:kern w:val="0"/>
          <w:sz w:val="52"/>
          <w:szCs w:val="52"/>
        </w:rPr>
      </w:pPr>
    </w:p>
    <w:p>
      <w:pPr>
        <w:rPr>
          <w:rFonts w:ascii="宋体" w:hAnsi="宋体" w:cs="ArialUnicodeMS"/>
          <w:color w:val="000000"/>
          <w:kern w:val="0"/>
        </w:rPr>
      </w:pPr>
    </w:p>
    <w:p>
      <w:pPr>
        <w:rPr>
          <w:rFonts w:ascii="宋体" w:hAnsi="宋体" w:cs="ArialUnicodeMS"/>
          <w:color w:val="000000"/>
          <w:kern w:val="0"/>
        </w:rPr>
        <w:sectPr>
          <w:pgSz w:w="11906" w:h="16838"/>
          <w:pgMar w:top="2098" w:right="1474" w:bottom="1984" w:left="1588" w:header="851" w:footer="992" w:gutter="0"/>
          <w:cols w:space="0" w:num="1"/>
          <w:docGrid w:type="lines" w:linePitch="312" w:charSpace="0"/>
        </w:sectPr>
      </w:pPr>
      <w:r>
        <w:rPr>
          <w:sz w:val="72"/>
        </w:rPr>
        <w:pict>
          <v:shape id="_x0000_s1087" o:spid="_x0000_s1087" o:spt="202" type="#_x0000_t202" style="position:absolute;left:0pt;margin-left:-74.2pt;margin-top:120.3pt;height:159.1pt;width:596.2pt;z-index:251641856;mso-width-relative:page;mso-height-relative:page;" filled="f" stroked="f" coordsize="21600,21600" o:gfxdata="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BO&#10;az3Q3AAAAA0BAAAPAAAAAAAAAAEAIAAAACIAAABkcnMvZG93bnJldi54bWxQSwECFAAUAAAACACH&#10;TuJAX0LKzCACAAAbBAAADgAAAAAAAAABACAAAAArAQAAZHJzL2Uyb0RvYy54bWxQSwUGAAAAAAYA&#10;BgBZAQAAvQUAAAAA&#10;">
            <v:path/>
            <v:fill on="f" focussize="0,0"/>
            <v:stroke on="f" weight="0.5pt" joinstyle="miter"/>
            <v:imagedata o:title=""/>
            <o:lock v:ext="edit"/>
            <v:textbox>
              <w:txbxContent>
                <w:p>
                  <w:pPr>
                    <w:widowControl/>
                    <w:spacing w:line="1200" w:lineRule="exact"/>
                    <w:jc w:val="center"/>
                    <w:rPr>
                      <w:rFonts w:hAnsi="宋体" w:asciiTheme="minorEastAsia" w:eastAsiaTheme="minorEastAsia"/>
                      <w:color w:val="FDEFBE"/>
                      <w:sz w:val="96"/>
                      <w:szCs w:val="96"/>
                    </w:rPr>
                  </w:pPr>
                  <w:r>
                    <w:rPr>
                      <w:rFonts w:hint="eastAsia" w:hAnsi="宋体" w:asciiTheme="minorEastAsia" w:eastAsiaTheme="minorEastAsia"/>
                      <w:color w:val="FDEFBE"/>
                      <w:sz w:val="96"/>
                      <w:szCs w:val="96"/>
                    </w:rPr>
                    <w:t>第二部分</w:t>
                  </w:r>
                </w:p>
                <w:p>
                  <w:pPr>
                    <w:widowControl/>
                    <w:spacing w:line="1200" w:lineRule="exact"/>
                    <w:jc w:val="center"/>
                    <w:rPr>
                      <w:color w:val="FDEFBE"/>
                      <w:sz w:val="96"/>
                      <w:szCs w:val="96"/>
                    </w:rPr>
                  </w:pPr>
                  <w:r>
                    <w:rPr>
                      <w:rFonts w:hint="eastAsia" w:hAnsi="宋体" w:asciiTheme="minorEastAsia" w:eastAsiaTheme="minorEastAsia"/>
                      <w:color w:val="FDEFBE"/>
                      <w:sz w:val="96"/>
                      <w:szCs w:val="96"/>
                    </w:rPr>
                    <w:t>2018年度部门决算报表</w:t>
                  </w:r>
                </w:p>
              </w:txbxContent>
            </v:textbox>
          </v:shape>
        </w:pict>
      </w:r>
    </w:p>
    <w:tbl>
      <w:tblPr>
        <w:tblStyle w:val="12"/>
        <w:tblW w:w="9300" w:type="dxa"/>
        <w:jc w:val="center"/>
        <w:tblLayout w:type="fixed"/>
        <w:tblCellMar>
          <w:top w:w="0" w:type="dxa"/>
          <w:left w:w="0" w:type="dxa"/>
          <w:bottom w:w="0" w:type="dxa"/>
          <w:right w:w="0" w:type="dxa"/>
        </w:tblCellMar>
      </w:tblPr>
      <w:tblGrid>
        <w:gridCol w:w="2700"/>
        <w:gridCol w:w="567"/>
        <w:gridCol w:w="1336"/>
        <w:gridCol w:w="2700"/>
        <w:gridCol w:w="567"/>
        <w:gridCol w:w="1430"/>
      </w:tblGrid>
      <w:tr>
        <w:tblPrEx>
          <w:tblCellMar>
            <w:top w:w="0" w:type="dxa"/>
            <w:left w:w="0" w:type="dxa"/>
            <w:bottom w:w="0" w:type="dxa"/>
            <w:right w:w="0" w:type="dxa"/>
          </w:tblCellMar>
        </w:tblPrEx>
        <w:trPr>
          <w:trHeight w:val="567" w:hRule="atLeast"/>
          <w:jc w:val="center"/>
        </w:trPr>
        <w:tc>
          <w:tcPr>
            <w:tcW w:w="9300" w:type="dxa"/>
            <w:gridSpan w:val="6"/>
            <w:tcBorders>
              <w:top w:val="nil"/>
              <w:left w:val="nil"/>
              <w:bottom w:val="nil"/>
              <w:right w:val="nil"/>
            </w:tcBorders>
            <w:shd w:val="clear" w:color="auto" w:fill="auto"/>
            <w:tcMar>
              <w:top w:w="15" w:type="dxa"/>
              <w:left w:w="15" w:type="dxa"/>
              <w:right w:w="15" w:type="dxa"/>
            </w:tcMar>
            <w:vAlign w:val="center"/>
          </w:tcPr>
          <w:p>
            <w:pPr>
              <w:widowControl/>
              <w:spacing w:after="0" w:line="440" w:lineRule="exact"/>
              <w:jc w:val="center"/>
              <w:textAlignment w:val="center"/>
              <w:rPr>
                <w:rFonts w:ascii="黑体" w:hAnsi="宋体" w:eastAsia="黑体" w:cs="黑体"/>
                <w:color w:val="000000"/>
                <w:sz w:val="40"/>
                <w:szCs w:val="40"/>
              </w:rPr>
            </w:pPr>
            <w:r>
              <w:rPr>
                <w:sz w:val="44"/>
              </w:rPr>
              <w:pict>
                <v:group id="_x0000_s1084" o:spid="_x0000_s1084" o:spt="203" style="position:absolute;left:0pt;margin-left:-70.25pt;margin-top:-81.85pt;height:41.2pt;width:243.2pt;mso-position-vertical-relative:page;z-index:251656192;mso-width-relative:page;mso-height-relative:page;" coordorigin="4551,52615" coordsize="8546,1398203" o:gfxdata="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">
                  <o:lock v:ext="edit"/>
                  <v:rect id="矩形 13" o:spid="_x0000_s1086" o:spt="1" style="position:absolute;left:4551;top:52615;height:1175;width:8546;v-text-anchor:middle;" fillcolor="#D9D9D9" filled="t" stroked="f" coordsize="21600,21600" o:gfxdata="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ggARsLsAAADb&#10;AAAADwAAAAAAAAABACAAAAAiAAAAZHJzL2Rvd25yZXYueG1sUEsBAhQAFAAAAAgAh07iQDMvBZ47&#10;AAAAOQAAABAAAAAAAAAAAQAgAAAACgEAAGRycy9zaGFwZXhtbC54bWxQSwUGAAAAAAYABgBbAQAA&#10;tAMAAAAA&#10;">
                    <v:path/>
                    <v:fill on="t" focussize="0,0"/>
                    <v:stroke on="f" weight="2pt"/>
                    <v:imagedata o:title=""/>
                    <o:lock v:ext="edit"/>
                  </v:rect>
                  <v:rect id="矩形 14" o:spid="_x0000_s1085" o:spt="1" style="position:absolute;left:4577;top:52890;height:1123;width:8324;v-text-anchor:middle;" fillcolor="#AD002D" filled="t" stroked="t" coordsize="21600,21600" o:gfxdata="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SiwHT7sAAADb&#10;AAAADwAAAAAAAAABACAAAAAiAAAAZHJzL2Rvd25yZXYueG1sUEsBAhQAFAAAAAgAh07iQDMvBZ47&#10;AAAAOQAAABAAAAAAAAAAAQAgAAAACgEAAGRycy9zaGFwZXhtbC54bWxQSwUGAAAAAAYABgBbAQAA&#10;tAMAAAAA&#10;">
                    <v:path/>
                    <v:fill on="t" focussize="0,0"/>
                    <v:stroke weight="2pt" color="#B0761F" joinstyle="round"/>
                    <v:imagedata o:title=""/>
                    <o:lock v:ext="edit"/>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2018年度部门决算☞决算报表</w:t>
                          </w:r>
                        </w:p>
                        <w:p>
                          <w:pPr>
                            <w:jc w:val="center"/>
                          </w:pPr>
                        </w:p>
                      </w:txbxContent>
                    </v:textbox>
                  </v:rect>
                  <w10:anchorlock/>
                </v:group>
              </w:pict>
            </w:r>
            <w:r>
              <w:rPr>
                <w:rFonts w:hint="eastAsia" w:ascii="黑体" w:hAnsi="宋体" w:eastAsia="黑体" w:cs="黑体"/>
                <w:color w:val="000000"/>
                <w:kern w:val="0"/>
                <w:sz w:val="40"/>
                <w:szCs w:val="40"/>
              </w:rPr>
              <w:t>收入支出决算总表</w:t>
            </w:r>
          </w:p>
        </w:tc>
      </w:tr>
      <w:tr>
        <w:tblPrEx>
          <w:tblCellMar>
            <w:top w:w="0" w:type="dxa"/>
            <w:left w:w="0" w:type="dxa"/>
            <w:bottom w:w="0" w:type="dxa"/>
            <w:right w:w="0" w:type="dxa"/>
          </w:tblCellMar>
        </w:tblPrEx>
        <w:trPr>
          <w:trHeight w:val="321" w:hRule="atLeast"/>
          <w:jc w:val="center"/>
        </w:trPr>
        <w:tc>
          <w:tcPr>
            <w:tcW w:w="270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rPr>
                <w:rFonts w:ascii="Arial" w:hAnsi="Arial" w:cs="Arial"/>
                <w:color w:val="000000"/>
                <w:sz w:val="20"/>
                <w:szCs w:val="20"/>
              </w:rPr>
            </w:pPr>
          </w:p>
        </w:tc>
        <w:tc>
          <w:tcPr>
            <w:tcW w:w="567"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rPr>
                <w:rFonts w:ascii="Arial" w:hAnsi="Arial" w:cs="Arial"/>
                <w:color w:val="000000"/>
                <w:sz w:val="20"/>
                <w:szCs w:val="20"/>
              </w:rPr>
            </w:pPr>
          </w:p>
        </w:tc>
        <w:tc>
          <w:tcPr>
            <w:tcW w:w="1336"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rPr>
                <w:rFonts w:ascii="Arial" w:hAnsi="Arial" w:cs="Arial"/>
                <w:color w:val="000000"/>
                <w:sz w:val="20"/>
                <w:szCs w:val="20"/>
              </w:rPr>
            </w:pPr>
          </w:p>
        </w:tc>
        <w:tc>
          <w:tcPr>
            <w:tcW w:w="270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rPr>
                <w:rFonts w:ascii="Arial" w:hAnsi="Arial" w:cs="Arial"/>
                <w:color w:val="000000"/>
                <w:sz w:val="20"/>
                <w:szCs w:val="20"/>
              </w:rPr>
            </w:pPr>
          </w:p>
        </w:tc>
        <w:tc>
          <w:tcPr>
            <w:tcW w:w="567"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rPr>
                <w:rFonts w:ascii="Arial" w:hAnsi="Arial" w:cs="Arial"/>
                <w:color w:val="000000"/>
                <w:sz w:val="20"/>
                <w:szCs w:val="20"/>
              </w:rPr>
            </w:pPr>
          </w:p>
        </w:tc>
        <w:tc>
          <w:tcPr>
            <w:tcW w:w="143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jc w:val="right"/>
              <w:textAlignment w:val="center"/>
              <w:rPr>
                <w:rFonts w:ascii="宋体" w:hAnsi="宋体" w:cs="宋体"/>
                <w:color w:val="000000"/>
                <w:sz w:val="20"/>
                <w:szCs w:val="20"/>
              </w:rPr>
            </w:pPr>
            <w:r>
              <w:rPr>
                <w:rFonts w:hint="eastAsia" w:ascii="宋体" w:hAnsi="宋体" w:cs="宋体"/>
                <w:color w:val="000000"/>
                <w:kern w:val="0"/>
                <w:sz w:val="20"/>
                <w:szCs w:val="20"/>
              </w:rPr>
              <w:t>公开01表</w:t>
            </w:r>
          </w:p>
        </w:tc>
      </w:tr>
      <w:tr>
        <w:tblPrEx>
          <w:tblCellMar>
            <w:top w:w="0" w:type="dxa"/>
            <w:left w:w="0" w:type="dxa"/>
            <w:bottom w:w="0" w:type="dxa"/>
            <w:right w:w="0" w:type="dxa"/>
          </w:tblCellMar>
        </w:tblPrEx>
        <w:trPr>
          <w:trHeight w:val="418" w:hRule="atLeast"/>
          <w:jc w:val="center"/>
        </w:trPr>
        <w:tc>
          <w:tcPr>
            <w:tcW w:w="270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部门：</w:t>
            </w:r>
          </w:p>
        </w:tc>
        <w:tc>
          <w:tcPr>
            <w:tcW w:w="567"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rPr>
                <w:rFonts w:ascii="宋体" w:hAnsi="宋体" w:cs="宋体"/>
                <w:color w:val="000000"/>
                <w:sz w:val="20"/>
                <w:szCs w:val="20"/>
              </w:rPr>
            </w:pPr>
          </w:p>
        </w:tc>
        <w:tc>
          <w:tcPr>
            <w:tcW w:w="1336"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rPr>
                <w:rFonts w:ascii="宋体" w:hAnsi="宋体" w:cs="宋体"/>
                <w:color w:val="000000"/>
                <w:sz w:val="20"/>
                <w:szCs w:val="20"/>
              </w:rPr>
            </w:pPr>
          </w:p>
        </w:tc>
        <w:tc>
          <w:tcPr>
            <w:tcW w:w="270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rPr>
                <w:rFonts w:ascii="宋体" w:hAnsi="宋体" w:cs="宋体"/>
                <w:color w:val="000000"/>
                <w:sz w:val="20"/>
                <w:szCs w:val="20"/>
              </w:rPr>
            </w:pPr>
          </w:p>
        </w:tc>
        <w:tc>
          <w:tcPr>
            <w:tcW w:w="567"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rPr>
                <w:rFonts w:ascii="宋体" w:hAnsi="宋体" w:cs="宋体"/>
                <w:color w:val="000000"/>
                <w:sz w:val="20"/>
                <w:szCs w:val="20"/>
              </w:rPr>
            </w:pPr>
          </w:p>
        </w:tc>
        <w:tc>
          <w:tcPr>
            <w:tcW w:w="143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jc w:val="right"/>
              <w:textAlignment w:val="center"/>
              <w:rPr>
                <w:rFonts w:ascii="宋体" w:hAnsi="宋体" w:cs="宋体"/>
                <w:color w:val="000000"/>
                <w:sz w:val="20"/>
                <w:szCs w:val="20"/>
              </w:rPr>
            </w:pPr>
            <w:r>
              <w:rPr>
                <w:rFonts w:hint="eastAsia" w:ascii="宋体" w:hAnsi="宋体" w:cs="宋体"/>
                <w:color w:val="000000"/>
                <w:kern w:val="0"/>
                <w:sz w:val="20"/>
                <w:szCs w:val="20"/>
              </w:rPr>
              <w:t>金额单位：万元</w:t>
            </w:r>
          </w:p>
        </w:tc>
      </w:tr>
      <w:tr>
        <w:tblPrEx>
          <w:tblCellMar>
            <w:top w:w="0" w:type="dxa"/>
            <w:left w:w="0" w:type="dxa"/>
            <w:bottom w:w="0" w:type="dxa"/>
            <w:right w:w="0" w:type="dxa"/>
          </w:tblCellMar>
        </w:tblPrEx>
        <w:trPr>
          <w:trHeight w:val="295" w:hRule="atLeast"/>
          <w:jc w:val="center"/>
        </w:trPr>
        <w:tc>
          <w:tcPr>
            <w:tcW w:w="4603"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收入</w:t>
            </w:r>
          </w:p>
        </w:tc>
        <w:tc>
          <w:tcPr>
            <w:tcW w:w="4697" w:type="dxa"/>
            <w:gridSpan w:val="3"/>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支出</w:t>
            </w:r>
          </w:p>
        </w:tc>
      </w:tr>
      <w:tr>
        <w:tblPrEx>
          <w:tblCellMar>
            <w:top w:w="0" w:type="dxa"/>
            <w:left w:w="0" w:type="dxa"/>
            <w:bottom w:w="0" w:type="dxa"/>
            <w:right w:w="0" w:type="dxa"/>
          </w:tblCellMar>
        </w:tblPrEx>
        <w:trPr>
          <w:trHeight w:val="295"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项目</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行次</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金额</w:t>
            </w: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项目</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行次</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金额</w:t>
            </w:r>
          </w:p>
        </w:tc>
      </w:tr>
      <w:tr>
        <w:tblPrEx>
          <w:tblCellMar>
            <w:top w:w="0" w:type="dxa"/>
            <w:left w:w="0" w:type="dxa"/>
            <w:bottom w:w="0" w:type="dxa"/>
            <w:right w:w="0" w:type="dxa"/>
          </w:tblCellMar>
        </w:tblPrEx>
        <w:trPr>
          <w:trHeight w:val="295"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栏次</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rPr>
                <w:rFonts w:ascii="宋体" w:hAnsi="宋体" w:cs="宋体"/>
                <w:color w:val="000000"/>
                <w:sz w:val="20"/>
                <w:szCs w:val="20"/>
              </w:rPr>
            </w:pP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w:t>
            </w: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栏次</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rPr>
                <w:rFonts w:ascii="宋体" w:hAnsi="宋体" w:cs="宋体"/>
                <w:color w:val="000000"/>
                <w:sz w:val="20"/>
                <w:szCs w:val="20"/>
              </w:rPr>
            </w:pP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w:t>
            </w:r>
          </w:p>
        </w:tc>
      </w:tr>
      <w:tr>
        <w:tblPrEx>
          <w:tblCellMar>
            <w:top w:w="0" w:type="dxa"/>
            <w:left w:w="0" w:type="dxa"/>
            <w:bottom w:w="0" w:type="dxa"/>
            <w:right w:w="0" w:type="dxa"/>
          </w:tblCellMar>
        </w:tblPrEx>
        <w:trPr>
          <w:trHeight w:val="365"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一、财政拨款收入</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r>
              <w:rPr>
                <w:rFonts w:hint="eastAsia" w:ascii="宋体" w:hAnsi="宋体" w:cs="宋体"/>
                <w:color w:val="000000"/>
                <w:sz w:val="20"/>
                <w:szCs w:val="20"/>
              </w:rPr>
              <w:t>170.85</w:t>
            </w: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一、一般公共服务支出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28</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r>
              <w:rPr>
                <w:rFonts w:hint="eastAsia" w:ascii="宋体" w:hAnsi="宋体" w:cs="宋体"/>
                <w:color w:val="000000"/>
                <w:sz w:val="20"/>
                <w:szCs w:val="20"/>
              </w:rPr>
              <w:t>145.65</w:t>
            </w: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二、上级补助收入</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二、外交支出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29</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三、事业收入</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三、国防支出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30</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四、经营收入</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四、公共安全支出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31</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五、附属单位上缴收入</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5</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五、教育支出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32</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六、其他收入</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6</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r>
              <w:rPr>
                <w:rFonts w:hint="eastAsia" w:ascii="宋体" w:hAnsi="宋体" w:cs="宋体"/>
                <w:color w:val="000000"/>
                <w:sz w:val="20"/>
                <w:szCs w:val="20"/>
              </w:rPr>
              <w:t>1.6</w:t>
            </w: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六、科学技术支出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33</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ind w:right="100"/>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7</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七、文化体育与传媒支出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34</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8</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八、社会保障和就业支出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35</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r>
              <w:rPr>
                <w:rFonts w:hint="eastAsia" w:ascii="宋体" w:hAnsi="宋体" w:cs="宋体"/>
                <w:color w:val="000000"/>
                <w:sz w:val="20"/>
                <w:szCs w:val="20"/>
              </w:rPr>
              <w:t>9.67</w:t>
            </w: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9</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九、医疗卫生与计划生育支出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36</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r>
              <w:rPr>
                <w:rFonts w:hint="eastAsia" w:ascii="宋体" w:hAnsi="宋体" w:cs="宋体"/>
                <w:color w:val="000000"/>
                <w:sz w:val="20"/>
                <w:szCs w:val="20"/>
              </w:rPr>
              <w:t>7.20</w:t>
            </w: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10</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十、节能环保支出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37</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11</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十一、城乡社区支出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38</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12</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十二、农林水支出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39</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13</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十三、交通运输支出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40</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14</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十四、资源勘探信息等支出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41</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15</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十五、商业服务业等支出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42</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16</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十六、金融支出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43</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17</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十七、援助其他地区支出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44</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18</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十八、国土海洋气象等支出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45</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19</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十九、住房保障支出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46</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r>
              <w:rPr>
                <w:rFonts w:hint="eastAsia" w:ascii="宋体" w:hAnsi="宋体" w:cs="宋体"/>
                <w:color w:val="000000"/>
                <w:sz w:val="20"/>
                <w:szCs w:val="20"/>
              </w:rPr>
              <w:t>5.8</w:t>
            </w: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20</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二十、粮油物资储备支出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47</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21</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二十一、其他支出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48</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22</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二十二、债务还本支出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49</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23</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二十三、债务付息支出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50</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本年收入合计</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24</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18"/>
                <w:szCs w:val="18"/>
              </w:rPr>
            </w:pPr>
            <w:r>
              <w:rPr>
                <w:rFonts w:hint="eastAsia" w:ascii="宋体" w:hAnsi="宋体" w:cs="宋体"/>
                <w:color w:val="000000"/>
                <w:sz w:val="18"/>
                <w:szCs w:val="18"/>
              </w:rPr>
              <w:t>172.45</w:t>
            </w: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本年支出合计</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51</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r>
              <w:rPr>
                <w:rFonts w:hint="eastAsia" w:ascii="宋体" w:hAnsi="宋体" w:cs="宋体"/>
                <w:color w:val="000000"/>
                <w:sz w:val="20"/>
                <w:szCs w:val="20"/>
              </w:rPr>
              <w:t>168.32</w:t>
            </w:r>
          </w:p>
        </w:tc>
      </w:tr>
      <w:tr>
        <w:tblPrEx>
          <w:tblCellMar>
            <w:top w:w="0" w:type="dxa"/>
            <w:left w:w="0" w:type="dxa"/>
            <w:bottom w:w="0" w:type="dxa"/>
            <w:right w:w="0" w:type="dxa"/>
          </w:tblCellMar>
        </w:tblPrEx>
        <w:trPr>
          <w:trHeight w:val="385"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用事业基金弥补收支差额</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25</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18"/>
                <w:szCs w:val="18"/>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结余分配</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52</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年初结转和结余</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26</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18"/>
                <w:szCs w:val="18"/>
              </w:rPr>
            </w:pPr>
            <w:r>
              <w:rPr>
                <w:rFonts w:hint="eastAsia" w:ascii="宋体" w:hAnsi="宋体" w:cs="宋体"/>
                <w:color w:val="000000"/>
                <w:sz w:val="18"/>
                <w:szCs w:val="18"/>
              </w:rPr>
              <w:t>7.31</w:t>
            </w: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年末结转和结余</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53</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r>
              <w:rPr>
                <w:rFonts w:hint="eastAsia" w:ascii="宋体" w:hAnsi="宋体" w:cs="宋体"/>
                <w:color w:val="000000"/>
                <w:sz w:val="20"/>
                <w:szCs w:val="20"/>
              </w:rPr>
              <w:t>11.44</w:t>
            </w: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b/>
                <w:color w:val="000000"/>
                <w:sz w:val="20"/>
                <w:szCs w:val="20"/>
              </w:rPr>
            </w:pPr>
            <w:r>
              <w:rPr>
                <w:rFonts w:hint="eastAsia" w:ascii="宋体" w:hAnsi="宋体" w:cs="宋体"/>
                <w:b/>
                <w:color w:val="000000"/>
                <w:kern w:val="0"/>
                <w:sz w:val="20"/>
                <w:szCs w:val="20"/>
              </w:rPr>
              <w:t>总计</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27</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18"/>
                <w:szCs w:val="18"/>
              </w:rPr>
            </w:pPr>
            <w:r>
              <w:rPr>
                <w:rFonts w:hint="eastAsia" w:ascii="宋体" w:hAnsi="宋体" w:cs="宋体"/>
                <w:color w:val="000000"/>
                <w:sz w:val="18"/>
                <w:szCs w:val="18"/>
              </w:rPr>
              <w:t>179.76</w:t>
            </w: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b/>
                <w:color w:val="000000"/>
                <w:sz w:val="20"/>
                <w:szCs w:val="20"/>
              </w:rPr>
            </w:pPr>
            <w:r>
              <w:rPr>
                <w:rFonts w:hint="eastAsia" w:ascii="宋体" w:hAnsi="宋体" w:cs="宋体"/>
                <w:b/>
                <w:color w:val="000000"/>
                <w:kern w:val="0"/>
                <w:sz w:val="20"/>
                <w:szCs w:val="20"/>
              </w:rPr>
              <w:t>总计</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54</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r>
              <w:rPr>
                <w:rFonts w:hint="eastAsia" w:ascii="宋体" w:hAnsi="宋体" w:cs="宋体"/>
                <w:color w:val="000000"/>
                <w:sz w:val="20"/>
                <w:szCs w:val="20"/>
              </w:rPr>
              <w:t>179.77</w:t>
            </w:r>
          </w:p>
        </w:tc>
      </w:tr>
      <w:tr>
        <w:tblPrEx>
          <w:tblCellMar>
            <w:top w:w="0" w:type="dxa"/>
            <w:left w:w="0" w:type="dxa"/>
            <w:bottom w:w="0" w:type="dxa"/>
            <w:right w:w="0" w:type="dxa"/>
          </w:tblCellMar>
        </w:tblPrEx>
        <w:trPr>
          <w:trHeight w:val="417" w:hRule="atLeast"/>
          <w:jc w:val="center"/>
        </w:trPr>
        <w:tc>
          <w:tcPr>
            <w:tcW w:w="9300" w:type="dxa"/>
            <w:gridSpan w:val="6"/>
            <w:tcBorders>
              <w:top w:val="nil"/>
              <w:left w:val="nil"/>
              <w:bottom w:val="nil"/>
              <w:right w:val="nil"/>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Cs w:val="21"/>
              </w:rPr>
            </w:pPr>
            <w:r>
              <w:rPr>
                <w:rFonts w:hint="eastAsia" w:ascii="宋体" w:hAnsi="宋体" w:cs="宋体"/>
                <w:color w:val="000000"/>
                <w:kern w:val="0"/>
                <w:szCs w:val="21"/>
              </w:rPr>
              <w:t>注：本表反映部门本年度的总收支和年末结转结余情况。</w:t>
            </w:r>
          </w:p>
        </w:tc>
      </w:tr>
    </w:tbl>
    <w:p>
      <w:pPr>
        <w:widowControl/>
        <w:spacing w:after="0" w:line="560" w:lineRule="exact"/>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2"/>
        <w:tblW w:w="8800" w:type="dxa"/>
        <w:jc w:val="center"/>
        <w:tblLayout w:type="fixed"/>
        <w:tblCellMar>
          <w:top w:w="0" w:type="dxa"/>
          <w:left w:w="0" w:type="dxa"/>
          <w:bottom w:w="0" w:type="dxa"/>
          <w:right w:w="0" w:type="dxa"/>
        </w:tblCellMar>
      </w:tblPr>
      <w:tblGrid>
        <w:gridCol w:w="335"/>
        <w:gridCol w:w="179"/>
        <w:gridCol w:w="504"/>
        <w:gridCol w:w="16"/>
        <w:gridCol w:w="1318"/>
        <w:gridCol w:w="533"/>
        <w:gridCol w:w="260"/>
        <w:gridCol w:w="127"/>
        <w:gridCol w:w="688"/>
        <w:gridCol w:w="232"/>
        <w:gridCol w:w="584"/>
        <w:gridCol w:w="337"/>
        <w:gridCol w:w="478"/>
        <w:gridCol w:w="442"/>
        <w:gridCol w:w="373"/>
        <w:gridCol w:w="548"/>
        <w:gridCol w:w="920"/>
        <w:gridCol w:w="926"/>
      </w:tblGrid>
      <w:tr>
        <w:tblPrEx>
          <w:tblCellMar>
            <w:top w:w="0" w:type="dxa"/>
            <w:left w:w="0" w:type="dxa"/>
            <w:bottom w:w="0" w:type="dxa"/>
            <w:right w:w="0" w:type="dxa"/>
          </w:tblCellMar>
        </w:tblPrEx>
        <w:trPr>
          <w:trHeight w:val="770" w:hRule="atLeast"/>
          <w:jc w:val="center"/>
        </w:trPr>
        <w:tc>
          <w:tcPr>
            <w:tcW w:w="8800" w:type="dxa"/>
            <w:gridSpan w:val="18"/>
            <w:tcBorders>
              <w:top w:val="nil"/>
              <w:left w:val="nil"/>
              <w:bottom w:val="nil"/>
              <w:right w:val="nil"/>
            </w:tcBorders>
            <w:shd w:val="clear" w:color="auto" w:fill="auto"/>
            <w:tcMar>
              <w:top w:w="15" w:type="dxa"/>
              <w:left w:w="15" w:type="dxa"/>
              <w:right w:w="15" w:type="dxa"/>
            </w:tcMar>
            <w:vAlign w:val="bottom"/>
          </w:tcPr>
          <w:p>
            <w:pPr>
              <w:widowControl/>
              <w:jc w:val="center"/>
              <w:textAlignment w:val="bottom"/>
              <w:rPr>
                <w:rFonts w:ascii="黑体" w:hAnsi="宋体" w:eastAsia="黑体" w:cs="黑体"/>
                <w:color w:val="000000"/>
                <w:sz w:val="40"/>
                <w:szCs w:val="40"/>
              </w:rPr>
            </w:pPr>
            <w:r>
              <w:rPr>
                <w:rFonts w:hint="eastAsia" w:ascii="黑体" w:hAnsi="宋体" w:eastAsia="黑体" w:cs="黑体"/>
                <w:color w:val="000000"/>
                <w:kern w:val="0"/>
                <w:sz w:val="40"/>
                <w:szCs w:val="40"/>
              </w:rPr>
              <w:t>收入决</w:t>
            </w:r>
            <w:r>
              <w:rPr>
                <w:sz w:val="44"/>
              </w:rPr>
              <w:pict>
                <v:group id="_x0000_s1081" o:spid="_x0000_s1081" o:spt="203" style="position:absolute;left:0pt;margin-left:-82.75pt;margin-top:-81.1pt;height:41.2pt;width:243.2pt;mso-position-vertical-relative:page;z-index:251657216;mso-width-relative:page;mso-height-relative:page;" coordorigin="4551,52615" coordsize="8546,1398203" o:gfxdata="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">
                  <o:lock v:ext="edit"/>
                  <v:rect id="矩形 13" o:spid="_x0000_s1083" o:spt="1" style="position:absolute;left:4551;top:52615;height:1175;width:8546;v-text-anchor:middle;" fillcolor="#D9D9D9" filled="t" stroked="f" coordsize="21600,21600" o:gfxdata="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to5L074A&#10;AADbAAAADwAAAAAAAAABACAAAAAiAAAAZHJzL2Rvd25yZXYueG1sUEsBAhQAFAAAAAgAh07iQDMv&#10;BZ47AAAAOQAAABAAAAAAAAAAAQAgAAAADQEAAGRycy9zaGFwZXhtbC54bWxQSwUGAAAAAAYABgBb&#10;AQAAtwMAAAAA&#10;">
                    <v:path/>
                    <v:fill on="t" focussize="0,0"/>
                    <v:stroke on="f" weight="2pt"/>
                    <v:imagedata o:title=""/>
                    <o:lock v:ext="edit"/>
                  </v:rect>
                  <v:rect id="矩形 14" o:spid="_x0000_s1082" o:spt="1" style="position:absolute;left:4577;top:52890;height:1123;width:8324;v-text-anchor:middle;" fillcolor="#AD002D" filled="t" stroked="t" coordsize="21600,21600" o:gfxdata="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z/WRkrsAAADb&#10;AAAADwAAAAAAAAABACAAAAAiAAAAZHJzL2Rvd25yZXYueG1sUEsBAhQAFAAAAAgAh07iQDMvBZ47&#10;AAAAOQAAABAAAAAAAAAAAQAgAAAACgEAAGRycy9zaGFwZXhtbC54bWxQSwUGAAAAAAYABgBbAQAA&#10;tAMAAAAA&#10;">
                    <v:path/>
                    <v:fill on="t" focussize="0,0"/>
                    <v:stroke weight="2pt" color="#B0761F" joinstyle="round"/>
                    <v:imagedata o:title=""/>
                    <o:lock v:ext="edit"/>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2018年度部门决算☞决算报表</w:t>
                          </w:r>
                        </w:p>
                        <w:p>
                          <w:pPr>
                            <w:jc w:val="center"/>
                          </w:pPr>
                        </w:p>
                      </w:txbxContent>
                    </v:textbox>
                  </v:rect>
                  <w10:anchorlock/>
                </v:group>
              </w:pict>
            </w:r>
            <w:r>
              <w:rPr>
                <w:rFonts w:hint="eastAsia" w:ascii="黑体" w:hAnsi="宋体" w:eastAsia="黑体" w:cs="黑体"/>
                <w:color w:val="000000"/>
                <w:kern w:val="0"/>
                <w:sz w:val="40"/>
                <w:szCs w:val="40"/>
              </w:rPr>
              <w:t>算表</w:t>
            </w:r>
          </w:p>
        </w:tc>
      </w:tr>
      <w:tr>
        <w:tblPrEx>
          <w:tblCellMar>
            <w:top w:w="0" w:type="dxa"/>
            <w:left w:w="0" w:type="dxa"/>
            <w:bottom w:w="0" w:type="dxa"/>
            <w:right w:w="0" w:type="dxa"/>
          </w:tblCellMar>
        </w:tblPrEx>
        <w:trPr>
          <w:trHeight w:val="362" w:hRule="atLeast"/>
          <w:jc w:val="center"/>
        </w:trPr>
        <w:tc>
          <w:tcPr>
            <w:tcW w:w="335"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179"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520"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1318"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533"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26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815"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816"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815"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815"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2394" w:type="dxa"/>
            <w:gridSpan w:val="3"/>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right"/>
              <w:textAlignment w:val="center"/>
              <w:rPr>
                <w:rFonts w:ascii="宋体" w:hAnsi="宋体" w:cs="宋体"/>
                <w:color w:val="000000"/>
                <w:szCs w:val="21"/>
              </w:rPr>
            </w:pPr>
            <w:r>
              <w:rPr>
                <w:rFonts w:hint="eastAsia" w:ascii="宋体" w:hAnsi="宋体" w:cs="宋体"/>
                <w:color w:val="000000"/>
                <w:kern w:val="0"/>
                <w:szCs w:val="21"/>
              </w:rPr>
              <w:t>公开02表</w:t>
            </w:r>
          </w:p>
        </w:tc>
      </w:tr>
      <w:tr>
        <w:tblPrEx>
          <w:tblCellMar>
            <w:top w:w="0" w:type="dxa"/>
            <w:left w:w="0" w:type="dxa"/>
            <w:bottom w:w="0" w:type="dxa"/>
            <w:right w:w="0" w:type="dxa"/>
          </w:tblCellMar>
        </w:tblPrEx>
        <w:trPr>
          <w:trHeight w:val="362" w:hRule="atLeast"/>
          <w:jc w:val="center"/>
        </w:trPr>
        <w:tc>
          <w:tcPr>
            <w:tcW w:w="2885" w:type="dxa"/>
            <w:gridSpan w:val="6"/>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Cs w:val="21"/>
              </w:rPr>
            </w:pPr>
            <w:r>
              <w:rPr>
                <w:rFonts w:hint="eastAsia" w:ascii="宋体" w:hAnsi="宋体" w:cs="宋体"/>
                <w:color w:val="000000"/>
                <w:kern w:val="0"/>
                <w:szCs w:val="21"/>
              </w:rPr>
              <w:t>部门：</w:t>
            </w:r>
          </w:p>
        </w:tc>
        <w:tc>
          <w:tcPr>
            <w:tcW w:w="26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815"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816"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815"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815"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2394" w:type="dxa"/>
            <w:gridSpan w:val="3"/>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right"/>
              <w:textAlignment w:val="center"/>
              <w:rPr>
                <w:rFonts w:ascii="宋体" w:hAnsi="宋体" w:cs="宋体"/>
                <w:color w:val="000000"/>
                <w:szCs w:val="21"/>
              </w:rPr>
            </w:pPr>
            <w:r>
              <w:rPr>
                <w:rFonts w:hint="eastAsia" w:ascii="宋体" w:hAnsi="宋体" w:cs="宋体"/>
                <w:color w:val="000000"/>
                <w:kern w:val="0"/>
                <w:szCs w:val="21"/>
              </w:rPr>
              <w:t>金额单位：万元</w:t>
            </w:r>
          </w:p>
        </w:tc>
      </w:tr>
      <w:tr>
        <w:tblPrEx>
          <w:tblCellMar>
            <w:top w:w="0" w:type="dxa"/>
            <w:left w:w="0" w:type="dxa"/>
            <w:bottom w:w="0" w:type="dxa"/>
            <w:right w:w="0" w:type="dxa"/>
          </w:tblCellMar>
        </w:tblPrEx>
        <w:trPr>
          <w:trHeight w:val="325" w:hRule="atLeast"/>
          <w:jc w:val="center"/>
        </w:trPr>
        <w:tc>
          <w:tcPr>
            <w:tcW w:w="2352" w:type="dxa"/>
            <w:gridSpan w:val="5"/>
            <w:tcBorders>
              <w:top w:val="single" w:color="000000" w:sz="4" w:space="0"/>
              <w:left w:val="single" w:color="000000" w:sz="4" w:space="0"/>
              <w:bottom w:val="single" w:color="000000" w:sz="4" w:space="0"/>
              <w:right w:val="single" w:color="auto"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20"/>
                <w:szCs w:val="20"/>
              </w:rPr>
            </w:pPr>
            <w:r>
              <w:rPr>
                <w:rFonts w:hint="eastAsia" w:ascii="宋体" w:hAnsi="宋体" w:cs="宋体"/>
                <w:color w:val="000000"/>
                <w:kern w:val="0"/>
                <w:sz w:val="20"/>
                <w:szCs w:val="20"/>
              </w:rPr>
              <w:t>项目</w:t>
            </w:r>
          </w:p>
        </w:tc>
        <w:tc>
          <w:tcPr>
            <w:tcW w:w="920" w:type="dxa"/>
            <w:gridSpan w:val="3"/>
            <w:vMerge w:val="restart"/>
            <w:tcBorders>
              <w:top w:val="single" w:color="auto" w:sz="4" w:space="0"/>
              <w:left w:val="single" w:color="auto" w:sz="4" w:space="0"/>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20"/>
                <w:szCs w:val="20"/>
              </w:rPr>
            </w:pPr>
            <w:r>
              <w:rPr>
                <w:rFonts w:hint="eastAsia" w:ascii="宋体" w:hAnsi="宋体" w:cs="宋体"/>
                <w:color w:val="000000"/>
                <w:kern w:val="0"/>
                <w:sz w:val="20"/>
                <w:szCs w:val="20"/>
              </w:rPr>
              <w:t>本年收入合计</w:t>
            </w:r>
          </w:p>
        </w:tc>
        <w:tc>
          <w:tcPr>
            <w:tcW w:w="920" w:type="dxa"/>
            <w:gridSpan w:val="2"/>
            <w:vMerge w:val="restart"/>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r>
              <w:rPr>
                <w:rFonts w:hint="eastAsia" w:ascii="宋体" w:hAnsi="宋体" w:cs="宋体"/>
                <w:color w:val="000000"/>
                <w:kern w:val="0"/>
                <w:sz w:val="20"/>
                <w:szCs w:val="20"/>
              </w:rPr>
              <w:t>财政拨款收入</w:t>
            </w:r>
          </w:p>
        </w:tc>
        <w:tc>
          <w:tcPr>
            <w:tcW w:w="921" w:type="dxa"/>
            <w:gridSpan w:val="2"/>
            <w:vMerge w:val="restart"/>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r>
              <w:rPr>
                <w:rFonts w:hint="eastAsia" w:ascii="宋体" w:hAnsi="宋体" w:cs="宋体"/>
                <w:color w:val="000000"/>
                <w:kern w:val="0"/>
                <w:sz w:val="20"/>
                <w:szCs w:val="20"/>
              </w:rPr>
              <w:t>上级补助收入</w:t>
            </w:r>
          </w:p>
        </w:tc>
        <w:tc>
          <w:tcPr>
            <w:tcW w:w="920" w:type="dxa"/>
            <w:gridSpan w:val="2"/>
            <w:vMerge w:val="restart"/>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r>
              <w:rPr>
                <w:rFonts w:hint="eastAsia" w:ascii="宋体" w:hAnsi="宋体" w:cs="宋体"/>
                <w:color w:val="000000"/>
                <w:kern w:val="0"/>
                <w:sz w:val="20"/>
                <w:szCs w:val="20"/>
              </w:rPr>
              <w:t>事业收入</w:t>
            </w:r>
          </w:p>
        </w:tc>
        <w:tc>
          <w:tcPr>
            <w:tcW w:w="921" w:type="dxa"/>
            <w:gridSpan w:val="2"/>
            <w:vMerge w:val="restart"/>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r>
              <w:rPr>
                <w:rFonts w:hint="eastAsia" w:ascii="宋体" w:hAnsi="宋体" w:cs="宋体"/>
                <w:color w:val="000000"/>
                <w:kern w:val="0"/>
                <w:sz w:val="20"/>
                <w:szCs w:val="20"/>
              </w:rPr>
              <w:t>经营收入</w:t>
            </w:r>
          </w:p>
        </w:tc>
        <w:tc>
          <w:tcPr>
            <w:tcW w:w="920" w:type="dxa"/>
            <w:vMerge w:val="restart"/>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r>
              <w:rPr>
                <w:rFonts w:hint="eastAsia" w:ascii="宋体" w:hAnsi="宋体" w:cs="宋体"/>
                <w:color w:val="000000"/>
                <w:kern w:val="0"/>
                <w:sz w:val="20"/>
                <w:szCs w:val="20"/>
              </w:rPr>
              <w:t>附属单位上缴收入</w:t>
            </w:r>
          </w:p>
        </w:tc>
        <w:tc>
          <w:tcPr>
            <w:tcW w:w="926" w:type="dxa"/>
            <w:vMerge w:val="restart"/>
            <w:tcBorders>
              <w:top w:val="single" w:color="auto" w:sz="4" w:space="0"/>
              <w:left w:val="nil"/>
              <w:bottom w:val="single" w:color="auto" w:sz="4" w:space="0"/>
              <w:right w:val="single" w:color="auto"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r>
              <w:rPr>
                <w:rFonts w:hint="eastAsia" w:ascii="宋体" w:hAnsi="宋体" w:cs="宋体"/>
                <w:color w:val="000000"/>
                <w:kern w:val="0"/>
                <w:sz w:val="20"/>
                <w:szCs w:val="20"/>
              </w:rPr>
              <w:t>其他收入</w:t>
            </w:r>
          </w:p>
        </w:tc>
      </w:tr>
      <w:tr>
        <w:tblPrEx>
          <w:tblCellMar>
            <w:top w:w="0" w:type="dxa"/>
            <w:left w:w="0" w:type="dxa"/>
            <w:bottom w:w="0" w:type="dxa"/>
            <w:right w:w="0" w:type="dxa"/>
          </w:tblCellMar>
        </w:tblPrEx>
        <w:trPr>
          <w:trHeight w:val="626" w:hRule="atLeast"/>
          <w:jc w:val="center"/>
        </w:trPr>
        <w:tc>
          <w:tcPr>
            <w:tcW w:w="1034"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20"/>
                <w:szCs w:val="20"/>
              </w:rPr>
            </w:pPr>
            <w:r>
              <w:rPr>
                <w:rFonts w:hint="eastAsia" w:ascii="宋体" w:hAnsi="宋体" w:cs="宋体"/>
                <w:color w:val="000000"/>
                <w:kern w:val="0"/>
                <w:sz w:val="20"/>
                <w:szCs w:val="20"/>
              </w:rPr>
              <w:t>功能分类科目编码</w:t>
            </w:r>
          </w:p>
        </w:tc>
        <w:tc>
          <w:tcPr>
            <w:tcW w:w="1318" w:type="dxa"/>
            <w:tcBorders>
              <w:top w:val="nil"/>
              <w:left w:val="nil"/>
              <w:bottom w:val="single" w:color="000000" w:sz="4" w:space="0"/>
              <w:right w:val="single" w:color="auto"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20"/>
                <w:szCs w:val="20"/>
              </w:rPr>
            </w:pPr>
            <w:r>
              <w:rPr>
                <w:rFonts w:hint="eastAsia" w:ascii="宋体" w:hAnsi="宋体" w:cs="宋体"/>
                <w:color w:val="000000"/>
                <w:kern w:val="0"/>
                <w:sz w:val="20"/>
                <w:szCs w:val="20"/>
              </w:rPr>
              <w:t>科目名称</w:t>
            </w:r>
          </w:p>
        </w:tc>
        <w:tc>
          <w:tcPr>
            <w:tcW w:w="920" w:type="dxa"/>
            <w:gridSpan w:val="3"/>
            <w:vMerge w:val="continue"/>
            <w:tcBorders>
              <w:top w:val="single" w:color="auto" w:sz="4" w:space="0"/>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 w:val="20"/>
                <w:szCs w:val="20"/>
              </w:rPr>
            </w:pPr>
          </w:p>
        </w:tc>
        <w:tc>
          <w:tcPr>
            <w:tcW w:w="920" w:type="dxa"/>
            <w:gridSpan w:val="2"/>
            <w:vMerge w:val="continue"/>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p>
        </w:tc>
        <w:tc>
          <w:tcPr>
            <w:tcW w:w="921" w:type="dxa"/>
            <w:gridSpan w:val="2"/>
            <w:vMerge w:val="continue"/>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p>
        </w:tc>
        <w:tc>
          <w:tcPr>
            <w:tcW w:w="920" w:type="dxa"/>
            <w:gridSpan w:val="2"/>
            <w:vMerge w:val="continue"/>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p>
        </w:tc>
        <w:tc>
          <w:tcPr>
            <w:tcW w:w="921" w:type="dxa"/>
            <w:gridSpan w:val="2"/>
            <w:vMerge w:val="continue"/>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p>
        </w:tc>
        <w:tc>
          <w:tcPr>
            <w:tcW w:w="920" w:type="dxa"/>
            <w:vMerge w:val="continue"/>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p>
        </w:tc>
        <w:tc>
          <w:tcPr>
            <w:tcW w:w="926" w:type="dxa"/>
            <w:vMerge w:val="continue"/>
            <w:tcBorders>
              <w:top w:val="single" w:color="auto" w:sz="4" w:space="0"/>
              <w:left w:val="nil"/>
              <w:bottom w:val="single" w:color="000000" w:sz="4" w:space="0"/>
              <w:right w:val="single" w:color="auto"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p>
        </w:tc>
      </w:tr>
      <w:tr>
        <w:tblPrEx>
          <w:tblCellMar>
            <w:top w:w="0" w:type="dxa"/>
            <w:left w:w="0" w:type="dxa"/>
            <w:bottom w:w="0" w:type="dxa"/>
            <w:right w:w="0" w:type="dxa"/>
          </w:tblCellMar>
        </w:tblPrEx>
        <w:trPr>
          <w:trHeight w:val="391" w:hRule="atLeast"/>
          <w:jc w:val="center"/>
        </w:trPr>
        <w:tc>
          <w:tcPr>
            <w:tcW w:w="2352" w:type="dxa"/>
            <w:gridSpan w:val="5"/>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栏次</w:t>
            </w:r>
          </w:p>
        </w:tc>
        <w:tc>
          <w:tcPr>
            <w:tcW w:w="920"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w:t>
            </w:r>
          </w:p>
        </w:tc>
        <w:tc>
          <w:tcPr>
            <w:tcW w:w="92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w:t>
            </w:r>
          </w:p>
        </w:tc>
        <w:tc>
          <w:tcPr>
            <w:tcW w:w="921"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w:t>
            </w:r>
          </w:p>
        </w:tc>
        <w:tc>
          <w:tcPr>
            <w:tcW w:w="92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w:t>
            </w:r>
          </w:p>
        </w:tc>
        <w:tc>
          <w:tcPr>
            <w:tcW w:w="921"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w:t>
            </w:r>
          </w:p>
        </w:tc>
        <w:tc>
          <w:tcPr>
            <w:tcW w:w="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6</w:t>
            </w:r>
          </w:p>
        </w:tc>
        <w:tc>
          <w:tcPr>
            <w:tcW w:w="92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7</w:t>
            </w:r>
          </w:p>
        </w:tc>
      </w:tr>
      <w:tr>
        <w:tblPrEx>
          <w:tblCellMar>
            <w:top w:w="0" w:type="dxa"/>
            <w:left w:w="0" w:type="dxa"/>
            <w:bottom w:w="0" w:type="dxa"/>
            <w:right w:w="0" w:type="dxa"/>
          </w:tblCellMar>
        </w:tblPrEx>
        <w:trPr>
          <w:trHeight w:val="90" w:hRule="atLeast"/>
          <w:jc w:val="center"/>
        </w:trPr>
        <w:tc>
          <w:tcPr>
            <w:tcW w:w="2352" w:type="dxa"/>
            <w:gridSpan w:val="5"/>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合计</w:t>
            </w:r>
          </w:p>
        </w:tc>
        <w:tc>
          <w:tcPr>
            <w:tcW w:w="920" w:type="dxa"/>
            <w:gridSpan w:val="3"/>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b/>
                <w:color w:val="000000"/>
                <w:sz w:val="18"/>
                <w:szCs w:val="18"/>
              </w:rPr>
            </w:pPr>
            <w:r>
              <w:rPr>
                <w:rFonts w:hint="eastAsia" w:ascii="宋体" w:hAnsi="宋体" w:cs="宋体"/>
                <w:b/>
                <w:color w:val="000000"/>
                <w:sz w:val="18"/>
                <w:szCs w:val="18"/>
              </w:rPr>
              <w:t>172.45</w:t>
            </w:r>
          </w:p>
        </w:tc>
        <w:tc>
          <w:tcPr>
            <w:tcW w:w="920" w:type="dxa"/>
            <w:gridSpan w:val="2"/>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b/>
                <w:color w:val="000000"/>
                <w:sz w:val="18"/>
                <w:szCs w:val="18"/>
              </w:rPr>
            </w:pPr>
            <w:r>
              <w:rPr>
                <w:rFonts w:hint="eastAsia" w:ascii="宋体" w:hAnsi="宋体" w:cs="宋体"/>
                <w:b/>
                <w:color w:val="000000"/>
                <w:sz w:val="18"/>
                <w:szCs w:val="18"/>
              </w:rPr>
              <w:t>170.85</w:t>
            </w:r>
          </w:p>
        </w:tc>
        <w:tc>
          <w:tcPr>
            <w:tcW w:w="921" w:type="dxa"/>
            <w:gridSpan w:val="2"/>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b/>
                <w:color w:val="000000"/>
                <w:sz w:val="18"/>
                <w:szCs w:val="18"/>
              </w:rPr>
            </w:pPr>
          </w:p>
        </w:tc>
        <w:tc>
          <w:tcPr>
            <w:tcW w:w="920" w:type="dxa"/>
            <w:gridSpan w:val="2"/>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b/>
                <w:color w:val="000000"/>
                <w:sz w:val="18"/>
                <w:szCs w:val="18"/>
              </w:rPr>
            </w:pPr>
          </w:p>
        </w:tc>
        <w:tc>
          <w:tcPr>
            <w:tcW w:w="921" w:type="dxa"/>
            <w:gridSpan w:val="2"/>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b/>
                <w:color w:val="000000"/>
                <w:sz w:val="18"/>
                <w:szCs w:val="18"/>
              </w:rPr>
            </w:pPr>
          </w:p>
        </w:tc>
        <w:tc>
          <w:tcPr>
            <w:tcW w:w="920"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b/>
                <w:color w:val="000000"/>
                <w:sz w:val="18"/>
                <w:szCs w:val="18"/>
              </w:rPr>
            </w:pPr>
          </w:p>
        </w:tc>
        <w:tc>
          <w:tcPr>
            <w:tcW w:w="926"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b/>
                <w:color w:val="000000"/>
                <w:sz w:val="18"/>
                <w:szCs w:val="18"/>
              </w:rPr>
            </w:pPr>
            <w:r>
              <w:rPr>
                <w:rFonts w:hint="eastAsia" w:ascii="宋体" w:hAnsi="宋体" w:cs="宋体"/>
                <w:b/>
                <w:color w:val="000000"/>
                <w:sz w:val="18"/>
                <w:szCs w:val="18"/>
              </w:rPr>
              <w:t>1.6</w:t>
            </w:r>
          </w:p>
        </w:tc>
      </w:tr>
      <w:tr>
        <w:tblPrEx>
          <w:tblCellMar>
            <w:top w:w="0" w:type="dxa"/>
            <w:left w:w="0" w:type="dxa"/>
            <w:bottom w:w="0" w:type="dxa"/>
            <w:right w:w="0" w:type="dxa"/>
          </w:tblCellMar>
        </w:tblPrEx>
        <w:trPr>
          <w:trHeight w:val="371" w:hRule="atLeast"/>
          <w:jc w:val="center"/>
        </w:trPr>
        <w:tc>
          <w:tcPr>
            <w:tcW w:w="1018"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201</w:t>
            </w:r>
          </w:p>
        </w:tc>
        <w:tc>
          <w:tcPr>
            <w:tcW w:w="133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一般公共服务支出</w:t>
            </w:r>
          </w:p>
        </w:tc>
        <w:tc>
          <w:tcPr>
            <w:tcW w:w="920"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149.78</w:t>
            </w: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148.18</w:t>
            </w: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1.6</w:t>
            </w:r>
          </w:p>
        </w:tc>
      </w:tr>
      <w:tr>
        <w:tblPrEx>
          <w:tblCellMar>
            <w:top w:w="0" w:type="dxa"/>
            <w:left w:w="0" w:type="dxa"/>
            <w:bottom w:w="0" w:type="dxa"/>
            <w:right w:w="0" w:type="dxa"/>
          </w:tblCellMar>
        </w:tblPrEx>
        <w:trPr>
          <w:trHeight w:val="371" w:hRule="atLeast"/>
          <w:jc w:val="center"/>
        </w:trPr>
        <w:tc>
          <w:tcPr>
            <w:tcW w:w="1018"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20131</w:t>
            </w:r>
          </w:p>
        </w:tc>
        <w:tc>
          <w:tcPr>
            <w:tcW w:w="133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党委办公厅（室）及相关机构事务</w:t>
            </w:r>
          </w:p>
        </w:tc>
        <w:tc>
          <w:tcPr>
            <w:tcW w:w="920"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149.78</w:t>
            </w: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148.18</w:t>
            </w: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1.6</w:t>
            </w:r>
          </w:p>
        </w:tc>
      </w:tr>
      <w:tr>
        <w:tblPrEx>
          <w:tblCellMar>
            <w:top w:w="0" w:type="dxa"/>
            <w:left w:w="0" w:type="dxa"/>
            <w:bottom w:w="0" w:type="dxa"/>
            <w:right w:w="0" w:type="dxa"/>
          </w:tblCellMar>
        </w:tblPrEx>
        <w:trPr>
          <w:trHeight w:val="371" w:hRule="atLeast"/>
          <w:jc w:val="center"/>
        </w:trPr>
        <w:tc>
          <w:tcPr>
            <w:tcW w:w="1018"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2013101</w:t>
            </w:r>
          </w:p>
        </w:tc>
        <w:tc>
          <w:tcPr>
            <w:tcW w:w="133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 xml:space="preserve">  行政运行</w:t>
            </w:r>
          </w:p>
        </w:tc>
        <w:tc>
          <w:tcPr>
            <w:tcW w:w="920"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141.78</w:t>
            </w: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140.18</w:t>
            </w: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1.6</w:t>
            </w:r>
          </w:p>
        </w:tc>
      </w:tr>
      <w:tr>
        <w:tblPrEx>
          <w:tblCellMar>
            <w:top w:w="0" w:type="dxa"/>
            <w:left w:w="0" w:type="dxa"/>
            <w:bottom w:w="0" w:type="dxa"/>
            <w:right w:w="0" w:type="dxa"/>
          </w:tblCellMar>
        </w:tblPrEx>
        <w:trPr>
          <w:trHeight w:val="371" w:hRule="atLeast"/>
          <w:jc w:val="center"/>
        </w:trPr>
        <w:tc>
          <w:tcPr>
            <w:tcW w:w="1018"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2013102</w:t>
            </w:r>
          </w:p>
        </w:tc>
        <w:tc>
          <w:tcPr>
            <w:tcW w:w="133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一般行政管理事务</w:t>
            </w:r>
          </w:p>
        </w:tc>
        <w:tc>
          <w:tcPr>
            <w:tcW w:w="920"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8.00</w:t>
            </w: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8.00</w:t>
            </w: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71" w:hRule="atLeast"/>
          <w:jc w:val="center"/>
        </w:trPr>
        <w:tc>
          <w:tcPr>
            <w:tcW w:w="1018"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szCs w:val="21"/>
              </w:rPr>
              <w:t>208</w:t>
            </w:r>
          </w:p>
        </w:tc>
        <w:tc>
          <w:tcPr>
            <w:tcW w:w="133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szCs w:val="21"/>
              </w:rPr>
              <w:t>社会保障和就业支出</w:t>
            </w:r>
          </w:p>
        </w:tc>
        <w:tc>
          <w:tcPr>
            <w:tcW w:w="920"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9.67</w:t>
            </w: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9.67</w:t>
            </w: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71" w:hRule="atLeast"/>
          <w:jc w:val="center"/>
        </w:trPr>
        <w:tc>
          <w:tcPr>
            <w:tcW w:w="1018"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20805</w:t>
            </w:r>
          </w:p>
        </w:tc>
        <w:tc>
          <w:tcPr>
            <w:tcW w:w="133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行政事业单位离退休</w:t>
            </w:r>
          </w:p>
        </w:tc>
        <w:tc>
          <w:tcPr>
            <w:tcW w:w="920"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9.67</w:t>
            </w: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9.67</w:t>
            </w: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71" w:hRule="atLeast"/>
          <w:jc w:val="center"/>
        </w:trPr>
        <w:tc>
          <w:tcPr>
            <w:tcW w:w="1018"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2080505</w:t>
            </w:r>
          </w:p>
        </w:tc>
        <w:tc>
          <w:tcPr>
            <w:tcW w:w="133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机关事业单位基本养老保险缴费支出</w:t>
            </w:r>
          </w:p>
        </w:tc>
        <w:tc>
          <w:tcPr>
            <w:tcW w:w="920"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9.67</w:t>
            </w: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9.67</w:t>
            </w: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71" w:hRule="atLeast"/>
          <w:jc w:val="center"/>
        </w:trPr>
        <w:tc>
          <w:tcPr>
            <w:tcW w:w="1018"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szCs w:val="21"/>
              </w:rPr>
              <w:t>210</w:t>
            </w:r>
          </w:p>
        </w:tc>
        <w:tc>
          <w:tcPr>
            <w:tcW w:w="133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szCs w:val="21"/>
              </w:rPr>
              <w:t>医疗卫生与计划生育支出</w:t>
            </w:r>
          </w:p>
        </w:tc>
        <w:tc>
          <w:tcPr>
            <w:tcW w:w="920"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7.2</w:t>
            </w: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7.2</w:t>
            </w: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71" w:hRule="atLeast"/>
          <w:jc w:val="center"/>
        </w:trPr>
        <w:tc>
          <w:tcPr>
            <w:tcW w:w="1018"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szCs w:val="21"/>
              </w:rPr>
              <w:t>21011</w:t>
            </w:r>
          </w:p>
        </w:tc>
        <w:tc>
          <w:tcPr>
            <w:tcW w:w="133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szCs w:val="21"/>
              </w:rPr>
              <w:t>行政事业单位医疗</w:t>
            </w:r>
          </w:p>
        </w:tc>
        <w:tc>
          <w:tcPr>
            <w:tcW w:w="920"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7.2</w:t>
            </w: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7.2</w:t>
            </w: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71" w:hRule="atLeast"/>
          <w:jc w:val="center"/>
        </w:trPr>
        <w:tc>
          <w:tcPr>
            <w:tcW w:w="1018"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szCs w:val="21"/>
              </w:rPr>
              <w:t>2101101</w:t>
            </w:r>
          </w:p>
        </w:tc>
        <w:tc>
          <w:tcPr>
            <w:tcW w:w="133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szCs w:val="21"/>
              </w:rPr>
              <w:t>行政单位医疗</w:t>
            </w:r>
          </w:p>
        </w:tc>
        <w:tc>
          <w:tcPr>
            <w:tcW w:w="920"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7.2</w:t>
            </w: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7.2</w:t>
            </w: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71" w:hRule="atLeast"/>
          <w:jc w:val="center"/>
        </w:trPr>
        <w:tc>
          <w:tcPr>
            <w:tcW w:w="1018"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szCs w:val="21"/>
              </w:rPr>
              <w:t>221</w:t>
            </w:r>
          </w:p>
        </w:tc>
        <w:tc>
          <w:tcPr>
            <w:tcW w:w="133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szCs w:val="21"/>
              </w:rPr>
              <w:t>住房保障支出</w:t>
            </w:r>
          </w:p>
        </w:tc>
        <w:tc>
          <w:tcPr>
            <w:tcW w:w="920"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5.8</w:t>
            </w: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5.8</w:t>
            </w: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71" w:hRule="atLeast"/>
          <w:jc w:val="center"/>
        </w:trPr>
        <w:tc>
          <w:tcPr>
            <w:tcW w:w="1018"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22102</w:t>
            </w:r>
          </w:p>
        </w:tc>
        <w:tc>
          <w:tcPr>
            <w:tcW w:w="133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住房改革支出</w:t>
            </w:r>
          </w:p>
        </w:tc>
        <w:tc>
          <w:tcPr>
            <w:tcW w:w="920"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5.8</w:t>
            </w: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5.8</w:t>
            </w: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71" w:hRule="atLeast"/>
          <w:jc w:val="center"/>
        </w:trPr>
        <w:tc>
          <w:tcPr>
            <w:tcW w:w="1018"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2210201</w:t>
            </w:r>
          </w:p>
        </w:tc>
        <w:tc>
          <w:tcPr>
            <w:tcW w:w="133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住房公积金</w:t>
            </w:r>
          </w:p>
        </w:tc>
        <w:tc>
          <w:tcPr>
            <w:tcW w:w="920"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5.8</w:t>
            </w: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5.8</w:t>
            </w: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71" w:hRule="atLeast"/>
          <w:jc w:val="center"/>
        </w:trPr>
        <w:tc>
          <w:tcPr>
            <w:tcW w:w="1018"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Cs w:val="21"/>
              </w:rPr>
            </w:pPr>
          </w:p>
        </w:tc>
        <w:tc>
          <w:tcPr>
            <w:tcW w:w="133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Cs w:val="21"/>
              </w:rPr>
            </w:pPr>
          </w:p>
        </w:tc>
        <w:tc>
          <w:tcPr>
            <w:tcW w:w="6448" w:type="dxa"/>
            <w:gridSpan w:val="1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Cs w:val="21"/>
              </w:rPr>
            </w:pPr>
          </w:p>
        </w:tc>
      </w:tr>
      <w:tr>
        <w:tblPrEx>
          <w:tblCellMar>
            <w:top w:w="0" w:type="dxa"/>
            <w:left w:w="0" w:type="dxa"/>
            <w:bottom w:w="0" w:type="dxa"/>
            <w:right w:w="0" w:type="dxa"/>
          </w:tblCellMar>
        </w:tblPrEx>
        <w:trPr>
          <w:trHeight w:val="371" w:hRule="atLeast"/>
          <w:jc w:val="center"/>
        </w:trPr>
        <w:tc>
          <w:tcPr>
            <w:tcW w:w="1018"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Cs w:val="21"/>
              </w:rPr>
            </w:pPr>
          </w:p>
        </w:tc>
        <w:tc>
          <w:tcPr>
            <w:tcW w:w="133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Cs w:val="21"/>
              </w:rPr>
            </w:pPr>
          </w:p>
        </w:tc>
        <w:tc>
          <w:tcPr>
            <w:tcW w:w="6448" w:type="dxa"/>
            <w:gridSpan w:val="13"/>
            <w:tcBorders>
              <w:top w:val="nil"/>
              <w:left w:val="nil"/>
              <w:bottom w:val="single" w:color="000000" w:sz="4" w:space="0"/>
              <w:right w:val="single" w:color="000000" w:sz="4" w:space="0"/>
            </w:tcBorders>
            <w:shd w:val="clear" w:color="auto" w:fill="auto"/>
            <w:tcMar>
              <w:top w:w="15" w:type="dxa"/>
              <w:left w:w="15" w:type="dxa"/>
              <w:right w:w="15" w:type="dxa"/>
            </w:tcMar>
          </w:tcPr>
          <w:p>
            <w:pPr>
              <w:widowControl/>
              <w:spacing w:after="0" w:line="240" w:lineRule="atLeast"/>
              <w:jc w:val="left"/>
              <w:textAlignment w:val="center"/>
              <w:rPr>
                <w:rFonts w:ascii="宋体" w:hAnsi="宋体" w:cs="宋体"/>
                <w:color w:val="000000"/>
                <w:szCs w:val="21"/>
              </w:rPr>
            </w:pPr>
          </w:p>
        </w:tc>
      </w:tr>
      <w:tr>
        <w:tblPrEx>
          <w:tblCellMar>
            <w:top w:w="0" w:type="dxa"/>
            <w:left w:w="0" w:type="dxa"/>
            <w:bottom w:w="0" w:type="dxa"/>
            <w:right w:w="0" w:type="dxa"/>
          </w:tblCellMar>
        </w:tblPrEx>
        <w:trPr>
          <w:trHeight w:val="371" w:hRule="atLeast"/>
          <w:jc w:val="center"/>
        </w:trPr>
        <w:tc>
          <w:tcPr>
            <w:tcW w:w="1018"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Cs w:val="21"/>
              </w:rPr>
            </w:pPr>
          </w:p>
        </w:tc>
        <w:tc>
          <w:tcPr>
            <w:tcW w:w="133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Cs w:val="21"/>
              </w:rPr>
            </w:pPr>
          </w:p>
        </w:tc>
        <w:tc>
          <w:tcPr>
            <w:tcW w:w="6448" w:type="dxa"/>
            <w:gridSpan w:val="13"/>
            <w:tcBorders>
              <w:top w:val="nil"/>
              <w:left w:val="nil"/>
              <w:bottom w:val="single" w:color="000000" w:sz="4" w:space="0"/>
              <w:right w:val="single" w:color="000000" w:sz="4" w:space="0"/>
            </w:tcBorders>
            <w:shd w:val="clear" w:color="auto" w:fill="auto"/>
            <w:tcMar>
              <w:top w:w="15" w:type="dxa"/>
              <w:left w:w="15" w:type="dxa"/>
              <w:right w:w="15" w:type="dxa"/>
            </w:tcMar>
          </w:tcPr>
          <w:p>
            <w:pPr>
              <w:widowControl/>
              <w:spacing w:after="0" w:line="240" w:lineRule="atLeast"/>
              <w:jc w:val="left"/>
              <w:textAlignment w:val="center"/>
              <w:rPr>
                <w:rFonts w:ascii="宋体" w:hAnsi="宋体" w:cs="宋体"/>
                <w:color w:val="000000"/>
                <w:szCs w:val="21"/>
              </w:rPr>
            </w:pPr>
          </w:p>
        </w:tc>
      </w:tr>
      <w:tr>
        <w:tblPrEx>
          <w:tblCellMar>
            <w:top w:w="0" w:type="dxa"/>
            <w:left w:w="0" w:type="dxa"/>
            <w:bottom w:w="0" w:type="dxa"/>
            <w:right w:w="0" w:type="dxa"/>
          </w:tblCellMar>
        </w:tblPrEx>
        <w:trPr>
          <w:trHeight w:val="371" w:hRule="atLeast"/>
          <w:jc w:val="center"/>
        </w:trPr>
        <w:tc>
          <w:tcPr>
            <w:tcW w:w="1018"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Cs w:val="21"/>
              </w:rPr>
            </w:pPr>
          </w:p>
        </w:tc>
        <w:tc>
          <w:tcPr>
            <w:tcW w:w="133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Cs w:val="21"/>
              </w:rPr>
            </w:pPr>
          </w:p>
        </w:tc>
        <w:tc>
          <w:tcPr>
            <w:tcW w:w="6448" w:type="dxa"/>
            <w:gridSpan w:val="13"/>
            <w:tcBorders>
              <w:top w:val="nil"/>
              <w:left w:val="nil"/>
              <w:bottom w:val="single" w:color="000000" w:sz="4" w:space="0"/>
              <w:right w:val="single" w:color="000000" w:sz="4" w:space="0"/>
            </w:tcBorders>
            <w:shd w:val="clear" w:color="auto" w:fill="auto"/>
            <w:tcMar>
              <w:top w:w="15" w:type="dxa"/>
              <w:left w:w="15" w:type="dxa"/>
              <w:right w:w="15" w:type="dxa"/>
            </w:tcMar>
          </w:tcPr>
          <w:p>
            <w:pPr>
              <w:widowControl/>
              <w:spacing w:after="0" w:line="240" w:lineRule="atLeast"/>
              <w:jc w:val="left"/>
              <w:textAlignment w:val="center"/>
              <w:rPr>
                <w:rFonts w:ascii="宋体" w:hAnsi="宋体" w:cs="宋体"/>
                <w:color w:val="000000"/>
                <w:szCs w:val="21"/>
              </w:rPr>
            </w:pPr>
          </w:p>
        </w:tc>
      </w:tr>
      <w:tr>
        <w:tblPrEx>
          <w:tblCellMar>
            <w:top w:w="0" w:type="dxa"/>
            <w:left w:w="0" w:type="dxa"/>
            <w:bottom w:w="0" w:type="dxa"/>
            <w:right w:w="0" w:type="dxa"/>
          </w:tblCellMar>
        </w:tblPrEx>
        <w:trPr>
          <w:trHeight w:val="371" w:hRule="atLeast"/>
          <w:jc w:val="center"/>
        </w:trPr>
        <w:tc>
          <w:tcPr>
            <w:tcW w:w="1018"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Cs w:val="21"/>
              </w:rPr>
            </w:pPr>
          </w:p>
        </w:tc>
        <w:tc>
          <w:tcPr>
            <w:tcW w:w="133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Cs w:val="21"/>
              </w:rPr>
            </w:pPr>
          </w:p>
        </w:tc>
        <w:tc>
          <w:tcPr>
            <w:tcW w:w="6448" w:type="dxa"/>
            <w:gridSpan w:val="13"/>
            <w:tcBorders>
              <w:top w:val="nil"/>
              <w:left w:val="nil"/>
              <w:bottom w:val="single" w:color="000000" w:sz="4" w:space="0"/>
              <w:right w:val="single" w:color="000000" w:sz="4" w:space="0"/>
            </w:tcBorders>
            <w:shd w:val="clear" w:color="auto" w:fill="auto"/>
            <w:tcMar>
              <w:top w:w="15" w:type="dxa"/>
              <w:left w:w="15" w:type="dxa"/>
              <w:right w:w="15" w:type="dxa"/>
            </w:tcMar>
          </w:tcPr>
          <w:p>
            <w:pPr>
              <w:widowControl/>
              <w:spacing w:after="0" w:line="240" w:lineRule="atLeast"/>
              <w:jc w:val="left"/>
              <w:textAlignment w:val="center"/>
              <w:rPr>
                <w:rFonts w:ascii="宋体" w:hAnsi="宋体" w:cs="宋体"/>
                <w:color w:val="000000"/>
                <w:szCs w:val="21"/>
              </w:rPr>
            </w:pPr>
          </w:p>
        </w:tc>
      </w:tr>
      <w:tr>
        <w:tblPrEx>
          <w:tblCellMar>
            <w:top w:w="0" w:type="dxa"/>
            <w:left w:w="0" w:type="dxa"/>
            <w:bottom w:w="0" w:type="dxa"/>
            <w:right w:w="0" w:type="dxa"/>
          </w:tblCellMar>
        </w:tblPrEx>
        <w:trPr>
          <w:trHeight w:val="481" w:hRule="atLeast"/>
          <w:jc w:val="center"/>
        </w:trPr>
        <w:tc>
          <w:tcPr>
            <w:tcW w:w="1018" w:type="dxa"/>
            <w:gridSpan w:val="3"/>
            <w:tcBorders>
              <w:top w:val="nil"/>
              <w:left w:val="nil"/>
              <w:bottom w:val="nil"/>
              <w:right w:val="nil"/>
            </w:tcBorders>
            <w:shd w:val="clear" w:color="auto" w:fill="auto"/>
            <w:tcMar>
              <w:top w:w="15" w:type="dxa"/>
              <w:left w:w="15" w:type="dxa"/>
              <w:right w:w="15" w:type="dxa"/>
            </w:tcMar>
            <w:vAlign w:val="center"/>
          </w:tcPr>
          <w:p>
            <w:pPr>
              <w:widowControl/>
              <w:jc w:val="left"/>
              <w:textAlignment w:val="center"/>
              <w:rPr>
                <w:rFonts w:ascii="宋体" w:hAnsi="宋体" w:cs="宋体"/>
                <w:color w:val="000000"/>
                <w:szCs w:val="21"/>
              </w:rPr>
            </w:pPr>
          </w:p>
        </w:tc>
        <w:tc>
          <w:tcPr>
            <w:tcW w:w="1334" w:type="dxa"/>
            <w:gridSpan w:val="2"/>
            <w:tcBorders>
              <w:top w:val="nil"/>
              <w:left w:val="nil"/>
              <w:bottom w:val="nil"/>
              <w:right w:val="nil"/>
            </w:tcBorders>
            <w:shd w:val="clear" w:color="auto" w:fill="auto"/>
            <w:tcMar>
              <w:top w:w="15" w:type="dxa"/>
              <w:left w:w="15" w:type="dxa"/>
              <w:right w:w="15" w:type="dxa"/>
            </w:tcMar>
            <w:vAlign w:val="center"/>
          </w:tcPr>
          <w:p>
            <w:pPr>
              <w:widowControl/>
              <w:jc w:val="left"/>
              <w:textAlignment w:val="center"/>
            </w:pPr>
          </w:p>
        </w:tc>
        <w:tc>
          <w:tcPr>
            <w:tcW w:w="6448" w:type="dxa"/>
            <w:gridSpan w:val="13"/>
            <w:tcBorders>
              <w:top w:val="nil"/>
              <w:left w:val="nil"/>
              <w:bottom w:val="nil"/>
              <w:right w:val="nil"/>
            </w:tcBorders>
            <w:shd w:val="clear" w:color="auto" w:fill="auto"/>
            <w:tcMar>
              <w:top w:w="15" w:type="dxa"/>
              <w:left w:w="15" w:type="dxa"/>
              <w:right w:w="15" w:type="dxa"/>
            </w:tcMar>
          </w:tcPr>
          <w:p>
            <w:pPr>
              <w:widowControl/>
              <w:spacing w:after="0" w:line="240" w:lineRule="atLeast"/>
              <w:jc w:val="left"/>
              <w:textAlignment w:val="center"/>
            </w:pPr>
          </w:p>
        </w:tc>
      </w:tr>
      <w:tr>
        <w:tblPrEx>
          <w:tblCellMar>
            <w:top w:w="0" w:type="dxa"/>
            <w:left w:w="0" w:type="dxa"/>
            <w:bottom w:w="0" w:type="dxa"/>
            <w:right w:w="0" w:type="dxa"/>
          </w:tblCellMar>
        </w:tblPrEx>
        <w:trPr>
          <w:trHeight w:val="481" w:hRule="atLeast"/>
          <w:jc w:val="center"/>
        </w:trPr>
        <w:tc>
          <w:tcPr>
            <w:tcW w:w="1018" w:type="dxa"/>
            <w:gridSpan w:val="3"/>
            <w:vAlign w:val="center"/>
          </w:tcPr>
          <w:p>
            <w:pPr>
              <w:widowControl/>
              <w:jc w:val="left"/>
              <w:textAlignment w:val="center"/>
              <w:rPr>
                <w:rFonts w:ascii="宋体" w:hAnsi="宋体" w:cs="宋体"/>
                <w:color w:val="000000"/>
                <w:szCs w:val="21"/>
              </w:rPr>
            </w:pPr>
          </w:p>
        </w:tc>
        <w:tc>
          <w:tcPr>
            <w:tcW w:w="1334" w:type="dxa"/>
            <w:gridSpan w:val="2"/>
            <w:vAlign w:val="center"/>
          </w:tcPr>
          <w:p>
            <w:pPr>
              <w:widowControl/>
              <w:jc w:val="left"/>
              <w:textAlignment w:val="center"/>
            </w:pPr>
          </w:p>
        </w:tc>
        <w:tc>
          <w:tcPr>
            <w:tcW w:w="6448" w:type="dxa"/>
            <w:gridSpan w:val="13"/>
          </w:tcPr>
          <w:p>
            <w:pPr>
              <w:widowControl/>
              <w:spacing w:after="0" w:line="240" w:lineRule="atLeast"/>
              <w:jc w:val="left"/>
              <w:textAlignment w:val="center"/>
            </w:pPr>
          </w:p>
        </w:tc>
      </w:tr>
    </w:tbl>
    <w:p>
      <w:pPr>
        <w:widowControl/>
        <w:spacing w:after="0" w:line="560" w:lineRule="exact"/>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2"/>
        <w:tblW w:w="9000" w:type="dxa"/>
        <w:tblInd w:w="0" w:type="dxa"/>
        <w:tblLayout w:type="fixed"/>
        <w:tblCellMar>
          <w:top w:w="0" w:type="dxa"/>
          <w:left w:w="0" w:type="dxa"/>
          <w:bottom w:w="0" w:type="dxa"/>
          <w:right w:w="0" w:type="dxa"/>
        </w:tblCellMar>
      </w:tblPr>
      <w:tblGrid>
        <w:gridCol w:w="290"/>
        <w:gridCol w:w="289"/>
        <w:gridCol w:w="796"/>
        <w:gridCol w:w="7"/>
        <w:gridCol w:w="1117"/>
        <w:gridCol w:w="647"/>
        <w:gridCol w:w="436"/>
        <w:gridCol w:w="682"/>
        <w:gridCol w:w="402"/>
        <w:gridCol w:w="718"/>
        <w:gridCol w:w="365"/>
        <w:gridCol w:w="753"/>
        <w:gridCol w:w="331"/>
        <w:gridCol w:w="789"/>
        <w:gridCol w:w="294"/>
        <w:gridCol w:w="1084"/>
      </w:tblGrid>
      <w:tr>
        <w:tblPrEx>
          <w:tblCellMar>
            <w:top w:w="0" w:type="dxa"/>
            <w:left w:w="0" w:type="dxa"/>
            <w:bottom w:w="0" w:type="dxa"/>
            <w:right w:w="0" w:type="dxa"/>
          </w:tblCellMar>
        </w:tblPrEx>
        <w:trPr>
          <w:trHeight w:val="798" w:hRule="atLeast"/>
        </w:trPr>
        <w:tc>
          <w:tcPr>
            <w:tcW w:w="9000" w:type="dxa"/>
            <w:gridSpan w:val="16"/>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center"/>
              <w:rPr>
                <w:rFonts w:ascii="黑体" w:hAnsi="宋体" w:eastAsia="黑体" w:cs="黑体"/>
                <w:color w:val="000000"/>
                <w:sz w:val="40"/>
                <w:szCs w:val="40"/>
              </w:rPr>
            </w:pPr>
            <w:r>
              <w:rPr>
                <w:rFonts w:hint="eastAsia" w:ascii="黑体" w:hAnsi="宋体" w:eastAsia="黑体" w:cs="黑体"/>
                <w:color w:val="000000"/>
                <w:kern w:val="0"/>
                <w:sz w:val="40"/>
                <w:szCs w:val="40"/>
              </w:rPr>
              <w:t>支出决算</w:t>
            </w:r>
            <w:r>
              <w:rPr>
                <w:sz w:val="44"/>
              </w:rPr>
              <w:pict>
                <v:group id="_x0000_s1078" o:spid="_x0000_s1078" o:spt="203" style="position:absolute;left:0pt;margin-left:-80.9pt;margin-top:-81.1pt;height:41.2pt;width:243.2pt;mso-position-vertical-relative:page;z-index:251658240;mso-width-relative:page;mso-height-relative:page;" coordorigin="4551,52615" coordsize="8546,1398203" o:gfxdata="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">
                  <o:lock v:ext="edit"/>
                  <v:rect id="矩形 13" o:spid="_x0000_s1080" o:spt="1" style="position:absolute;left:4551;top:52615;height:1175;width:8546;v-text-anchor:middle;" fillcolor="#D9D9D9" filled="t" stroked="f" coordsize="21600,21600" o:gfxdata="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N8NB1r4A&#10;AADbAAAADwAAAAAAAAABACAAAAAiAAAAZHJzL2Rvd25yZXYueG1sUEsBAhQAFAAAAAgAh07iQDMv&#10;BZ47AAAAOQAAABAAAAAAAAAAAQAgAAAADQEAAGRycy9zaGFwZXhtbC54bWxQSwUGAAAAAAYABgBb&#10;AQAAtwMAAAAA&#10;">
                    <v:path/>
                    <v:fill on="t" focussize="0,0"/>
                    <v:stroke on="f" weight="2pt"/>
                    <v:imagedata o:title=""/>
                    <o:lock v:ext="edit"/>
                  </v:rect>
                  <v:rect id="矩形 14" o:spid="_x0000_s1079" o:spt="1" style="position:absolute;left:4577;top:52890;height:1123;width:8324;v-text-anchor:middle;" fillcolor="#AD002D" filled="t" stroked="t" coordsize="21600,21600" o:gfxdata="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HdW3wC5AAAA2wAA&#10;AA8AAAAAAAAAAQAgAAAAIgAAAGRycy9kb3ducmV2LnhtbFBLAQIUABQAAAAIAIdO4kAzLwWeOwAA&#10;ADkAAAAQAAAAAAAAAAEAIAAAAAgBAABkcnMvc2hhcGV4bWwueG1sUEsFBgAAAAAGAAYAWwEAALID&#10;AAAAAA==&#10;">
                    <v:path/>
                    <v:fill on="t" focussize="0,0"/>
                    <v:stroke weight="2pt" color="#B0761F" joinstyle="round"/>
                    <v:imagedata o:title=""/>
                    <o:lock v:ext="edit"/>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2018年度部门决算☞决算报表</w:t>
                          </w:r>
                        </w:p>
                        <w:p>
                          <w:pPr>
                            <w:jc w:val="center"/>
                          </w:pPr>
                        </w:p>
                      </w:txbxContent>
                    </v:textbox>
                  </v:rect>
                  <w10:anchorlock/>
                </v:group>
              </w:pict>
            </w:r>
            <w:r>
              <w:rPr>
                <w:rFonts w:hint="eastAsia" w:ascii="黑体" w:hAnsi="宋体" w:eastAsia="黑体" w:cs="黑体"/>
                <w:color w:val="000000"/>
                <w:kern w:val="0"/>
                <w:sz w:val="40"/>
                <w:szCs w:val="40"/>
              </w:rPr>
              <w:t>表</w:t>
            </w:r>
          </w:p>
        </w:tc>
      </w:tr>
      <w:tr>
        <w:tblPrEx>
          <w:tblCellMar>
            <w:top w:w="0" w:type="dxa"/>
            <w:left w:w="0" w:type="dxa"/>
            <w:bottom w:w="0" w:type="dxa"/>
            <w:right w:w="0" w:type="dxa"/>
          </w:tblCellMar>
        </w:tblPrEx>
        <w:trPr>
          <w:trHeight w:val="404" w:hRule="atLeast"/>
        </w:trPr>
        <w:tc>
          <w:tcPr>
            <w:tcW w:w="29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289"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803"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1117"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647"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1118"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1120"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1118"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1120"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1378"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right"/>
              <w:textAlignment w:val="center"/>
              <w:rPr>
                <w:rFonts w:ascii="宋体" w:hAnsi="宋体" w:cs="宋体"/>
                <w:color w:val="000000"/>
                <w:szCs w:val="21"/>
              </w:rPr>
            </w:pPr>
            <w:r>
              <w:rPr>
                <w:rFonts w:hint="eastAsia" w:ascii="宋体" w:hAnsi="宋体" w:cs="宋体"/>
                <w:color w:val="000000"/>
                <w:kern w:val="0"/>
                <w:szCs w:val="21"/>
              </w:rPr>
              <w:t>公开03表</w:t>
            </w:r>
          </w:p>
        </w:tc>
      </w:tr>
      <w:tr>
        <w:tblPrEx>
          <w:tblCellMar>
            <w:top w:w="0" w:type="dxa"/>
            <w:left w:w="0" w:type="dxa"/>
            <w:bottom w:w="0" w:type="dxa"/>
            <w:right w:w="0" w:type="dxa"/>
          </w:tblCellMar>
        </w:tblPrEx>
        <w:trPr>
          <w:trHeight w:val="380" w:hRule="atLeast"/>
        </w:trPr>
        <w:tc>
          <w:tcPr>
            <w:tcW w:w="3146" w:type="dxa"/>
            <w:gridSpan w:val="6"/>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Cs w:val="21"/>
              </w:rPr>
            </w:pPr>
            <w:r>
              <w:rPr>
                <w:rFonts w:hint="eastAsia" w:ascii="宋体" w:hAnsi="宋体" w:cs="宋体"/>
                <w:color w:val="000000"/>
                <w:kern w:val="0"/>
                <w:szCs w:val="21"/>
              </w:rPr>
              <w:t>部门：</w:t>
            </w:r>
          </w:p>
        </w:tc>
        <w:tc>
          <w:tcPr>
            <w:tcW w:w="1118"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1120"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1118"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2498" w:type="dxa"/>
            <w:gridSpan w:val="4"/>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right"/>
              <w:textAlignment w:val="center"/>
              <w:rPr>
                <w:rFonts w:ascii="宋体" w:hAnsi="宋体" w:cs="宋体"/>
                <w:color w:val="000000"/>
                <w:szCs w:val="21"/>
              </w:rPr>
            </w:pPr>
            <w:r>
              <w:rPr>
                <w:rFonts w:hint="eastAsia" w:ascii="宋体" w:hAnsi="宋体" w:cs="宋体"/>
                <w:color w:val="000000"/>
                <w:kern w:val="0"/>
                <w:szCs w:val="21"/>
              </w:rPr>
              <w:t>金额单位：万元</w:t>
            </w:r>
          </w:p>
        </w:tc>
      </w:tr>
      <w:tr>
        <w:tblPrEx>
          <w:tblCellMar>
            <w:top w:w="0" w:type="dxa"/>
            <w:left w:w="0" w:type="dxa"/>
            <w:bottom w:w="0" w:type="dxa"/>
            <w:right w:w="0" w:type="dxa"/>
          </w:tblCellMar>
        </w:tblPrEx>
        <w:trPr>
          <w:trHeight w:val="837" w:hRule="atLeast"/>
        </w:trPr>
        <w:tc>
          <w:tcPr>
            <w:tcW w:w="2499" w:type="dxa"/>
            <w:gridSpan w:val="5"/>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项目</w:t>
            </w:r>
          </w:p>
        </w:tc>
        <w:tc>
          <w:tcPr>
            <w:tcW w:w="1083" w:type="dxa"/>
            <w:gridSpan w:val="2"/>
            <w:vMerge w:val="restart"/>
            <w:tcBorders>
              <w:top w:val="single" w:color="000000" w:sz="4" w:space="0"/>
              <w:left w:val="nil"/>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本年支出合计</w:t>
            </w:r>
          </w:p>
        </w:tc>
        <w:tc>
          <w:tcPr>
            <w:tcW w:w="1084" w:type="dxa"/>
            <w:gridSpan w:val="2"/>
            <w:vMerge w:val="restart"/>
            <w:tcBorders>
              <w:top w:val="single" w:color="000000" w:sz="4" w:space="0"/>
              <w:left w:val="nil"/>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基本支出</w:t>
            </w:r>
          </w:p>
        </w:tc>
        <w:tc>
          <w:tcPr>
            <w:tcW w:w="1083" w:type="dxa"/>
            <w:gridSpan w:val="2"/>
            <w:vMerge w:val="restart"/>
            <w:tcBorders>
              <w:top w:val="single" w:color="000000" w:sz="4" w:space="0"/>
              <w:left w:val="nil"/>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项目支出</w:t>
            </w:r>
          </w:p>
        </w:tc>
        <w:tc>
          <w:tcPr>
            <w:tcW w:w="1084" w:type="dxa"/>
            <w:gridSpan w:val="2"/>
            <w:vMerge w:val="restart"/>
            <w:tcBorders>
              <w:top w:val="single" w:color="000000" w:sz="4" w:space="0"/>
              <w:left w:val="nil"/>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上缴上级支出</w:t>
            </w:r>
          </w:p>
        </w:tc>
        <w:tc>
          <w:tcPr>
            <w:tcW w:w="1083" w:type="dxa"/>
            <w:gridSpan w:val="2"/>
            <w:vMerge w:val="restart"/>
            <w:tcBorders>
              <w:top w:val="single" w:color="000000" w:sz="4" w:space="0"/>
              <w:left w:val="nil"/>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经营支出</w:t>
            </w:r>
          </w:p>
        </w:tc>
        <w:tc>
          <w:tcPr>
            <w:tcW w:w="1084" w:type="dxa"/>
            <w:vMerge w:val="restart"/>
            <w:tcBorders>
              <w:top w:val="single" w:color="000000" w:sz="4" w:space="0"/>
              <w:left w:val="nil"/>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对附属单位补助支出</w:t>
            </w:r>
          </w:p>
        </w:tc>
      </w:tr>
      <w:tr>
        <w:tblPrEx>
          <w:tblCellMar>
            <w:top w:w="0" w:type="dxa"/>
            <w:left w:w="0" w:type="dxa"/>
            <w:bottom w:w="0" w:type="dxa"/>
            <w:right w:w="0" w:type="dxa"/>
          </w:tblCellMar>
        </w:tblPrEx>
        <w:trPr>
          <w:trHeight w:val="782" w:hRule="atLeast"/>
        </w:trPr>
        <w:tc>
          <w:tcPr>
            <w:tcW w:w="1382"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功能分类科目编码</w:t>
            </w:r>
          </w:p>
        </w:tc>
        <w:tc>
          <w:tcPr>
            <w:tcW w:w="11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科目名称</w:t>
            </w:r>
          </w:p>
        </w:tc>
        <w:tc>
          <w:tcPr>
            <w:tcW w:w="1083" w:type="dxa"/>
            <w:gridSpan w:val="2"/>
            <w:vMerge w:val="continue"/>
            <w:tcBorders>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084" w:type="dxa"/>
            <w:gridSpan w:val="2"/>
            <w:vMerge w:val="continue"/>
            <w:tcBorders>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083" w:type="dxa"/>
            <w:gridSpan w:val="2"/>
            <w:vMerge w:val="continue"/>
            <w:tcBorders>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084" w:type="dxa"/>
            <w:gridSpan w:val="2"/>
            <w:vMerge w:val="continue"/>
            <w:tcBorders>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083" w:type="dxa"/>
            <w:gridSpan w:val="2"/>
            <w:vMerge w:val="continue"/>
            <w:tcBorders>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084" w:type="dxa"/>
            <w:vMerge w:val="continue"/>
            <w:tcBorders>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r>
      <w:tr>
        <w:tblPrEx>
          <w:tblCellMar>
            <w:top w:w="0" w:type="dxa"/>
            <w:left w:w="0" w:type="dxa"/>
            <w:bottom w:w="0" w:type="dxa"/>
            <w:right w:w="0" w:type="dxa"/>
          </w:tblCellMar>
        </w:tblPrEx>
        <w:trPr>
          <w:trHeight w:val="395" w:hRule="atLeast"/>
        </w:trPr>
        <w:tc>
          <w:tcPr>
            <w:tcW w:w="2499" w:type="dxa"/>
            <w:gridSpan w:val="5"/>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栏次</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1</w:t>
            </w: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2</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3</w:t>
            </w: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4</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5</w:t>
            </w:r>
          </w:p>
        </w:tc>
        <w:tc>
          <w:tcPr>
            <w:tcW w:w="10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6</w:t>
            </w:r>
          </w:p>
        </w:tc>
      </w:tr>
      <w:tr>
        <w:tblPrEx>
          <w:tblCellMar>
            <w:top w:w="0" w:type="dxa"/>
            <w:left w:w="0" w:type="dxa"/>
            <w:bottom w:w="0" w:type="dxa"/>
            <w:right w:w="0" w:type="dxa"/>
          </w:tblCellMar>
        </w:tblPrEx>
        <w:trPr>
          <w:trHeight w:val="440" w:hRule="atLeast"/>
        </w:trPr>
        <w:tc>
          <w:tcPr>
            <w:tcW w:w="2499" w:type="dxa"/>
            <w:gridSpan w:val="5"/>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合计</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b/>
                <w:color w:val="000000"/>
                <w:szCs w:val="21"/>
              </w:rPr>
            </w:pPr>
            <w:r>
              <w:rPr>
                <w:rFonts w:hint="eastAsia" w:ascii="宋体" w:hAnsi="宋体" w:cs="宋体"/>
                <w:b/>
                <w:color w:val="000000"/>
                <w:szCs w:val="21"/>
              </w:rPr>
              <w:t>168.32</w:t>
            </w: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b/>
                <w:color w:val="000000"/>
                <w:szCs w:val="21"/>
              </w:rPr>
            </w:pPr>
            <w:r>
              <w:rPr>
                <w:rFonts w:hint="eastAsia" w:ascii="宋体" w:hAnsi="宋体" w:cs="宋体"/>
                <w:b/>
                <w:color w:val="000000"/>
                <w:szCs w:val="21"/>
              </w:rPr>
              <w:t>162.13</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b/>
                <w:color w:val="000000"/>
                <w:szCs w:val="21"/>
              </w:rPr>
            </w:pPr>
            <w:r>
              <w:rPr>
                <w:rFonts w:hint="eastAsia" w:ascii="宋体" w:hAnsi="宋体" w:cs="宋体"/>
                <w:b/>
                <w:color w:val="000000"/>
                <w:szCs w:val="21"/>
              </w:rPr>
              <w:t>6.19</w:t>
            </w: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b/>
                <w:color w:val="000000"/>
                <w:szCs w:val="21"/>
              </w:rPr>
            </w:pP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b/>
                <w:color w:val="000000"/>
                <w:szCs w:val="21"/>
              </w:rPr>
            </w:pPr>
          </w:p>
        </w:tc>
        <w:tc>
          <w:tcPr>
            <w:tcW w:w="10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b/>
                <w:color w:val="000000"/>
                <w:szCs w:val="21"/>
              </w:rPr>
            </w:pPr>
          </w:p>
        </w:tc>
      </w:tr>
      <w:tr>
        <w:tblPrEx>
          <w:tblCellMar>
            <w:top w:w="0" w:type="dxa"/>
            <w:left w:w="0" w:type="dxa"/>
            <w:bottom w:w="0" w:type="dxa"/>
            <w:right w:w="0" w:type="dxa"/>
          </w:tblCellMar>
        </w:tblPrEx>
        <w:trPr>
          <w:trHeight w:val="468" w:hRule="atLeast"/>
        </w:trPr>
        <w:tc>
          <w:tcPr>
            <w:tcW w:w="137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201</w:t>
            </w:r>
          </w:p>
        </w:tc>
        <w:tc>
          <w:tcPr>
            <w:tcW w:w="112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一般公共服务支出</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145.65</w:t>
            </w: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145.65</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6.19</w:t>
            </w: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37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20131</w:t>
            </w:r>
          </w:p>
        </w:tc>
        <w:tc>
          <w:tcPr>
            <w:tcW w:w="112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党委办公厅（室）及相关机构事务</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145.65</w:t>
            </w: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145.65</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6.19</w:t>
            </w: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37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2013101</w:t>
            </w:r>
          </w:p>
        </w:tc>
        <w:tc>
          <w:tcPr>
            <w:tcW w:w="112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 xml:space="preserve"> 行政运行</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139.46</w:t>
            </w: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139.46</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0.00</w:t>
            </w: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37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2013102</w:t>
            </w:r>
          </w:p>
        </w:tc>
        <w:tc>
          <w:tcPr>
            <w:tcW w:w="112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一般行政管理事务</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6.19</w:t>
            </w: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6.19</w:t>
            </w: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37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Cs w:val="21"/>
              </w:rPr>
            </w:pPr>
            <w:r>
              <w:rPr>
                <w:rFonts w:ascii="宋体" w:hAnsi="宋体" w:cs="宋体"/>
                <w:color w:val="000000"/>
                <w:kern w:val="0"/>
                <w:sz w:val="22"/>
                <w:szCs w:val="22"/>
              </w:rPr>
              <w:t>208</w:t>
            </w:r>
          </w:p>
        </w:tc>
        <w:tc>
          <w:tcPr>
            <w:tcW w:w="112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社会保障和就业支出</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9.67</w:t>
            </w: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9.67</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37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Cs w:val="21"/>
              </w:rPr>
            </w:pPr>
            <w:r>
              <w:rPr>
                <w:rFonts w:ascii="宋体" w:hAnsi="宋体" w:cs="宋体"/>
                <w:color w:val="000000"/>
                <w:kern w:val="0"/>
                <w:sz w:val="22"/>
                <w:szCs w:val="22"/>
              </w:rPr>
              <w:t>20805</w:t>
            </w:r>
          </w:p>
        </w:tc>
        <w:tc>
          <w:tcPr>
            <w:tcW w:w="112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行政事业单位离退休</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9.67</w:t>
            </w: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9.67</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37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Cs w:val="21"/>
              </w:rPr>
            </w:pPr>
            <w:r>
              <w:rPr>
                <w:rFonts w:ascii="宋体" w:hAnsi="宋体" w:cs="宋体"/>
                <w:color w:val="000000"/>
                <w:kern w:val="0"/>
                <w:sz w:val="22"/>
                <w:szCs w:val="22"/>
              </w:rPr>
              <w:t>2080505</w:t>
            </w:r>
          </w:p>
        </w:tc>
        <w:tc>
          <w:tcPr>
            <w:tcW w:w="112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机关事业单位基本养老保险缴费支出</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9.67</w:t>
            </w: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9.67</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37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Cs w:val="21"/>
              </w:rPr>
            </w:pPr>
            <w:r>
              <w:rPr>
                <w:rFonts w:ascii="宋体" w:hAnsi="宋体" w:cs="宋体"/>
                <w:color w:val="000000"/>
                <w:kern w:val="0"/>
                <w:sz w:val="22"/>
                <w:szCs w:val="22"/>
              </w:rPr>
              <w:t>210</w:t>
            </w:r>
          </w:p>
        </w:tc>
        <w:tc>
          <w:tcPr>
            <w:tcW w:w="112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 xml:space="preserve"> 医疗卫生与计划生育支出</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7.2</w:t>
            </w: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7.2</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37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Cs w:val="21"/>
              </w:rPr>
            </w:pPr>
            <w:r>
              <w:rPr>
                <w:rFonts w:ascii="宋体" w:hAnsi="宋体" w:cs="宋体"/>
                <w:color w:val="000000"/>
                <w:kern w:val="0"/>
                <w:sz w:val="22"/>
                <w:szCs w:val="22"/>
              </w:rPr>
              <w:t>21011</w:t>
            </w:r>
          </w:p>
        </w:tc>
        <w:tc>
          <w:tcPr>
            <w:tcW w:w="112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行政事业单位医疗</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7.2</w:t>
            </w: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7.2</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37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Cs w:val="21"/>
              </w:rPr>
            </w:pPr>
            <w:r>
              <w:rPr>
                <w:rFonts w:ascii="宋体" w:hAnsi="宋体" w:cs="宋体"/>
                <w:color w:val="000000"/>
                <w:kern w:val="0"/>
                <w:sz w:val="22"/>
                <w:szCs w:val="22"/>
              </w:rPr>
              <w:t>2101101</w:t>
            </w:r>
          </w:p>
        </w:tc>
        <w:tc>
          <w:tcPr>
            <w:tcW w:w="112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行政单位医疗</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7.2</w:t>
            </w: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7.2</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37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Cs w:val="21"/>
              </w:rPr>
            </w:pPr>
            <w:r>
              <w:rPr>
                <w:rFonts w:ascii="宋体" w:hAnsi="宋体" w:cs="宋体"/>
                <w:color w:val="000000"/>
                <w:kern w:val="0"/>
                <w:sz w:val="22"/>
                <w:szCs w:val="22"/>
              </w:rPr>
              <w:t>221</w:t>
            </w:r>
          </w:p>
        </w:tc>
        <w:tc>
          <w:tcPr>
            <w:tcW w:w="112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住房保障支出</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5.8</w:t>
            </w: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5.8</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37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Cs w:val="21"/>
              </w:rPr>
            </w:pPr>
            <w:r>
              <w:rPr>
                <w:rFonts w:ascii="宋体" w:hAnsi="宋体" w:cs="宋体"/>
                <w:color w:val="000000"/>
                <w:kern w:val="0"/>
                <w:sz w:val="22"/>
                <w:szCs w:val="22"/>
              </w:rPr>
              <w:t>22102</w:t>
            </w:r>
          </w:p>
        </w:tc>
        <w:tc>
          <w:tcPr>
            <w:tcW w:w="112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住房改革支出</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5.8</w:t>
            </w: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5.8</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37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Cs w:val="21"/>
              </w:rPr>
            </w:pPr>
            <w:r>
              <w:rPr>
                <w:rFonts w:ascii="宋体" w:hAnsi="宋体" w:cs="宋体"/>
                <w:color w:val="000000"/>
                <w:kern w:val="0"/>
                <w:sz w:val="22"/>
                <w:szCs w:val="22"/>
              </w:rPr>
              <w:t>2210201</w:t>
            </w:r>
          </w:p>
        </w:tc>
        <w:tc>
          <w:tcPr>
            <w:tcW w:w="112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住房公积金</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5.8</w:t>
            </w: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5.8</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748" w:hRule="atLeast"/>
        </w:trPr>
        <w:tc>
          <w:tcPr>
            <w:tcW w:w="9000" w:type="dxa"/>
            <w:gridSpan w:val="16"/>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Cs w:val="21"/>
              </w:rPr>
            </w:pPr>
            <w:r>
              <w:rPr>
                <w:rFonts w:hint="eastAsia" w:ascii="宋体" w:hAnsi="宋体" w:cs="宋体"/>
                <w:color w:val="000000"/>
                <w:kern w:val="0"/>
                <w:szCs w:val="21"/>
              </w:rPr>
              <w:t>注：本表反映部门本年度各项支出情况。</w:t>
            </w:r>
          </w:p>
        </w:tc>
      </w:tr>
    </w:tbl>
    <w:p>
      <w:pPr>
        <w:widowControl/>
        <w:spacing w:after="0" w:line="560" w:lineRule="exact"/>
        <w:ind w:firstLine="562" w:firstLineChars="200"/>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2"/>
        <w:tblW w:w="8940" w:type="dxa"/>
        <w:tblInd w:w="0" w:type="dxa"/>
        <w:tblLayout w:type="fixed"/>
        <w:tblCellMar>
          <w:top w:w="0" w:type="dxa"/>
          <w:left w:w="0" w:type="dxa"/>
          <w:bottom w:w="0" w:type="dxa"/>
          <w:right w:w="0" w:type="dxa"/>
        </w:tblCellMar>
      </w:tblPr>
      <w:tblGrid>
        <w:gridCol w:w="1717"/>
        <w:gridCol w:w="745"/>
        <w:gridCol w:w="325"/>
        <w:gridCol w:w="850"/>
        <w:gridCol w:w="2124"/>
        <w:gridCol w:w="191"/>
        <w:gridCol w:w="360"/>
        <w:gridCol w:w="650"/>
        <w:gridCol w:w="226"/>
        <w:gridCol w:w="599"/>
        <w:gridCol w:w="277"/>
        <w:gridCol w:w="876"/>
      </w:tblGrid>
      <w:tr>
        <w:tblPrEx>
          <w:tblCellMar>
            <w:top w:w="0" w:type="dxa"/>
            <w:left w:w="0" w:type="dxa"/>
            <w:bottom w:w="0" w:type="dxa"/>
            <w:right w:w="0" w:type="dxa"/>
          </w:tblCellMar>
        </w:tblPrEx>
        <w:trPr>
          <w:trHeight w:val="152" w:hRule="atLeast"/>
        </w:trPr>
        <w:tc>
          <w:tcPr>
            <w:tcW w:w="8940" w:type="dxa"/>
            <w:gridSpan w:val="1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center"/>
              <w:textAlignment w:val="center"/>
              <w:rPr>
                <w:rFonts w:ascii="黑体" w:hAnsi="宋体" w:eastAsia="黑体" w:cs="黑体"/>
                <w:color w:val="000000"/>
                <w:sz w:val="40"/>
                <w:szCs w:val="40"/>
              </w:rPr>
            </w:pPr>
            <w:r>
              <w:rPr>
                <w:rFonts w:hint="eastAsia" w:ascii="黑体" w:hAnsi="宋体" w:eastAsia="黑体" w:cs="黑体"/>
                <w:color w:val="000000"/>
                <w:kern w:val="0"/>
                <w:sz w:val="40"/>
                <w:szCs w:val="40"/>
              </w:rPr>
              <w:t>财政拨款收入支出决</w:t>
            </w:r>
            <w:r>
              <w:rPr>
                <w:sz w:val="44"/>
              </w:rPr>
              <w:pict>
                <v:group id="_x0000_s1075" o:spid="_x0000_s1075" o:spt="203" style="position:absolute;left:0pt;margin-left:-80.9pt;margin-top:-81.1pt;height:41.2pt;width:243.2pt;mso-position-vertical-relative:page;z-index:251659264;mso-width-relative:page;mso-height-relative:page;" coordorigin="4551,52615" coordsize="8546,1398203" o:gfxdata="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">
                  <o:lock v:ext="edit"/>
                  <v:rect id="矩形 13" o:spid="_x0000_s1077" o:spt="1" style="position:absolute;left:4551;top:52615;height:1175;width:8546;v-text-anchor:middle;" fillcolor="#D9D9D9" filled="t" stroked="f" coordsize="21600,21600" o:gfxdata="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gcSdNb4A&#10;AADbAAAADwAAAAAAAAABACAAAAAiAAAAZHJzL2Rvd25yZXYueG1sUEsBAhQAFAAAAAgAh07iQDMv&#10;BZ47AAAAOQAAABAAAAAAAAAAAQAgAAAADQEAAGRycy9zaGFwZXhtbC54bWxQSwUGAAAAAAYABgBb&#10;AQAAtwMAAAAA&#10;">
                    <v:path/>
                    <v:fill on="t" focussize="0,0"/>
                    <v:stroke on="f" weight="2pt"/>
                    <v:imagedata o:title=""/>
                    <o:lock v:ext="edit"/>
                  </v:rect>
                  <v:rect id="矩形 14" o:spid="_x0000_s1076" o:spt="1" style="position:absolute;left:4577;top:52890;height:1123;width:8324;v-text-anchor:middle;" fillcolor="#AD002D" filled="t" stroked="t" coordsize="21600,21600" o:gfxdata="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ZyF8mLsAAADb&#10;AAAADwAAAAAAAAABACAAAAAiAAAAZHJzL2Rvd25yZXYueG1sUEsBAhQAFAAAAAgAh07iQDMvBZ47&#10;AAAAOQAAABAAAAAAAAAAAQAgAAAACgEAAGRycy9zaGFwZXhtbC54bWxQSwUGAAAAAAYABgBbAQAA&#10;tAMAAAAA&#10;">
                    <v:path/>
                    <v:fill on="t" focussize="0,0"/>
                    <v:stroke weight="2pt" color="#B0761F" joinstyle="round"/>
                    <v:imagedata o:title=""/>
                    <o:lock v:ext="edit"/>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2018年度部门决算☞决算报表</w:t>
                          </w:r>
                        </w:p>
                        <w:p>
                          <w:pPr>
                            <w:jc w:val="center"/>
                          </w:pPr>
                        </w:p>
                      </w:txbxContent>
                    </v:textbox>
                  </v:rect>
                  <w10:anchorlock/>
                </v:group>
              </w:pict>
            </w:r>
            <w:r>
              <w:rPr>
                <w:rFonts w:hint="eastAsia" w:ascii="黑体" w:hAnsi="宋体" w:eastAsia="黑体" w:cs="黑体"/>
                <w:color w:val="000000"/>
                <w:kern w:val="0"/>
                <w:sz w:val="40"/>
                <w:szCs w:val="40"/>
              </w:rPr>
              <w:t>算总表</w:t>
            </w:r>
          </w:p>
        </w:tc>
      </w:tr>
      <w:tr>
        <w:tblPrEx>
          <w:tblCellMar>
            <w:top w:w="0" w:type="dxa"/>
            <w:left w:w="0" w:type="dxa"/>
            <w:bottom w:w="0" w:type="dxa"/>
            <w:right w:w="0" w:type="dxa"/>
          </w:tblCellMar>
        </w:tblPrEx>
        <w:trPr>
          <w:trHeight w:val="90" w:hRule="atLeast"/>
        </w:trPr>
        <w:tc>
          <w:tcPr>
            <w:tcW w:w="1717"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745"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325"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2974"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551"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65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825"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1153"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right"/>
              <w:textAlignment w:val="center"/>
              <w:rPr>
                <w:rFonts w:ascii="宋体" w:hAnsi="宋体" w:cs="宋体"/>
                <w:color w:val="000000"/>
                <w:sz w:val="20"/>
                <w:szCs w:val="20"/>
              </w:rPr>
            </w:pPr>
            <w:r>
              <w:rPr>
                <w:rFonts w:hint="eastAsia" w:ascii="宋体" w:hAnsi="宋体" w:cs="宋体"/>
                <w:color w:val="000000"/>
                <w:kern w:val="0"/>
                <w:sz w:val="20"/>
                <w:szCs w:val="20"/>
              </w:rPr>
              <w:t>公开04表</w:t>
            </w:r>
          </w:p>
        </w:tc>
      </w:tr>
      <w:tr>
        <w:tblPrEx>
          <w:tblCellMar>
            <w:top w:w="0" w:type="dxa"/>
            <w:left w:w="0" w:type="dxa"/>
            <w:bottom w:w="0" w:type="dxa"/>
            <w:right w:w="0" w:type="dxa"/>
          </w:tblCellMar>
        </w:tblPrEx>
        <w:trPr>
          <w:trHeight w:val="152" w:hRule="atLeast"/>
        </w:trPr>
        <w:tc>
          <w:tcPr>
            <w:tcW w:w="6312" w:type="dxa"/>
            <w:gridSpan w:val="7"/>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20"/>
                <w:szCs w:val="20"/>
              </w:rPr>
            </w:pPr>
            <w:r>
              <w:rPr>
                <w:rFonts w:hint="eastAsia" w:ascii="宋体" w:hAnsi="宋体" w:cs="宋体"/>
                <w:color w:val="000000"/>
                <w:kern w:val="0"/>
                <w:sz w:val="20"/>
                <w:szCs w:val="20"/>
              </w:rPr>
              <w:t>部门：</w:t>
            </w:r>
          </w:p>
        </w:tc>
        <w:tc>
          <w:tcPr>
            <w:tcW w:w="65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1978" w:type="dxa"/>
            <w:gridSpan w:val="4"/>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right"/>
              <w:textAlignment w:val="center"/>
              <w:rPr>
                <w:rFonts w:ascii="宋体" w:hAnsi="宋体" w:cs="宋体"/>
                <w:color w:val="000000"/>
                <w:sz w:val="20"/>
                <w:szCs w:val="20"/>
              </w:rPr>
            </w:pPr>
            <w:r>
              <w:rPr>
                <w:rFonts w:hint="eastAsia" w:ascii="宋体" w:hAnsi="宋体" w:cs="宋体"/>
                <w:color w:val="000000"/>
                <w:kern w:val="0"/>
                <w:sz w:val="20"/>
                <w:szCs w:val="20"/>
              </w:rPr>
              <w:t>金额单位：万元</w:t>
            </w:r>
          </w:p>
        </w:tc>
      </w:tr>
      <w:tr>
        <w:tblPrEx>
          <w:tblCellMar>
            <w:top w:w="0" w:type="dxa"/>
            <w:left w:w="0" w:type="dxa"/>
            <w:bottom w:w="0" w:type="dxa"/>
            <w:right w:w="0" w:type="dxa"/>
          </w:tblCellMar>
        </w:tblPrEx>
        <w:trPr>
          <w:trHeight w:val="90" w:hRule="atLeast"/>
        </w:trPr>
        <w:tc>
          <w:tcPr>
            <w:tcW w:w="2787"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20"/>
                <w:szCs w:val="20"/>
              </w:rPr>
            </w:pPr>
            <w:r>
              <w:rPr>
                <w:rFonts w:hint="eastAsia" w:ascii="宋体" w:hAnsi="宋体" w:cs="宋体"/>
                <w:color w:val="000000"/>
                <w:kern w:val="0"/>
                <w:sz w:val="20"/>
                <w:szCs w:val="20"/>
              </w:rPr>
              <w:t>收     入</w:t>
            </w:r>
          </w:p>
        </w:tc>
        <w:tc>
          <w:tcPr>
            <w:tcW w:w="6153" w:type="dxa"/>
            <w:gridSpan w:val="9"/>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20"/>
                <w:szCs w:val="20"/>
              </w:rPr>
            </w:pPr>
            <w:r>
              <w:rPr>
                <w:rFonts w:hint="eastAsia" w:ascii="宋体" w:hAnsi="宋体" w:cs="宋体"/>
                <w:color w:val="000000"/>
                <w:kern w:val="0"/>
                <w:sz w:val="20"/>
                <w:szCs w:val="20"/>
              </w:rPr>
              <w:t>支     出</w:t>
            </w:r>
          </w:p>
        </w:tc>
      </w:tr>
      <w:tr>
        <w:tblPrEx>
          <w:tblCellMar>
            <w:top w:w="0" w:type="dxa"/>
            <w:left w:w="0" w:type="dxa"/>
            <w:bottom w:w="0" w:type="dxa"/>
            <w:right w:w="0" w:type="dxa"/>
          </w:tblCellMar>
        </w:tblPrEx>
        <w:trPr>
          <w:trHeight w:val="17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项目</w:t>
            </w: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行次</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金额</w:t>
            </w: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项目</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行次</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合计</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一般公共预算财政拨款</w:t>
            </w: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政府性基金预算财政拨款</w:t>
            </w: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栏次</w:t>
            </w: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 w:val="18"/>
                <w:szCs w:val="18"/>
              </w:rPr>
            </w:pP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w:t>
            </w: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栏次</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w:t>
            </w: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w:t>
            </w:r>
          </w:p>
        </w:tc>
      </w:tr>
      <w:tr>
        <w:tblPrEx>
          <w:tblCellMar>
            <w:top w:w="0" w:type="dxa"/>
            <w:left w:w="0" w:type="dxa"/>
            <w:bottom w:w="0" w:type="dxa"/>
            <w:right w:w="0" w:type="dxa"/>
          </w:tblCellMar>
        </w:tblPrEx>
        <w:trPr>
          <w:trHeight w:val="12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一、一般公共预算财政拨款</w:t>
            </w: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170.85</w:t>
            </w: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一、一般公共服务支出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29</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144.05</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144.05</w:t>
            </w: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0.00</w:t>
            </w:r>
          </w:p>
        </w:tc>
      </w:tr>
      <w:tr>
        <w:tblPrEx>
          <w:tblCellMar>
            <w:top w:w="0" w:type="dxa"/>
            <w:left w:w="0" w:type="dxa"/>
            <w:bottom w:w="0" w:type="dxa"/>
            <w:right w:w="0" w:type="dxa"/>
          </w:tblCellMar>
        </w:tblPrEx>
        <w:trPr>
          <w:trHeight w:val="12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二、政府性基金预算财政拨款</w:t>
            </w: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二、外交支出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30</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三、国防支出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31</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四、公共安全支出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32</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五、教育支出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33</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6</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六、科学技术支出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34</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7</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七、文化体育与传媒支出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35</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8</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八、社会保障和就业支出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36</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9.67</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9.67</w:t>
            </w: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9</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6"/>
                <w:szCs w:val="16"/>
              </w:rPr>
              <w:t>九、医疗卫生与计划生育支出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37</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7.2</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7.2</w:t>
            </w: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10</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十、节能环保支出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38</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11</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十一、城乡社区支出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39</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12</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十二、农林水支出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40</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13</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十三、交通运输支出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41</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14</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十四、资源勘探信息等支出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42</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15</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十五、商业服务业等支出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43</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16</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十六、金融支出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44</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17</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十七、援助其他地区支出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45</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18</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十八、国土海洋气象等支出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46</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19</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十九、住房保障支出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47</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5.8</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5.8</w:t>
            </w: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20</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二十、粮油物资储备支出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48</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21</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二十一、其他支出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49</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22</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二十二、债务还本支出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50</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23</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二十三、债务付息支出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51</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b/>
                <w:color w:val="000000"/>
                <w:sz w:val="18"/>
                <w:szCs w:val="18"/>
              </w:rPr>
            </w:pPr>
            <w:r>
              <w:rPr>
                <w:rFonts w:hint="eastAsia" w:ascii="宋体" w:hAnsi="宋体" w:cs="宋体"/>
                <w:b/>
                <w:color w:val="000000"/>
                <w:kern w:val="0"/>
                <w:sz w:val="18"/>
                <w:szCs w:val="18"/>
              </w:rPr>
              <w:t>本年收入合计</w:t>
            </w: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24</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170.85</w:t>
            </w: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b/>
                <w:color w:val="000000"/>
                <w:sz w:val="18"/>
                <w:szCs w:val="18"/>
              </w:rPr>
            </w:pPr>
            <w:r>
              <w:rPr>
                <w:rFonts w:hint="eastAsia" w:ascii="宋体" w:hAnsi="宋体" w:cs="宋体"/>
                <w:b/>
                <w:color w:val="000000"/>
                <w:kern w:val="0"/>
                <w:sz w:val="18"/>
                <w:szCs w:val="18"/>
              </w:rPr>
              <w:t>本年支出合计</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52</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166.71</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166.71</w:t>
            </w: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12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年初财政拨款结转和结余</w:t>
            </w: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25</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7.31</w:t>
            </w: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年末财政拨款结转和结余</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53</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11.45</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11.45</w:t>
            </w: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12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 xml:space="preserve">  一般公共预算财政拨款</w:t>
            </w: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26</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7.31</w:t>
            </w: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54</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12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 xml:space="preserve">  政府性基金预算财政拨款</w:t>
            </w: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27</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55</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b/>
                <w:color w:val="000000"/>
                <w:sz w:val="18"/>
                <w:szCs w:val="18"/>
              </w:rPr>
            </w:pPr>
            <w:r>
              <w:rPr>
                <w:rFonts w:hint="eastAsia" w:ascii="宋体" w:hAnsi="宋体" w:cs="宋体"/>
                <w:b/>
                <w:color w:val="000000"/>
                <w:kern w:val="0"/>
                <w:sz w:val="18"/>
                <w:szCs w:val="18"/>
              </w:rPr>
              <w:t>总计</w:t>
            </w: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28</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178.16</w:t>
            </w: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b/>
                <w:color w:val="000000"/>
                <w:sz w:val="18"/>
                <w:szCs w:val="18"/>
              </w:rPr>
            </w:pPr>
            <w:r>
              <w:rPr>
                <w:rFonts w:hint="eastAsia" w:ascii="宋体" w:hAnsi="宋体" w:cs="宋体"/>
                <w:b/>
                <w:color w:val="000000"/>
                <w:kern w:val="0"/>
                <w:sz w:val="18"/>
                <w:szCs w:val="18"/>
              </w:rPr>
              <w:t>总计</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56</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178.16</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178.16</w:t>
            </w: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155" w:hRule="atLeast"/>
        </w:trPr>
        <w:tc>
          <w:tcPr>
            <w:tcW w:w="8940" w:type="dxa"/>
            <w:gridSpan w:val="1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注：本表反映部门本年度一般公共预算财政拨款和政府性基金预算财政拨款的总收支和年末结转结余情况。</w:t>
            </w:r>
          </w:p>
        </w:tc>
      </w:tr>
    </w:tbl>
    <w:p>
      <w:pPr>
        <w:widowControl/>
        <w:spacing w:after="0" w:line="560" w:lineRule="exact"/>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2"/>
        <w:tblW w:w="8860" w:type="dxa"/>
        <w:tblInd w:w="0" w:type="dxa"/>
        <w:tblLayout w:type="fixed"/>
        <w:tblCellMar>
          <w:top w:w="0" w:type="dxa"/>
          <w:left w:w="0" w:type="dxa"/>
          <w:bottom w:w="0" w:type="dxa"/>
          <w:right w:w="0" w:type="dxa"/>
        </w:tblCellMar>
      </w:tblPr>
      <w:tblGrid>
        <w:gridCol w:w="317"/>
        <w:gridCol w:w="319"/>
        <w:gridCol w:w="357"/>
        <w:gridCol w:w="2109"/>
        <w:gridCol w:w="745"/>
        <w:gridCol w:w="1174"/>
        <w:gridCol w:w="718"/>
        <w:gridCol w:w="1201"/>
        <w:gridCol w:w="1920"/>
      </w:tblGrid>
      <w:tr>
        <w:tblPrEx>
          <w:tblCellMar>
            <w:top w:w="0" w:type="dxa"/>
            <w:left w:w="0" w:type="dxa"/>
            <w:bottom w:w="0" w:type="dxa"/>
            <w:right w:w="0" w:type="dxa"/>
          </w:tblCellMar>
        </w:tblPrEx>
        <w:trPr>
          <w:trHeight w:val="600" w:hRule="atLeast"/>
        </w:trPr>
        <w:tc>
          <w:tcPr>
            <w:tcW w:w="8860" w:type="dxa"/>
            <w:gridSpan w:val="9"/>
            <w:tcBorders>
              <w:top w:val="nil"/>
              <w:left w:val="nil"/>
              <w:bottom w:val="nil"/>
              <w:right w:val="nil"/>
            </w:tcBorders>
            <w:shd w:val="clear" w:color="auto" w:fill="auto"/>
            <w:tcMar>
              <w:top w:w="15" w:type="dxa"/>
              <w:left w:w="15" w:type="dxa"/>
              <w:right w:w="15" w:type="dxa"/>
            </w:tcMar>
            <w:vAlign w:val="bottom"/>
          </w:tcPr>
          <w:p>
            <w:pPr>
              <w:widowControl/>
              <w:spacing w:after="0" w:line="240" w:lineRule="auto"/>
              <w:jc w:val="center"/>
              <w:textAlignment w:val="bottom"/>
              <w:rPr>
                <w:rFonts w:ascii="黑体" w:hAnsi="宋体" w:eastAsia="黑体" w:cs="黑体"/>
                <w:color w:val="000000"/>
                <w:sz w:val="40"/>
                <w:szCs w:val="40"/>
              </w:rPr>
            </w:pPr>
            <w:r>
              <w:rPr>
                <w:rFonts w:hint="eastAsia" w:ascii="黑体" w:hAnsi="宋体" w:eastAsia="黑体" w:cs="黑体"/>
                <w:color w:val="000000"/>
                <w:kern w:val="0"/>
                <w:sz w:val="40"/>
                <w:szCs w:val="40"/>
              </w:rPr>
              <w:t>一般公共预算财政拨</w:t>
            </w:r>
            <w:r>
              <w:rPr>
                <w:sz w:val="44"/>
              </w:rPr>
              <w:pict>
                <v:group id="_x0000_s1072" o:spid="_x0000_s1072" o:spt="203" style="position:absolute;left:0pt;margin-left:-80.9pt;margin-top:-81.1pt;height:41.2pt;width:243.2pt;mso-position-vertical-relative:page;z-index:251660288;mso-width-relative:page;mso-height-relative:page;" coordorigin="4551,52615" coordsize="8546,1398203" o:gfxdata="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">
                  <o:lock v:ext="edit"/>
                  <v:rect id="矩形 13" o:spid="_x0000_s1074" o:spt="1" style="position:absolute;left:4551;top:52615;height:1175;width:8546;v-text-anchor:middle;" fillcolor="#D9D9D9" filled="t" stroked="f" coordsize="21600,21600" o:gfxdata="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cRYDQr4A&#10;AADbAAAADwAAAAAAAAABACAAAAAiAAAAZHJzL2Rvd25yZXYueG1sUEsBAhQAFAAAAAgAh07iQDMv&#10;BZ47AAAAOQAAABAAAAAAAAAAAQAgAAAADQEAAGRycy9zaGFwZXhtbC54bWxQSwUGAAAAAAYABgBb&#10;AQAAtwMAAAAA&#10;">
                    <v:path/>
                    <v:fill on="t" focussize="0,0"/>
                    <v:stroke on="f" weight="2pt"/>
                    <v:imagedata o:title=""/>
                    <o:lock v:ext="edit"/>
                  </v:rect>
                  <v:rect id="矩形 14" o:spid="_x0000_s1073" o:spt="1" style="position:absolute;left:4577;top:52890;height:1123;width:8324;v-text-anchor:middle;" fillcolor="#AD002D" filled="t" stroked="t" coordsize="21600,21600" o:gfxdata="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Ikg0wa5AAAA2wAA&#10;AA8AAAAAAAAAAQAgAAAAIgAAAGRycy9kb3ducmV2LnhtbFBLAQIUABQAAAAIAIdO4kAzLwWeOwAA&#10;ADkAAAAQAAAAAAAAAAEAIAAAAAgBAABkcnMvc2hhcGV4bWwueG1sUEsFBgAAAAAGAAYAWwEAALID&#10;AAAAAA==&#10;">
                    <v:path/>
                    <v:fill on="t" focussize="0,0"/>
                    <v:stroke weight="2pt" color="#B0761F" joinstyle="round"/>
                    <v:imagedata o:title=""/>
                    <o:lock v:ext="edit"/>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2018年度部门决算☞决算报表</w:t>
                          </w:r>
                        </w:p>
                        <w:p>
                          <w:pPr>
                            <w:jc w:val="center"/>
                          </w:pPr>
                        </w:p>
                      </w:txbxContent>
                    </v:textbox>
                  </v:rect>
                  <w10:anchorlock/>
                </v:group>
              </w:pict>
            </w:r>
            <w:r>
              <w:rPr>
                <w:rFonts w:hint="eastAsia" w:ascii="黑体" w:hAnsi="宋体" w:eastAsia="黑体" w:cs="黑体"/>
                <w:color w:val="000000"/>
                <w:kern w:val="0"/>
                <w:sz w:val="40"/>
                <w:szCs w:val="40"/>
              </w:rPr>
              <w:t>款支出决算表</w:t>
            </w:r>
          </w:p>
        </w:tc>
      </w:tr>
      <w:tr>
        <w:tblPrEx>
          <w:tblCellMar>
            <w:top w:w="0" w:type="dxa"/>
            <w:left w:w="0" w:type="dxa"/>
            <w:bottom w:w="0" w:type="dxa"/>
            <w:right w:w="0" w:type="dxa"/>
          </w:tblCellMar>
        </w:tblPrEx>
        <w:trPr>
          <w:trHeight w:val="334" w:hRule="atLeast"/>
        </w:trPr>
        <w:tc>
          <w:tcPr>
            <w:tcW w:w="317"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319"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357"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2109"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745"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1892"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3121"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right"/>
              <w:textAlignment w:val="center"/>
              <w:rPr>
                <w:rFonts w:ascii="宋体" w:hAnsi="宋体" w:cs="宋体"/>
                <w:color w:val="000000"/>
                <w:szCs w:val="21"/>
              </w:rPr>
            </w:pPr>
            <w:r>
              <w:rPr>
                <w:rFonts w:hint="eastAsia" w:ascii="宋体" w:hAnsi="宋体" w:cs="宋体"/>
                <w:color w:val="000000"/>
                <w:kern w:val="0"/>
                <w:szCs w:val="21"/>
              </w:rPr>
              <w:t>公开05表</w:t>
            </w:r>
          </w:p>
        </w:tc>
      </w:tr>
      <w:tr>
        <w:tblPrEx>
          <w:tblCellMar>
            <w:top w:w="0" w:type="dxa"/>
            <w:left w:w="0" w:type="dxa"/>
            <w:bottom w:w="0" w:type="dxa"/>
            <w:right w:w="0" w:type="dxa"/>
          </w:tblCellMar>
        </w:tblPrEx>
        <w:trPr>
          <w:trHeight w:val="334" w:hRule="atLeast"/>
        </w:trPr>
        <w:tc>
          <w:tcPr>
            <w:tcW w:w="3847" w:type="dxa"/>
            <w:gridSpan w:val="5"/>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Cs w:val="21"/>
              </w:rPr>
            </w:pPr>
            <w:r>
              <w:rPr>
                <w:rFonts w:hint="eastAsia" w:ascii="宋体" w:hAnsi="宋体" w:cs="宋体"/>
                <w:color w:val="000000"/>
                <w:kern w:val="0"/>
                <w:szCs w:val="21"/>
              </w:rPr>
              <w:t>部门：</w:t>
            </w:r>
          </w:p>
        </w:tc>
        <w:tc>
          <w:tcPr>
            <w:tcW w:w="1892"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3121"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right"/>
              <w:textAlignment w:val="center"/>
              <w:rPr>
                <w:rFonts w:ascii="宋体" w:hAnsi="宋体" w:cs="宋体"/>
                <w:color w:val="000000"/>
                <w:szCs w:val="21"/>
              </w:rPr>
            </w:pPr>
            <w:r>
              <w:rPr>
                <w:rFonts w:hint="eastAsia" w:ascii="宋体" w:hAnsi="宋体" w:cs="宋体"/>
                <w:color w:val="000000"/>
                <w:kern w:val="0"/>
                <w:szCs w:val="21"/>
              </w:rPr>
              <w:t>金额单位：万元</w:t>
            </w:r>
          </w:p>
        </w:tc>
      </w:tr>
      <w:tr>
        <w:tblPrEx>
          <w:tblCellMar>
            <w:top w:w="0" w:type="dxa"/>
            <w:left w:w="0" w:type="dxa"/>
            <w:bottom w:w="0" w:type="dxa"/>
            <w:right w:w="0" w:type="dxa"/>
          </w:tblCellMar>
        </w:tblPrEx>
        <w:trPr>
          <w:trHeight w:val="351" w:hRule="atLeast"/>
        </w:trPr>
        <w:tc>
          <w:tcPr>
            <w:tcW w:w="3102"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项目</w:t>
            </w:r>
          </w:p>
        </w:tc>
        <w:tc>
          <w:tcPr>
            <w:tcW w:w="5758" w:type="dxa"/>
            <w:gridSpan w:val="5"/>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本年支出</w:t>
            </w:r>
          </w:p>
        </w:tc>
      </w:tr>
      <w:tr>
        <w:tblPrEx>
          <w:tblCellMar>
            <w:top w:w="0" w:type="dxa"/>
            <w:left w:w="0" w:type="dxa"/>
            <w:bottom w:w="0" w:type="dxa"/>
            <w:right w:w="0" w:type="dxa"/>
          </w:tblCellMar>
        </w:tblPrEx>
        <w:trPr>
          <w:trHeight w:val="334" w:hRule="atLeast"/>
        </w:trPr>
        <w:tc>
          <w:tcPr>
            <w:tcW w:w="993" w:type="dxa"/>
            <w:gridSpan w:val="3"/>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功能分类科目编码</w:t>
            </w:r>
          </w:p>
        </w:tc>
        <w:tc>
          <w:tcPr>
            <w:tcW w:w="2109"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科目名称</w:t>
            </w:r>
          </w:p>
        </w:tc>
        <w:tc>
          <w:tcPr>
            <w:tcW w:w="1919" w:type="dxa"/>
            <w:gridSpan w:val="2"/>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小计</w:t>
            </w:r>
          </w:p>
        </w:tc>
        <w:tc>
          <w:tcPr>
            <w:tcW w:w="1919" w:type="dxa"/>
            <w:gridSpan w:val="2"/>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基本支出</w:t>
            </w:r>
          </w:p>
        </w:tc>
        <w:tc>
          <w:tcPr>
            <w:tcW w:w="192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项目支出</w:t>
            </w:r>
          </w:p>
        </w:tc>
      </w:tr>
      <w:tr>
        <w:tblPrEx>
          <w:tblCellMar>
            <w:top w:w="0" w:type="dxa"/>
            <w:left w:w="0" w:type="dxa"/>
            <w:bottom w:w="0" w:type="dxa"/>
            <w:right w:w="0" w:type="dxa"/>
          </w:tblCellMar>
        </w:tblPrEx>
        <w:trPr>
          <w:trHeight w:val="334" w:hRule="atLeast"/>
        </w:trPr>
        <w:tc>
          <w:tcPr>
            <w:tcW w:w="993"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210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919"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919"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92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r>
      <w:tr>
        <w:tblPrEx>
          <w:tblCellMar>
            <w:top w:w="0" w:type="dxa"/>
            <w:left w:w="0" w:type="dxa"/>
            <w:bottom w:w="0" w:type="dxa"/>
            <w:right w:w="0" w:type="dxa"/>
          </w:tblCellMar>
        </w:tblPrEx>
        <w:trPr>
          <w:trHeight w:val="312" w:hRule="atLeast"/>
        </w:trPr>
        <w:tc>
          <w:tcPr>
            <w:tcW w:w="993"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210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919"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919"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92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r>
      <w:tr>
        <w:tblPrEx>
          <w:tblCellMar>
            <w:top w:w="0" w:type="dxa"/>
            <w:left w:w="0" w:type="dxa"/>
            <w:bottom w:w="0" w:type="dxa"/>
            <w:right w:w="0" w:type="dxa"/>
          </w:tblCellMar>
        </w:tblPrEx>
        <w:trPr>
          <w:trHeight w:val="368" w:hRule="atLeast"/>
        </w:trPr>
        <w:tc>
          <w:tcPr>
            <w:tcW w:w="3102"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栏次</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1</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2</w:t>
            </w:r>
          </w:p>
        </w:tc>
        <w:tc>
          <w:tcPr>
            <w:tcW w:w="1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3</w:t>
            </w:r>
          </w:p>
        </w:tc>
      </w:tr>
      <w:tr>
        <w:tblPrEx>
          <w:tblCellMar>
            <w:top w:w="0" w:type="dxa"/>
            <w:left w:w="0" w:type="dxa"/>
            <w:bottom w:w="0" w:type="dxa"/>
            <w:right w:w="0" w:type="dxa"/>
          </w:tblCellMar>
        </w:tblPrEx>
        <w:trPr>
          <w:trHeight w:val="452" w:hRule="atLeast"/>
        </w:trPr>
        <w:tc>
          <w:tcPr>
            <w:tcW w:w="3102"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合计</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b/>
                <w:color w:val="000000"/>
                <w:szCs w:val="21"/>
              </w:rPr>
            </w:pPr>
            <w:r>
              <w:rPr>
                <w:rFonts w:hint="eastAsia" w:ascii="宋体" w:hAnsi="宋体" w:cs="宋体"/>
                <w:b/>
                <w:color w:val="000000"/>
                <w:szCs w:val="21"/>
              </w:rPr>
              <w:t>166.72</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b/>
                <w:color w:val="000000"/>
                <w:szCs w:val="21"/>
              </w:rPr>
            </w:pPr>
            <w:r>
              <w:rPr>
                <w:rFonts w:hint="eastAsia" w:ascii="宋体" w:hAnsi="宋体" w:cs="宋体"/>
                <w:b/>
                <w:color w:val="000000"/>
                <w:szCs w:val="21"/>
              </w:rPr>
              <w:t>160.53</w:t>
            </w:r>
          </w:p>
        </w:tc>
        <w:tc>
          <w:tcPr>
            <w:tcW w:w="1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b/>
                <w:color w:val="000000"/>
                <w:szCs w:val="21"/>
              </w:rPr>
            </w:pPr>
            <w:r>
              <w:rPr>
                <w:rFonts w:hint="eastAsia" w:ascii="宋体" w:hAnsi="宋体" w:cs="宋体"/>
                <w:b/>
                <w:color w:val="000000"/>
                <w:szCs w:val="21"/>
              </w:rPr>
              <w:t>6.19</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201</w:t>
            </w:r>
          </w:p>
        </w:tc>
        <w:tc>
          <w:tcPr>
            <w:tcW w:w="21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一般公共服务支出</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144.05</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137.86</w:t>
            </w:r>
          </w:p>
        </w:tc>
        <w:tc>
          <w:tcPr>
            <w:tcW w:w="1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6.19</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20131</w:t>
            </w:r>
          </w:p>
        </w:tc>
        <w:tc>
          <w:tcPr>
            <w:tcW w:w="21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党委办公厅（室）及相关机构事务</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144.05</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137.86</w:t>
            </w:r>
          </w:p>
        </w:tc>
        <w:tc>
          <w:tcPr>
            <w:tcW w:w="1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6.19</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2013101</w:t>
            </w:r>
          </w:p>
        </w:tc>
        <w:tc>
          <w:tcPr>
            <w:tcW w:w="21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 xml:space="preserve">  行政运行</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137.86</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137.86</w:t>
            </w:r>
          </w:p>
        </w:tc>
        <w:tc>
          <w:tcPr>
            <w:tcW w:w="1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Cs w:val="21"/>
              </w:rPr>
            </w:pPr>
            <w:r>
              <w:rPr>
                <w:rFonts w:ascii="宋体" w:hAnsi="宋体" w:cs="宋体"/>
                <w:color w:val="000000"/>
                <w:kern w:val="0"/>
                <w:sz w:val="22"/>
                <w:szCs w:val="22"/>
              </w:rPr>
              <w:t>2013102</w:t>
            </w:r>
          </w:p>
        </w:tc>
        <w:tc>
          <w:tcPr>
            <w:tcW w:w="21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一般行政管理事务</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6.19</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6.19</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Cs w:val="21"/>
              </w:rPr>
            </w:pPr>
            <w:r>
              <w:rPr>
                <w:rFonts w:ascii="宋体" w:hAnsi="宋体" w:cs="宋体"/>
                <w:color w:val="000000"/>
                <w:kern w:val="0"/>
                <w:sz w:val="22"/>
                <w:szCs w:val="22"/>
              </w:rPr>
              <w:t>208</w:t>
            </w:r>
          </w:p>
        </w:tc>
        <w:tc>
          <w:tcPr>
            <w:tcW w:w="21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社会保障和就业支出</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9.67</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9.67</w:t>
            </w:r>
          </w:p>
        </w:tc>
        <w:tc>
          <w:tcPr>
            <w:tcW w:w="1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Cs w:val="21"/>
              </w:rPr>
            </w:pPr>
            <w:r>
              <w:rPr>
                <w:rFonts w:ascii="宋体" w:hAnsi="宋体" w:cs="宋体"/>
                <w:color w:val="000000"/>
                <w:kern w:val="0"/>
                <w:sz w:val="22"/>
                <w:szCs w:val="22"/>
              </w:rPr>
              <w:t>20805</w:t>
            </w:r>
          </w:p>
        </w:tc>
        <w:tc>
          <w:tcPr>
            <w:tcW w:w="21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 xml:space="preserve"> 行政事业单位离退休</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9.67</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9.67</w:t>
            </w:r>
          </w:p>
        </w:tc>
        <w:tc>
          <w:tcPr>
            <w:tcW w:w="1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2080505</w:t>
            </w:r>
          </w:p>
        </w:tc>
        <w:tc>
          <w:tcPr>
            <w:tcW w:w="21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机关事业单位基本养老保险缴费支出</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9.67</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9.67</w:t>
            </w:r>
          </w:p>
        </w:tc>
        <w:tc>
          <w:tcPr>
            <w:tcW w:w="1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210</w:t>
            </w:r>
          </w:p>
        </w:tc>
        <w:tc>
          <w:tcPr>
            <w:tcW w:w="21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 xml:space="preserve"> 医疗卫生与计划生育支出</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7.2</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7.2</w:t>
            </w:r>
          </w:p>
        </w:tc>
        <w:tc>
          <w:tcPr>
            <w:tcW w:w="1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21011</w:t>
            </w:r>
          </w:p>
        </w:tc>
        <w:tc>
          <w:tcPr>
            <w:tcW w:w="21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行政事业单位医疗</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7.2</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7.2</w:t>
            </w:r>
          </w:p>
        </w:tc>
        <w:tc>
          <w:tcPr>
            <w:tcW w:w="1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Cs w:val="21"/>
              </w:rPr>
            </w:pPr>
            <w:r>
              <w:rPr>
                <w:rFonts w:ascii="宋体" w:hAnsi="宋体" w:cs="宋体"/>
                <w:color w:val="000000"/>
                <w:kern w:val="0"/>
                <w:sz w:val="22"/>
                <w:szCs w:val="22"/>
              </w:rPr>
              <w:t>2101101</w:t>
            </w:r>
          </w:p>
        </w:tc>
        <w:tc>
          <w:tcPr>
            <w:tcW w:w="21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 xml:space="preserve">  行政单位医疗</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7.2</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7.2</w:t>
            </w:r>
          </w:p>
        </w:tc>
        <w:tc>
          <w:tcPr>
            <w:tcW w:w="1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221</w:t>
            </w:r>
          </w:p>
        </w:tc>
        <w:tc>
          <w:tcPr>
            <w:tcW w:w="21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住房保障支出</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5.8</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5.8</w:t>
            </w:r>
          </w:p>
        </w:tc>
        <w:tc>
          <w:tcPr>
            <w:tcW w:w="1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Cs w:val="21"/>
              </w:rPr>
            </w:pPr>
            <w:r>
              <w:rPr>
                <w:rFonts w:ascii="宋体" w:hAnsi="宋体" w:cs="宋体"/>
                <w:color w:val="000000"/>
                <w:kern w:val="0"/>
                <w:sz w:val="22"/>
                <w:szCs w:val="22"/>
              </w:rPr>
              <w:t>22102</w:t>
            </w:r>
          </w:p>
        </w:tc>
        <w:tc>
          <w:tcPr>
            <w:tcW w:w="21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住房改革支出</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5.8</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5.8</w:t>
            </w:r>
          </w:p>
        </w:tc>
        <w:tc>
          <w:tcPr>
            <w:tcW w:w="1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Cs w:val="21"/>
              </w:rPr>
            </w:pPr>
            <w:r>
              <w:rPr>
                <w:rFonts w:ascii="宋体" w:hAnsi="宋体" w:cs="宋体"/>
                <w:color w:val="000000"/>
                <w:kern w:val="0"/>
                <w:sz w:val="22"/>
                <w:szCs w:val="22"/>
              </w:rPr>
              <w:t>221020</w:t>
            </w:r>
          </w:p>
        </w:tc>
        <w:tc>
          <w:tcPr>
            <w:tcW w:w="21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住房公积金</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5.8</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5.8</w:t>
            </w:r>
          </w:p>
        </w:tc>
        <w:tc>
          <w:tcPr>
            <w:tcW w:w="1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68" w:hRule="atLeast"/>
        </w:trPr>
        <w:tc>
          <w:tcPr>
            <w:tcW w:w="8860" w:type="dxa"/>
            <w:gridSpan w:val="9"/>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Cs w:val="21"/>
              </w:rPr>
            </w:pPr>
            <w:r>
              <w:rPr>
                <w:rFonts w:hint="eastAsia" w:ascii="宋体" w:hAnsi="宋体" w:cs="宋体"/>
                <w:color w:val="000000"/>
                <w:kern w:val="0"/>
                <w:szCs w:val="21"/>
              </w:rPr>
              <w:t xml:space="preserve">注：本表反映部门本年度一般公共预算财政拨款收入及支出情况。      </w:t>
            </w:r>
          </w:p>
        </w:tc>
      </w:tr>
    </w:tbl>
    <w:p>
      <w:pPr>
        <w:widowControl/>
        <w:spacing w:after="0" w:line="560" w:lineRule="exact"/>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2"/>
        <w:tblW w:w="9180" w:type="dxa"/>
        <w:jc w:val="center"/>
        <w:tblLayout w:type="fixed"/>
        <w:tblCellMar>
          <w:top w:w="0" w:type="dxa"/>
          <w:left w:w="0" w:type="dxa"/>
          <w:bottom w:w="0" w:type="dxa"/>
          <w:right w:w="0" w:type="dxa"/>
        </w:tblCellMar>
      </w:tblPr>
      <w:tblGrid>
        <w:gridCol w:w="558"/>
        <w:gridCol w:w="1597"/>
        <w:gridCol w:w="840"/>
        <w:gridCol w:w="477"/>
        <w:gridCol w:w="1763"/>
        <w:gridCol w:w="740"/>
        <w:gridCol w:w="560"/>
        <w:gridCol w:w="1788"/>
        <w:gridCol w:w="857"/>
      </w:tblGrid>
      <w:tr>
        <w:tblPrEx>
          <w:tblCellMar>
            <w:top w:w="0" w:type="dxa"/>
            <w:left w:w="0" w:type="dxa"/>
            <w:bottom w:w="0" w:type="dxa"/>
            <w:right w:w="0" w:type="dxa"/>
          </w:tblCellMar>
        </w:tblPrEx>
        <w:trPr>
          <w:trHeight w:val="526" w:hRule="atLeast"/>
          <w:jc w:val="center"/>
        </w:trPr>
        <w:tc>
          <w:tcPr>
            <w:tcW w:w="9180" w:type="dxa"/>
            <w:gridSpan w:val="9"/>
            <w:tcBorders>
              <w:top w:val="nil"/>
              <w:left w:val="nil"/>
              <w:bottom w:val="nil"/>
              <w:right w:val="nil"/>
            </w:tcBorders>
            <w:shd w:val="clear" w:color="auto" w:fill="auto"/>
            <w:tcMar>
              <w:top w:w="15" w:type="dxa"/>
              <w:left w:w="15" w:type="dxa"/>
              <w:right w:w="15" w:type="dxa"/>
            </w:tcMar>
            <w:vAlign w:val="center"/>
          </w:tcPr>
          <w:p>
            <w:pPr>
              <w:widowControl/>
              <w:spacing w:after="0" w:line="240" w:lineRule="auto"/>
              <w:jc w:val="center"/>
              <w:textAlignment w:val="center"/>
              <w:rPr>
                <w:rFonts w:ascii="黑体" w:hAnsi="宋体" w:eastAsia="黑体" w:cs="黑体"/>
                <w:color w:val="000000"/>
                <w:sz w:val="40"/>
                <w:szCs w:val="40"/>
              </w:rPr>
            </w:pPr>
            <w:r>
              <w:rPr>
                <w:rFonts w:hint="eastAsia" w:ascii="黑体" w:hAnsi="宋体" w:eastAsia="黑体" w:cs="黑体"/>
                <w:color w:val="000000"/>
                <w:kern w:val="0"/>
                <w:sz w:val="40"/>
                <w:szCs w:val="40"/>
              </w:rPr>
              <w:t>一般公共预算财政拨款基本支出决算表</w:t>
            </w:r>
          </w:p>
        </w:tc>
      </w:tr>
      <w:tr>
        <w:tblPrEx>
          <w:tblCellMar>
            <w:top w:w="0" w:type="dxa"/>
            <w:left w:w="0" w:type="dxa"/>
            <w:bottom w:w="0" w:type="dxa"/>
            <w:right w:w="0" w:type="dxa"/>
          </w:tblCellMar>
        </w:tblPrEx>
        <w:trPr>
          <w:trHeight w:val="269" w:hRule="atLeast"/>
          <w:jc w:val="center"/>
        </w:trPr>
        <w:tc>
          <w:tcPr>
            <w:tcW w:w="558"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1597"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84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477"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1763"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74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56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2645"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uto"/>
              <w:jc w:val="right"/>
              <w:textAlignment w:val="center"/>
              <w:rPr>
                <w:rFonts w:ascii="宋体" w:hAnsi="宋体" w:cs="宋体"/>
                <w:color w:val="000000"/>
                <w:sz w:val="22"/>
                <w:szCs w:val="22"/>
              </w:rPr>
            </w:pPr>
            <w:r>
              <w:rPr>
                <w:rFonts w:hint="eastAsia" w:ascii="宋体" w:hAnsi="宋体" w:cs="宋体"/>
                <w:color w:val="000000"/>
                <w:kern w:val="0"/>
                <w:sz w:val="22"/>
                <w:szCs w:val="22"/>
              </w:rPr>
              <w:t>公开06表</w:t>
            </w:r>
          </w:p>
        </w:tc>
      </w:tr>
      <w:tr>
        <w:tblPrEx>
          <w:tblCellMar>
            <w:top w:w="0" w:type="dxa"/>
            <w:left w:w="0" w:type="dxa"/>
            <w:bottom w:w="0" w:type="dxa"/>
            <w:right w:w="0" w:type="dxa"/>
          </w:tblCellMar>
        </w:tblPrEx>
        <w:trPr>
          <w:trHeight w:val="269" w:hRule="atLeast"/>
          <w:jc w:val="center"/>
        </w:trPr>
        <w:tc>
          <w:tcPr>
            <w:tcW w:w="5235" w:type="dxa"/>
            <w:gridSpan w:val="5"/>
            <w:tcBorders>
              <w:top w:val="nil"/>
              <w:left w:val="nil"/>
              <w:bottom w:val="nil"/>
              <w:right w:val="nil"/>
            </w:tcBorders>
            <w:shd w:val="clear" w:color="auto" w:fill="auto"/>
            <w:tcMar>
              <w:top w:w="15" w:type="dxa"/>
              <w:left w:w="15" w:type="dxa"/>
              <w:right w:w="15" w:type="dxa"/>
            </w:tcMar>
            <w:vAlign w:val="center"/>
          </w:tcPr>
          <w:p>
            <w:pPr>
              <w:widowControl/>
              <w:spacing w:after="0" w:line="240" w:lineRule="auto"/>
              <w:jc w:val="left"/>
              <w:textAlignment w:val="center"/>
              <w:rPr>
                <w:rFonts w:ascii="宋体" w:hAnsi="宋体" w:cs="宋体"/>
                <w:color w:val="000000"/>
                <w:sz w:val="22"/>
                <w:szCs w:val="22"/>
              </w:rPr>
            </w:pPr>
            <w:r>
              <w:rPr>
                <w:rFonts w:hint="eastAsia" w:ascii="宋体" w:hAnsi="宋体" w:cs="宋体"/>
                <w:color w:val="000000"/>
                <w:kern w:val="0"/>
                <w:sz w:val="22"/>
                <w:szCs w:val="22"/>
              </w:rPr>
              <w:t>部门：</w:t>
            </w:r>
            <w:r>
              <w:rPr>
                <w:sz w:val="44"/>
              </w:rPr>
              <w:pict>
                <v:group id="_x0000_s1069" o:spid="_x0000_s1069" o:spt="203" style="position:absolute;left:0pt;margin-left:-73.25pt;margin-top:-129.4pt;height:41.2pt;width:243.2pt;mso-position-vertical-relative:page;z-index:251661312;mso-width-relative:page;mso-height-relative:page;" coordorigin="4551,52615" coordsize="8546,1398203" o:gfxdata="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">
                  <o:lock v:ext="edit"/>
                  <v:rect id="矩形 13" o:spid="_x0000_s1071" o:spt="1" style="position:absolute;left:4551;top:52615;height:1175;width:8546;v-text-anchor:middle;" fillcolor="#D9D9D9" filled="t" stroked="f" coordsize="21600,21600" o:gfxdata="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B7Jg3rugAAANsA&#10;AAAPAAAAAAAAAAEAIAAAACIAAABkcnMvZG93bnJldi54bWxQSwECFAAUAAAACACHTuJAMy8FnjsA&#10;AAA5AAAAEAAAAAAAAAABACAAAAAJAQAAZHJzL3NoYXBleG1sLnhtbFBLBQYAAAAABgAGAFsBAACz&#10;AwAAAAA=&#10;">
                    <v:path/>
                    <v:fill on="t" focussize="0,0"/>
                    <v:stroke on="f" weight="2pt"/>
                    <v:imagedata o:title=""/>
                    <o:lock v:ext="edit"/>
                  </v:rect>
                  <v:rect id="矩形 14" o:spid="_x0000_s1070" o:spt="1" style="position:absolute;left:4577;top:52890;height:1123;width:8324;v-text-anchor:middle;" fillcolor="#AD002D" filled="t" stroked="t" coordsize="21600,21600" o:gfxdata="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ncPsRrsAAADb&#10;AAAADwAAAAAAAAABACAAAAAiAAAAZHJzL2Rvd25yZXYueG1sUEsBAhQAFAAAAAgAh07iQDMvBZ47&#10;AAAAOQAAABAAAAAAAAAAAQAgAAAACgEAAGRycy9zaGFwZXhtbC54bWxQSwUGAAAAAAYABgBbAQAA&#10;tAMAAAAA&#10;">
                    <v:path/>
                    <v:fill on="t" focussize="0,0"/>
                    <v:stroke weight="2pt" color="#B0761F" joinstyle="round"/>
                    <v:imagedata o:title=""/>
                    <o:lock v:ext="edit"/>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2018年度部门决算☞决算报表</w:t>
                          </w:r>
                        </w:p>
                        <w:p>
                          <w:pPr>
                            <w:jc w:val="center"/>
                          </w:pPr>
                        </w:p>
                      </w:txbxContent>
                    </v:textbox>
                  </v:rect>
                  <w10:anchorlock/>
                </v:group>
              </w:pict>
            </w:r>
          </w:p>
        </w:tc>
        <w:tc>
          <w:tcPr>
            <w:tcW w:w="74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56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2645"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uto"/>
              <w:jc w:val="right"/>
              <w:textAlignment w:val="center"/>
              <w:rPr>
                <w:rFonts w:ascii="宋体" w:hAnsi="宋体" w:cs="宋体"/>
                <w:color w:val="000000"/>
                <w:sz w:val="22"/>
                <w:szCs w:val="22"/>
              </w:rPr>
            </w:pPr>
            <w:r>
              <w:rPr>
                <w:rFonts w:hint="eastAsia" w:ascii="宋体" w:hAnsi="宋体" w:cs="宋体"/>
                <w:color w:val="000000"/>
                <w:kern w:val="0"/>
                <w:sz w:val="22"/>
                <w:szCs w:val="22"/>
              </w:rPr>
              <w:t>金额单位：万元</w:t>
            </w:r>
          </w:p>
        </w:tc>
      </w:tr>
      <w:tr>
        <w:tblPrEx>
          <w:tblCellMar>
            <w:top w:w="0" w:type="dxa"/>
            <w:left w:w="0" w:type="dxa"/>
            <w:bottom w:w="0" w:type="dxa"/>
            <w:right w:w="0" w:type="dxa"/>
          </w:tblCellMar>
        </w:tblPrEx>
        <w:trPr>
          <w:trHeight w:val="277" w:hRule="atLeast"/>
          <w:jc w:val="center"/>
        </w:trPr>
        <w:tc>
          <w:tcPr>
            <w:tcW w:w="2995"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人员经费</w:t>
            </w:r>
          </w:p>
        </w:tc>
        <w:tc>
          <w:tcPr>
            <w:tcW w:w="6185" w:type="dxa"/>
            <w:gridSpan w:val="6"/>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公用经费</w:t>
            </w:r>
          </w:p>
        </w:tc>
      </w:tr>
      <w:tr>
        <w:tblPrEx>
          <w:tblCellMar>
            <w:top w:w="0" w:type="dxa"/>
            <w:left w:w="0" w:type="dxa"/>
            <w:bottom w:w="0" w:type="dxa"/>
            <w:right w:w="0" w:type="dxa"/>
          </w:tblCellMar>
        </w:tblPrEx>
        <w:trPr>
          <w:trHeight w:val="312" w:hRule="atLeast"/>
          <w:jc w:val="center"/>
        </w:trPr>
        <w:tc>
          <w:tcPr>
            <w:tcW w:w="558" w:type="dxa"/>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科目编码</w:t>
            </w:r>
          </w:p>
        </w:tc>
        <w:tc>
          <w:tcPr>
            <w:tcW w:w="1597"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科目名称</w:t>
            </w:r>
          </w:p>
        </w:tc>
        <w:tc>
          <w:tcPr>
            <w:tcW w:w="84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决算数</w:t>
            </w:r>
          </w:p>
        </w:tc>
        <w:tc>
          <w:tcPr>
            <w:tcW w:w="477"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科目编码</w:t>
            </w:r>
          </w:p>
        </w:tc>
        <w:tc>
          <w:tcPr>
            <w:tcW w:w="1763"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科目名称</w:t>
            </w:r>
          </w:p>
        </w:tc>
        <w:tc>
          <w:tcPr>
            <w:tcW w:w="74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决算数</w:t>
            </w:r>
          </w:p>
        </w:tc>
        <w:tc>
          <w:tcPr>
            <w:tcW w:w="56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科目编码</w:t>
            </w:r>
          </w:p>
        </w:tc>
        <w:tc>
          <w:tcPr>
            <w:tcW w:w="1788"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科目名称</w:t>
            </w:r>
          </w:p>
        </w:tc>
        <w:tc>
          <w:tcPr>
            <w:tcW w:w="857"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决算数</w:t>
            </w:r>
          </w:p>
        </w:tc>
      </w:tr>
      <w:tr>
        <w:tblPrEx>
          <w:tblCellMar>
            <w:top w:w="0" w:type="dxa"/>
            <w:left w:w="0" w:type="dxa"/>
            <w:bottom w:w="0" w:type="dxa"/>
            <w:right w:w="0" w:type="dxa"/>
          </w:tblCellMar>
        </w:tblPrEx>
        <w:trPr>
          <w:trHeight w:val="312" w:hRule="atLeast"/>
          <w:jc w:val="center"/>
        </w:trPr>
        <w:tc>
          <w:tcPr>
            <w:tcW w:w="558" w:type="dxa"/>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1597"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84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477"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1763"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74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56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1788"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857"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工资福利支出</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125.28</w:t>
            </w: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商品和服务支出</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29.60</w:t>
            </w: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307</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债务利息及费用支出</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30101</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基本工资</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24.54</w:t>
            </w: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30201</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办公费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1.78</w:t>
            </w: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30701</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国内债务付息</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30102</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津贴补贴</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28.04</w:t>
            </w: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30202</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印刷费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30702</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国外债务付息</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30103</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奖金</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50</w:t>
            </w: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30203</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咨询费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资本性支出</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r>
              <w:rPr>
                <w:rFonts w:hint="eastAsia" w:ascii="宋体" w:hAnsi="宋体" w:cs="宋体"/>
                <w:color w:val="000000"/>
                <w:sz w:val="20"/>
                <w:szCs w:val="20"/>
              </w:rPr>
              <w:t>1.48</w:t>
            </w: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30106</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伙食补助费</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30204</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手续费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31001</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房屋建筑物购建</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30107</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绩效工资</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30205</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水费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31002</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办公设备购置</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r>
              <w:rPr>
                <w:rFonts w:hint="eastAsia" w:ascii="宋体" w:hAnsi="宋体" w:cs="宋体"/>
                <w:color w:val="000000"/>
                <w:sz w:val="20"/>
                <w:szCs w:val="20"/>
              </w:rPr>
              <w:t>1.48</w:t>
            </w:r>
          </w:p>
        </w:tc>
      </w:tr>
      <w:tr>
        <w:tblPrEx>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30108</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机关事业单位基本养老保险缴费</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9.67</w:t>
            </w: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30206</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电费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31003</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专用设备购置</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30109</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职业年金缴费</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30207</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邮电费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7.58</w:t>
            </w: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31005</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基础设施建设</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30110</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职工基本医疗保险缴费</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7.2</w:t>
            </w: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30208</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取暖费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6.95</w:t>
            </w: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31006</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大型修缮</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30111</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公务员医疗补助缴费</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30209</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物业管理费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31007</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信息网络及软件购置更新</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30112</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其他社会保障缴费</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30211</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差旅费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31008</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物资储备</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30113</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住房公积金</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5.8</w:t>
            </w: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30212</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因公出国（境）费用</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31009</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土地补偿</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30114</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医疗费</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30213</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维修（护）费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31010</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安置补助</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30199</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其他工资福利支出</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30214</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租赁费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31011</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地上附着物和青苗补偿</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对个人和家庭的补助</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4.16</w:t>
            </w: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30215</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会议费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31012</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拆迁补偿</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30301</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离休费</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30216</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培训费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31013</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公务用车购置</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30302</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退休费</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1.78</w:t>
            </w: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30217</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公务接待费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31019</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其他交通工具购置</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30303</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退职（役）费</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30218</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专用材料费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31021</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文物和陈列品购置</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30304</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抚恤金</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30224</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被装购置费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31022</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无形资产购置</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30305</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生活补助</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2.38</w:t>
            </w: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30225</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专用燃料费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31099</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其他资本性支出</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30306</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救济费</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30226</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劳务费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8.84</w:t>
            </w: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399</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其他支出</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30307</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医疗费补助</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30227</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委托业务费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39906</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赠与</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30308</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助学金</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30228</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工会经费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39907</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国家赔偿费用支出</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420"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30309</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奖励金</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30229</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福利费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39908</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对民间非营利组织和群众性自治组织补贴</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30310</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个人农业生产补贴</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30231</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公务用车运行维护费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0.20</w:t>
            </w: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39999</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其他支出</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30399</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其他对个人和家庭的补助支出</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30239</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其他交通费用</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4.26</w:t>
            </w: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30240</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税金及附加费用</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30299</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其他商品和服务支出</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317" w:hRule="atLeast"/>
          <w:jc w:val="center"/>
        </w:trPr>
        <w:tc>
          <w:tcPr>
            <w:tcW w:w="2155"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center"/>
              <w:textAlignment w:val="center"/>
              <w:rPr>
                <w:rFonts w:ascii="宋体" w:hAnsi="宋体" w:cs="宋体"/>
                <w:color w:val="000000"/>
                <w:sz w:val="16"/>
                <w:szCs w:val="16"/>
              </w:rPr>
            </w:pPr>
            <w:r>
              <w:rPr>
                <w:rFonts w:hint="eastAsia" w:ascii="宋体" w:hAnsi="宋体" w:cs="宋体"/>
                <w:color w:val="000000"/>
                <w:kern w:val="0"/>
                <w:sz w:val="16"/>
                <w:szCs w:val="16"/>
              </w:rPr>
              <w:t>人员经费合计</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129.45</w:t>
            </w:r>
          </w:p>
        </w:tc>
        <w:tc>
          <w:tcPr>
            <w:tcW w:w="5328" w:type="dxa"/>
            <w:gridSpan w:val="5"/>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center"/>
              <w:textAlignment w:val="center"/>
              <w:rPr>
                <w:rFonts w:ascii="宋体" w:hAnsi="宋体" w:cs="宋体"/>
                <w:color w:val="000000"/>
                <w:sz w:val="16"/>
                <w:szCs w:val="16"/>
              </w:rPr>
            </w:pPr>
            <w:r>
              <w:rPr>
                <w:rFonts w:hint="eastAsia" w:ascii="宋体" w:hAnsi="宋体" w:cs="宋体"/>
                <w:color w:val="000000"/>
                <w:kern w:val="0"/>
                <w:sz w:val="16"/>
                <w:szCs w:val="16"/>
              </w:rPr>
              <w:t>公用经费合计</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31.08</w:t>
            </w:r>
          </w:p>
        </w:tc>
      </w:tr>
      <w:tr>
        <w:tblPrEx>
          <w:tblCellMar>
            <w:top w:w="0" w:type="dxa"/>
            <w:left w:w="0" w:type="dxa"/>
            <w:bottom w:w="0" w:type="dxa"/>
            <w:right w:w="0" w:type="dxa"/>
          </w:tblCellMar>
        </w:tblPrEx>
        <w:trPr>
          <w:trHeight w:val="277" w:hRule="atLeast"/>
          <w:jc w:val="center"/>
        </w:trPr>
        <w:tc>
          <w:tcPr>
            <w:tcW w:w="9180" w:type="dxa"/>
            <w:gridSpan w:val="9"/>
            <w:tcBorders>
              <w:top w:val="nil"/>
              <w:left w:val="nil"/>
              <w:bottom w:val="nil"/>
              <w:right w:val="nil"/>
            </w:tcBorders>
            <w:shd w:val="clear" w:color="auto" w:fill="auto"/>
            <w:tcMar>
              <w:top w:w="15" w:type="dxa"/>
              <w:left w:w="15" w:type="dxa"/>
              <w:right w:w="15" w:type="dxa"/>
            </w:tcMar>
            <w:vAlign w:val="center"/>
          </w:tcPr>
          <w:p>
            <w:pPr>
              <w:widowControl/>
              <w:spacing w:after="0" w:line="240" w:lineRule="auto"/>
              <w:jc w:val="left"/>
              <w:textAlignment w:val="center"/>
              <w:rPr>
                <w:rFonts w:ascii="宋体" w:hAnsi="宋体" w:cs="宋体"/>
                <w:color w:val="000000"/>
                <w:sz w:val="20"/>
                <w:szCs w:val="20"/>
              </w:rPr>
            </w:pPr>
            <w:r>
              <w:rPr>
                <w:rFonts w:hint="eastAsia" w:ascii="宋体" w:hAnsi="宋体" w:cs="宋体"/>
                <w:color w:val="000000"/>
                <w:kern w:val="0"/>
                <w:sz w:val="20"/>
                <w:szCs w:val="20"/>
              </w:rPr>
              <w:t xml:space="preserve">注：本表反映部门本年度一般公共预算财政拨款基本支出明细情况。        </w:t>
            </w:r>
          </w:p>
        </w:tc>
      </w:tr>
    </w:tbl>
    <w:p>
      <w:pPr>
        <w:widowControl/>
        <w:spacing w:after="0" w:line="560" w:lineRule="exact"/>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2"/>
        <w:tblW w:w="8800" w:type="dxa"/>
        <w:jc w:val="center"/>
        <w:tblLayout w:type="fixed"/>
        <w:tblCellMar>
          <w:top w:w="0" w:type="dxa"/>
          <w:left w:w="0" w:type="dxa"/>
          <w:bottom w:w="0" w:type="dxa"/>
          <w:right w:w="0" w:type="dxa"/>
        </w:tblCellMar>
      </w:tblPr>
      <w:tblGrid>
        <w:gridCol w:w="1158"/>
        <w:gridCol w:w="1527"/>
        <w:gridCol w:w="1528"/>
        <w:gridCol w:w="1530"/>
        <w:gridCol w:w="1530"/>
        <w:gridCol w:w="1527"/>
      </w:tblGrid>
      <w:tr>
        <w:tblPrEx>
          <w:tblCellMar>
            <w:top w:w="0" w:type="dxa"/>
            <w:left w:w="0" w:type="dxa"/>
            <w:bottom w:w="0" w:type="dxa"/>
            <w:right w:w="0" w:type="dxa"/>
          </w:tblCellMar>
        </w:tblPrEx>
        <w:trPr>
          <w:trHeight w:val="584" w:hRule="atLeast"/>
          <w:jc w:val="center"/>
        </w:trPr>
        <w:tc>
          <w:tcPr>
            <w:tcW w:w="8800" w:type="dxa"/>
            <w:gridSpan w:val="6"/>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黑体" w:hAnsi="宋体" w:eastAsia="黑体" w:cs="黑体"/>
                <w:color w:val="000000"/>
                <w:sz w:val="40"/>
                <w:szCs w:val="40"/>
              </w:rPr>
            </w:pPr>
            <w:r>
              <w:rPr>
                <w:rFonts w:hint="eastAsia" w:ascii="黑体" w:hAnsi="宋体" w:eastAsia="黑体" w:cs="黑体"/>
                <w:color w:val="000000"/>
                <w:kern w:val="0"/>
                <w:sz w:val="40"/>
                <w:szCs w:val="40"/>
              </w:rPr>
              <w:t>一般公共预算财政拨款“</w:t>
            </w:r>
            <w:r>
              <w:rPr>
                <w:sz w:val="44"/>
              </w:rPr>
              <w:pict>
                <v:group id="_x0000_s1066" o:spid="_x0000_s1066" o:spt="203" style="position:absolute;left:0pt;margin-left:-82.75pt;margin-top:-81.1pt;height:41.2pt;width:243.2pt;mso-position-vertical-relative:page;z-index:251662336;mso-width-relative:page;mso-height-relative:page;" coordorigin="4551,52615" coordsize="8546,1398203" o:gfxdata="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">
                  <o:lock v:ext="edit"/>
                  <v:rect id="矩形 13" o:spid="_x0000_s1068" o:spt="1" style="position:absolute;left:4551;top:52615;height:1175;width:8546;v-text-anchor:middle;" fillcolor="#D9D9D9" filled="t" stroked="f" coordsize="21600,21600" o:gfxdata="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i/STnL4A&#10;AADbAAAADwAAAAAAAAABACAAAAAiAAAAZHJzL2Rvd25yZXYueG1sUEsBAhQAFAAAAAgAh07iQDMv&#10;BZ47AAAAOQAAABAAAAAAAAAAAQAgAAAADQEAAGRycy9zaGFwZXhtbC54bWxQSwUGAAAAAAYABgBb&#10;AQAAtwMAAAAA&#10;">
                    <v:path/>
                    <v:fill on="t" focussize="0,0"/>
                    <v:stroke on="f" weight="2pt"/>
                    <v:imagedata o:title=""/>
                    <o:lock v:ext="edit"/>
                  </v:rect>
                  <v:rect id="矩形 14" o:spid="_x0000_s1067" o:spt="1" style="position:absolute;left:4577;top:52890;height:1123;width:8324;v-text-anchor:middle;" fillcolor="#AD002D" filled="t" stroked="t" coordsize="21600,21600" o:gfxdata="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jbRP3rsAAADb&#10;AAAADwAAAAAAAAABACAAAAAiAAAAZHJzL2Rvd25yZXYueG1sUEsBAhQAFAAAAAgAh07iQDMvBZ47&#10;AAAAOQAAABAAAAAAAAAAAQAgAAAACgEAAGRycy9zaGFwZXhtbC54bWxQSwUGAAAAAAYABgBbAQAA&#10;tAMAAAAA&#10;">
                    <v:path/>
                    <v:fill on="t" focussize="0,0"/>
                    <v:stroke weight="2pt" color="#B0761F" joinstyle="round"/>
                    <v:imagedata o:title=""/>
                    <o:lock v:ext="edit"/>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2018年度部门决算☞决算报表</w:t>
                          </w:r>
                        </w:p>
                        <w:p>
                          <w:pPr>
                            <w:jc w:val="center"/>
                          </w:pPr>
                        </w:p>
                      </w:txbxContent>
                    </v:textbox>
                  </v:rect>
                  <w10:anchorlock/>
                </v:group>
              </w:pict>
            </w:r>
            <w:r>
              <w:rPr>
                <w:rFonts w:hint="eastAsia" w:ascii="黑体" w:hAnsi="宋体" w:eastAsia="黑体" w:cs="黑体"/>
                <w:color w:val="000000"/>
                <w:kern w:val="0"/>
                <w:sz w:val="40"/>
                <w:szCs w:val="40"/>
              </w:rPr>
              <w:t>三公”经费支出决算表</w:t>
            </w:r>
          </w:p>
        </w:tc>
      </w:tr>
      <w:tr>
        <w:tblPrEx>
          <w:tblCellMar>
            <w:top w:w="0" w:type="dxa"/>
            <w:left w:w="0" w:type="dxa"/>
            <w:bottom w:w="0" w:type="dxa"/>
            <w:right w:w="0" w:type="dxa"/>
          </w:tblCellMar>
        </w:tblPrEx>
        <w:trPr>
          <w:trHeight w:val="347" w:hRule="atLeast"/>
          <w:jc w:val="center"/>
        </w:trPr>
        <w:tc>
          <w:tcPr>
            <w:tcW w:w="1158" w:type="dxa"/>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rPr>
                <w:rFonts w:ascii="Arial" w:hAnsi="Arial" w:cs="Arial"/>
                <w:color w:val="000000"/>
                <w:sz w:val="20"/>
                <w:szCs w:val="20"/>
              </w:rPr>
            </w:pPr>
          </w:p>
        </w:tc>
        <w:tc>
          <w:tcPr>
            <w:tcW w:w="1527" w:type="dxa"/>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rPr>
                <w:rFonts w:ascii="Arial" w:hAnsi="Arial" w:cs="Arial"/>
                <w:color w:val="000000"/>
                <w:sz w:val="20"/>
                <w:szCs w:val="20"/>
              </w:rPr>
            </w:pPr>
          </w:p>
        </w:tc>
        <w:tc>
          <w:tcPr>
            <w:tcW w:w="1528" w:type="dxa"/>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rPr>
                <w:rFonts w:ascii="Arial" w:hAnsi="Arial" w:cs="Arial"/>
                <w:color w:val="000000"/>
                <w:sz w:val="20"/>
                <w:szCs w:val="20"/>
              </w:rPr>
            </w:pPr>
          </w:p>
        </w:tc>
        <w:tc>
          <w:tcPr>
            <w:tcW w:w="1530" w:type="dxa"/>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rPr>
                <w:rFonts w:ascii="Arial" w:hAnsi="Arial" w:cs="Arial"/>
                <w:color w:val="000000"/>
                <w:sz w:val="20"/>
                <w:szCs w:val="20"/>
              </w:rPr>
            </w:pPr>
          </w:p>
        </w:tc>
        <w:tc>
          <w:tcPr>
            <w:tcW w:w="1530" w:type="dxa"/>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rPr>
                <w:rFonts w:ascii="Arial" w:hAnsi="Arial" w:cs="Arial"/>
                <w:color w:val="000000"/>
                <w:sz w:val="20"/>
                <w:szCs w:val="20"/>
              </w:rPr>
            </w:pPr>
          </w:p>
        </w:tc>
        <w:tc>
          <w:tcPr>
            <w:tcW w:w="1527" w:type="dxa"/>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jc w:val="right"/>
              <w:textAlignment w:val="center"/>
              <w:rPr>
                <w:rFonts w:ascii="宋体" w:hAnsi="宋体" w:cs="宋体"/>
                <w:color w:val="000000"/>
                <w:sz w:val="20"/>
                <w:szCs w:val="20"/>
              </w:rPr>
            </w:pPr>
            <w:r>
              <w:rPr>
                <w:rFonts w:hint="eastAsia" w:ascii="宋体" w:hAnsi="宋体" w:cs="宋体"/>
                <w:color w:val="000000"/>
                <w:kern w:val="0"/>
                <w:sz w:val="20"/>
                <w:szCs w:val="20"/>
              </w:rPr>
              <w:t>公开07表</w:t>
            </w:r>
          </w:p>
        </w:tc>
      </w:tr>
      <w:tr>
        <w:tblPrEx>
          <w:tblCellMar>
            <w:top w:w="0" w:type="dxa"/>
            <w:left w:w="0" w:type="dxa"/>
            <w:bottom w:w="0" w:type="dxa"/>
            <w:right w:w="0" w:type="dxa"/>
          </w:tblCellMar>
        </w:tblPrEx>
        <w:trPr>
          <w:trHeight w:val="347" w:hRule="atLeast"/>
          <w:jc w:val="center"/>
        </w:trPr>
        <w:tc>
          <w:tcPr>
            <w:tcW w:w="7273" w:type="dxa"/>
            <w:gridSpan w:val="5"/>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jc w:val="left"/>
              <w:textAlignment w:val="center"/>
              <w:rPr>
                <w:rFonts w:ascii="宋体" w:hAnsi="宋体" w:cs="宋体"/>
                <w:color w:val="000000"/>
                <w:sz w:val="20"/>
                <w:szCs w:val="20"/>
              </w:rPr>
            </w:pPr>
            <w:r>
              <w:rPr>
                <w:rFonts w:hint="eastAsia" w:ascii="宋体" w:hAnsi="宋体" w:cs="宋体"/>
                <w:color w:val="000000"/>
                <w:kern w:val="0"/>
                <w:sz w:val="20"/>
                <w:szCs w:val="20"/>
              </w:rPr>
              <w:t>部门：</w:t>
            </w:r>
          </w:p>
        </w:tc>
        <w:tc>
          <w:tcPr>
            <w:tcW w:w="1527" w:type="dxa"/>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jc w:val="right"/>
              <w:textAlignment w:val="center"/>
              <w:rPr>
                <w:rFonts w:ascii="宋体" w:hAnsi="宋体" w:cs="宋体"/>
                <w:color w:val="000000"/>
                <w:sz w:val="20"/>
                <w:szCs w:val="20"/>
              </w:rPr>
            </w:pPr>
            <w:r>
              <w:rPr>
                <w:rFonts w:hint="eastAsia" w:ascii="宋体" w:hAnsi="宋体" w:cs="宋体"/>
                <w:color w:val="000000"/>
                <w:kern w:val="0"/>
                <w:sz w:val="20"/>
                <w:szCs w:val="20"/>
              </w:rPr>
              <w:t>金额单位：万元</w:t>
            </w:r>
          </w:p>
        </w:tc>
      </w:tr>
      <w:tr>
        <w:tblPrEx>
          <w:tblCellMar>
            <w:top w:w="0" w:type="dxa"/>
            <w:left w:w="0" w:type="dxa"/>
            <w:bottom w:w="0" w:type="dxa"/>
            <w:right w:w="0" w:type="dxa"/>
          </w:tblCellMar>
        </w:tblPrEx>
        <w:trPr>
          <w:trHeight w:val="482" w:hRule="atLeast"/>
          <w:jc w:val="center"/>
        </w:trPr>
        <w:tc>
          <w:tcPr>
            <w:tcW w:w="8800"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预算数</w:t>
            </w:r>
          </w:p>
        </w:tc>
      </w:tr>
      <w:tr>
        <w:tblPrEx>
          <w:tblCellMar>
            <w:top w:w="0" w:type="dxa"/>
            <w:left w:w="0" w:type="dxa"/>
            <w:bottom w:w="0" w:type="dxa"/>
            <w:right w:w="0" w:type="dxa"/>
          </w:tblCellMar>
        </w:tblPrEx>
        <w:trPr>
          <w:trHeight w:val="435" w:hRule="atLeast"/>
          <w:jc w:val="center"/>
        </w:trPr>
        <w:tc>
          <w:tcPr>
            <w:tcW w:w="1158"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合计</w:t>
            </w:r>
          </w:p>
        </w:tc>
        <w:tc>
          <w:tcPr>
            <w:tcW w:w="152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因公出国（境）费</w:t>
            </w:r>
          </w:p>
        </w:tc>
        <w:tc>
          <w:tcPr>
            <w:tcW w:w="4588"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公务用车购置及运行费</w:t>
            </w:r>
          </w:p>
        </w:tc>
        <w:tc>
          <w:tcPr>
            <w:tcW w:w="152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公务接待费</w:t>
            </w:r>
          </w:p>
        </w:tc>
      </w:tr>
      <w:tr>
        <w:tblPrEx>
          <w:tblCellMar>
            <w:top w:w="0" w:type="dxa"/>
            <w:left w:w="0" w:type="dxa"/>
            <w:bottom w:w="0" w:type="dxa"/>
            <w:right w:w="0" w:type="dxa"/>
          </w:tblCellMar>
        </w:tblPrEx>
        <w:trPr>
          <w:trHeight w:val="686" w:hRule="atLeast"/>
          <w:jc w:val="center"/>
        </w:trPr>
        <w:tc>
          <w:tcPr>
            <w:tcW w:w="115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52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52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小计</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公务用车购置费</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公务用车运行费</w:t>
            </w:r>
          </w:p>
        </w:tc>
        <w:tc>
          <w:tcPr>
            <w:tcW w:w="152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r>
      <w:tr>
        <w:tblPrEx>
          <w:tblCellMar>
            <w:top w:w="0" w:type="dxa"/>
            <w:left w:w="0" w:type="dxa"/>
            <w:bottom w:w="0" w:type="dxa"/>
            <w:right w:w="0" w:type="dxa"/>
          </w:tblCellMar>
        </w:tblPrEx>
        <w:trPr>
          <w:trHeight w:val="435" w:hRule="atLeast"/>
          <w:jc w:val="center"/>
        </w:trPr>
        <w:tc>
          <w:tcPr>
            <w:tcW w:w="115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1</w:t>
            </w:r>
          </w:p>
        </w:tc>
        <w:tc>
          <w:tcPr>
            <w:tcW w:w="152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2</w:t>
            </w:r>
          </w:p>
        </w:tc>
        <w:tc>
          <w:tcPr>
            <w:tcW w:w="152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3</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4</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5</w:t>
            </w:r>
          </w:p>
        </w:tc>
        <w:tc>
          <w:tcPr>
            <w:tcW w:w="152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6</w:t>
            </w:r>
          </w:p>
        </w:tc>
      </w:tr>
      <w:tr>
        <w:tblPrEx>
          <w:tblCellMar>
            <w:top w:w="0" w:type="dxa"/>
            <w:left w:w="0" w:type="dxa"/>
            <w:bottom w:w="0" w:type="dxa"/>
            <w:right w:w="0" w:type="dxa"/>
          </w:tblCellMar>
        </w:tblPrEx>
        <w:trPr>
          <w:trHeight w:val="435" w:hRule="atLeast"/>
          <w:jc w:val="center"/>
        </w:trPr>
        <w:tc>
          <w:tcPr>
            <w:tcW w:w="115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27000</w:t>
            </w:r>
          </w:p>
        </w:tc>
        <w:tc>
          <w:tcPr>
            <w:tcW w:w="152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0</w:t>
            </w:r>
          </w:p>
        </w:tc>
        <w:tc>
          <w:tcPr>
            <w:tcW w:w="152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27000</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0</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27000</w:t>
            </w:r>
          </w:p>
        </w:tc>
        <w:tc>
          <w:tcPr>
            <w:tcW w:w="152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0</w:t>
            </w:r>
          </w:p>
        </w:tc>
      </w:tr>
      <w:tr>
        <w:tblPrEx>
          <w:tblCellMar>
            <w:top w:w="0" w:type="dxa"/>
            <w:left w:w="0" w:type="dxa"/>
            <w:bottom w:w="0" w:type="dxa"/>
            <w:right w:w="0" w:type="dxa"/>
          </w:tblCellMar>
        </w:tblPrEx>
        <w:trPr>
          <w:trHeight w:val="498" w:hRule="atLeast"/>
          <w:jc w:val="center"/>
        </w:trPr>
        <w:tc>
          <w:tcPr>
            <w:tcW w:w="8800"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决算数</w:t>
            </w:r>
          </w:p>
        </w:tc>
      </w:tr>
      <w:tr>
        <w:tblPrEx>
          <w:tblCellMar>
            <w:top w:w="0" w:type="dxa"/>
            <w:left w:w="0" w:type="dxa"/>
            <w:bottom w:w="0" w:type="dxa"/>
            <w:right w:w="0" w:type="dxa"/>
          </w:tblCellMar>
        </w:tblPrEx>
        <w:trPr>
          <w:trHeight w:val="435" w:hRule="atLeast"/>
          <w:jc w:val="center"/>
        </w:trPr>
        <w:tc>
          <w:tcPr>
            <w:tcW w:w="1158"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合计</w:t>
            </w:r>
          </w:p>
        </w:tc>
        <w:tc>
          <w:tcPr>
            <w:tcW w:w="152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因公出国（境）费</w:t>
            </w:r>
          </w:p>
        </w:tc>
        <w:tc>
          <w:tcPr>
            <w:tcW w:w="4588"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公务用车购置及运行费</w:t>
            </w:r>
          </w:p>
        </w:tc>
        <w:tc>
          <w:tcPr>
            <w:tcW w:w="152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公务接待费</w:t>
            </w:r>
          </w:p>
        </w:tc>
      </w:tr>
      <w:tr>
        <w:tblPrEx>
          <w:tblCellMar>
            <w:top w:w="0" w:type="dxa"/>
            <w:left w:w="0" w:type="dxa"/>
            <w:bottom w:w="0" w:type="dxa"/>
            <w:right w:w="0" w:type="dxa"/>
          </w:tblCellMar>
        </w:tblPrEx>
        <w:trPr>
          <w:trHeight w:val="672" w:hRule="atLeast"/>
          <w:jc w:val="center"/>
        </w:trPr>
        <w:tc>
          <w:tcPr>
            <w:tcW w:w="115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52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52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小计</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公务用车购置费</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公务用车运行费</w:t>
            </w:r>
          </w:p>
        </w:tc>
        <w:tc>
          <w:tcPr>
            <w:tcW w:w="152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r>
      <w:tr>
        <w:tblPrEx>
          <w:tblCellMar>
            <w:top w:w="0" w:type="dxa"/>
            <w:left w:w="0" w:type="dxa"/>
            <w:bottom w:w="0" w:type="dxa"/>
            <w:right w:w="0" w:type="dxa"/>
          </w:tblCellMar>
        </w:tblPrEx>
        <w:trPr>
          <w:trHeight w:val="435" w:hRule="atLeast"/>
          <w:jc w:val="center"/>
        </w:trPr>
        <w:tc>
          <w:tcPr>
            <w:tcW w:w="115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7</w:t>
            </w:r>
          </w:p>
        </w:tc>
        <w:tc>
          <w:tcPr>
            <w:tcW w:w="152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8</w:t>
            </w:r>
          </w:p>
        </w:tc>
        <w:tc>
          <w:tcPr>
            <w:tcW w:w="152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9</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10</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11</w:t>
            </w:r>
          </w:p>
        </w:tc>
        <w:tc>
          <w:tcPr>
            <w:tcW w:w="152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12</w:t>
            </w:r>
          </w:p>
        </w:tc>
      </w:tr>
      <w:tr>
        <w:tblPrEx>
          <w:tblCellMar>
            <w:top w:w="0" w:type="dxa"/>
            <w:left w:w="0" w:type="dxa"/>
            <w:bottom w:w="0" w:type="dxa"/>
            <w:right w:w="0" w:type="dxa"/>
          </w:tblCellMar>
        </w:tblPrEx>
        <w:trPr>
          <w:trHeight w:val="435" w:hRule="atLeast"/>
          <w:jc w:val="center"/>
        </w:trPr>
        <w:tc>
          <w:tcPr>
            <w:tcW w:w="115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0.20</w:t>
            </w:r>
          </w:p>
        </w:tc>
        <w:tc>
          <w:tcPr>
            <w:tcW w:w="152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0</w:t>
            </w:r>
          </w:p>
        </w:tc>
        <w:tc>
          <w:tcPr>
            <w:tcW w:w="152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0.20</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0</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0.20</w:t>
            </w:r>
          </w:p>
        </w:tc>
        <w:tc>
          <w:tcPr>
            <w:tcW w:w="152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0</w:t>
            </w:r>
          </w:p>
        </w:tc>
      </w:tr>
      <w:tr>
        <w:tblPrEx>
          <w:tblCellMar>
            <w:top w:w="0" w:type="dxa"/>
            <w:left w:w="0" w:type="dxa"/>
            <w:bottom w:w="0" w:type="dxa"/>
            <w:right w:w="0" w:type="dxa"/>
          </w:tblCellMar>
        </w:tblPrEx>
        <w:trPr>
          <w:trHeight w:val="782" w:hRule="atLeast"/>
          <w:jc w:val="center"/>
        </w:trPr>
        <w:tc>
          <w:tcPr>
            <w:tcW w:w="8800" w:type="dxa"/>
            <w:gridSpan w:val="6"/>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jc w:val="left"/>
              <w:textAlignment w:val="center"/>
              <w:rPr>
                <w:rFonts w:ascii="宋体" w:hAnsi="宋体" w:cs="宋体"/>
                <w:color w:val="000000"/>
                <w:szCs w:val="21"/>
              </w:rPr>
            </w:pPr>
            <w:r>
              <w:rPr>
                <w:rFonts w:hint="eastAsia" w:ascii="宋体" w:hAnsi="宋体" w:cs="宋体"/>
                <w:color w:val="000000"/>
                <w:kern w:val="0"/>
                <w:szCs w:val="21"/>
              </w:rPr>
              <w:t xml:space="preserve">注：本表反映部门本年度“三公”经费支出预决算情况。其中：预算数为“三公”经费年初预算数，决算数是包括当年一般公共预算财政拨款和以前年度结转资金安排的实际支出。           </w:t>
            </w:r>
          </w:p>
        </w:tc>
      </w:tr>
    </w:tbl>
    <w:p>
      <w:pPr>
        <w:widowControl/>
        <w:spacing w:after="0" w:line="560" w:lineRule="exact"/>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2"/>
        <w:tblW w:w="8860" w:type="dxa"/>
        <w:tblInd w:w="0" w:type="dxa"/>
        <w:tblLayout w:type="fixed"/>
        <w:tblCellMar>
          <w:top w:w="0" w:type="dxa"/>
          <w:left w:w="0" w:type="dxa"/>
          <w:bottom w:w="0" w:type="dxa"/>
          <w:right w:w="0" w:type="dxa"/>
        </w:tblCellMar>
      </w:tblPr>
      <w:tblGrid>
        <w:gridCol w:w="296"/>
        <w:gridCol w:w="191"/>
        <w:gridCol w:w="479"/>
        <w:gridCol w:w="669"/>
        <w:gridCol w:w="376"/>
        <w:gridCol w:w="1166"/>
        <w:gridCol w:w="840"/>
        <w:gridCol w:w="1191"/>
        <w:gridCol w:w="1192"/>
        <w:gridCol w:w="1192"/>
        <w:gridCol w:w="1268"/>
      </w:tblGrid>
      <w:tr>
        <w:tblPrEx>
          <w:tblCellMar>
            <w:top w:w="0" w:type="dxa"/>
            <w:left w:w="0" w:type="dxa"/>
            <w:bottom w:w="0" w:type="dxa"/>
            <w:right w:w="0" w:type="dxa"/>
          </w:tblCellMar>
        </w:tblPrEx>
        <w:trPr>
          <w:trHeight w:val="707" w:hRule="atLeast"/>
        </w:trPr>
        <w:tc>
          <w:tcPr>
            <w:tcW w:w="8860" w:type="dxa"/>
            <w:gridSpan w:val="11"/>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黑体" w:hAnsi="宋体" w:eastAsia="黑体" w:cs="黑体"/>
                <w:color w:val="000000"/>
                <w:sz w:val="36"/>
                <w:szCs w:val="36"/>
              </w:rPr>
            </w:pPr>
            <w:r>
              <w:rPr>
                <w:rFonts w:hint="eastAsia" w:ascii="黑体" w:hAnsi="宋体" w:eastAsia="黑体" w:cs="黑体"/>
                <w:color w:val="000000"/>
                <w:kern w:val="0"/>
                <w:sz w:val="36"/>
                <w:szCs w:val="36"/>
              </w:rPr>
              <w:t>政府性基金预算财政拨款</w:t>
            </w:r>
            <w:r>
              <w:rPr>
                <w:sz w:val="44"/>
              </w:rPr>
              <w:pict>
                <v:group id="_x0000_s1063" o:spid="_x0000_s1063" o:spt="203" style="position:absolute;left:0pt;margin-left:-80.9pt;margin-top:-81.1pt;height:41.2pt;width:243.2pt;mso-position-vertical-relative:page;z-index:251663360;mso-width-relative:page;mso-height-relative:page;" coordorigin="4551,52615" coordsize="8546,1398203" o:gfxdata="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">
                  <o:lock v:ext="edit"/>
                  <v:rect id="矩形 13" o:spid="_x0000_s1065" o:spt="1" style="position:absolute;left:4551;top:52615;height:1175;width:8546;v-text-anchor:middle;" fillcolor="#D9D9D9" filled="t" stroked="f" coordsize="21600,21600" o:gfxdata="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m4MwBL4A&#10;AADbAAAADwAAAAAAAAABACAAAAAiAAAAZHJzL2Rvd25yZXYueG1sUEsBAhQAFAAAAAgAh07iQDMv&#10;BZ47AAAAOQAAABAAAAAAAAAAAQAgAAAADQEAAGRycy9zaGFwZXhtbC54bWxQSwUGAAAAAAYABgBb&#10;AQAAtwMAAAAA&#10;">
                    <v:path/>
                    <v:fill on="t" focussize="0,0"/>
                    <v:stroke on="f" weight="2pt"/>
                    <v:imagedata o:title=""/>
                    <o:lock v:ext="edit"/>
                  </v:rect>
                  <v:rect id="矩形 14" o:spid="_x0000_s1064" o:spt="1" style="position:absolute;left:4577;top:52890;height:1123;width:8324;v-text-anchor:middle;" fillcolor="#AD002D" filled="t" stroked="t" coordsize="21600,21600" o:gfxdata="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H1m0am8AAAA&#10;2wAAAA8AAAAAAAAAAQAgAAAAIgAAAGRycy9kb3ducmV2LnhtbFBLAQIUABQAAAAIAIdO4kAzLwWe&#10;OwAAADkAAAAQAAAAAAAAAAEAIAAAAAsBAABkcnMvc2hhcGV4bWwueG1sUEsFBgAAAAAGAAYAWwEA&#10;ALUDAAAAAA==&#10;">
                    <v:path/>
                    <v:fill on="t" focussize="0,0"/>
                    <v:stroke weight="2pt" color="#B0761F" joinstyle="round"/>
                    <v:imagedata o:title=""/>
                    <o:lock v:ext="edit"/>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2018年度部门决算☞决算报表</w:t>
                          </w:r>
                        </w:p>
                        <w:p>
                          <w:pPr>
                            <w:jc w:val="center"/>
                          </w:pPr>
                        </w:p>
                      </w:txbxContent>
                    </v:textbox>
                  </v:rect>
                  <w10:anchorlock/>
                </v:group>
              </w:pict>
            </w:r>
            <w:r>
              <w:rPr>
                <w:rFonts w:hint="eastAsia" w:ascii="黑体" w:hAnsi="宋体" w:eastAsia="黑体" w:cs="黑体"/>
                <w:color w:val="000000"/>
                <w:kern w:val="0"/>
                <w:sz w:val="36"/>
                <w:szCs w:val="36"/>
              </w:rPr>
              <w:t>收入支出决算表</w:t>
            </w:r>
          </w:p>
        </w:tc>
      </w:tr>
      <w:tr>
        <w:tblPrEx>
          <w:tblCellMar>
            <w:top w:w="0" w:type="dxa"/>
            <w:left w:w="0" w:type="dxa"/>
            <w:bottom w:w="0" w:type="dxa"/>
            <w:right w:w="0" w:type="dxa"/>
          </w:tblCellMar>
        </w:tblPrEx>
        <w:trPr>
          <w:trHeight w:val="315" w:hRule="atLeast"/>
        </w:trPr>
        <w:tc>
          <w:tcPr>
            <w:tcW w:w="296" w:type="dxa"/>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91" w:type="dxa"/>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479" w:type="dxa"/>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669" w:type="dxa"/>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542" w:type="dxa"/>
            <w:gridSpan w:val="2"/>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840" w:type="dxa"/>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191" w:type="dxa"/>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192" w:type="dxa"/>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192" w:type="dxa"/>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268" w:type="dxa"/>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jc w:val="right"/>
              <w:textAlignment w:val="center"/>
              <w:rPr>
                <w:rFonts w:ascii="宋体" w:hAnsi="宋体" w:cs="宋体"/>
                <w:color w:val="000000"/>
                <w:szCs w:val="21"/>
              </w:rPr>
            </w:pPr>
            <w:r>
              <w:rPr>
                <w:rFonts w:hint="eastAsia" w:ascii="宋体" w:hAnsi="宋体" w:cs="宋体"/>
                <w:color w:val="000000"/>
                <w:kern w:val="0"/>
                <w:szCs w:val="21"/>
              </w:rPr>
              <w:t>公开08表</w:t>
            </w:r>
          </w:p>
        </w:tc>
      </w:tr>
      <w:tr>
        <w:tblPrEx>
          <w:tblCellMar>
            <w:top w:w="0" w:type="dxa"/>
            <w:left w:w="0" w:type="dxa"/>
            <w:bottom w:w="0" w:type="dxa"/>
            <w:right w:w="0" w:type="dxa"/>
          </w:tblCellMar>
        </w:tblPrEx>
        <w:trPr>
          <w:trHeight w:val="411" w:hRule="atLeast"/>
        </w:trPr>
        <w:tc>
          <w:tcPr>
            <w:tcW w:w="3177" w:type="dxa"/>
            <w:gridSpan w:val="6"/>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jc w:val="left"/>
              <w:textAlignment w:val="center"/>
              <w:rPr>
                <w:rFonts w:ascii="宋体" w:hAnsi="宋体" w:cs="宋体"/>
                <w:color w:val="000000"/>
                <w:szCs w:val="21"/>
              </w:rPr>
            </w:pPr>
            <w:r>
              <w:rPr>
                <w:rFonts w:hint="eastAsia" w:ascii="宋体" w:hAnsi="宋体" w:cs="宋体"/>
                <w:color w:val="000000"/>
                <w:kern w:val="0"/>
                <w:szCs w:val="21"/>
              </w:rPr>
              <w:t>部门：</w:t>
            </w:r>
          </w:p>
        </w:tc>
        <w:tc>
          <w:tcPr>
            <w:tcW w:w="840" w:type="dxa"/>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191" w:type="dxa"/>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192" w:type="dxa"/>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2460" w:type="dxa"/>
            <w:gridSpan w:val="2"/>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jc w:val="right"/>
              <w:textAlignment w:val="center"/>
              <w:rPr>
                <w:rFonts w:ascii="宋体" w:hAnsi="宋体" w:cs="宋体"/>
                <w:color w:val="000000"/>
                <w:szCs w:val="21"/>
              </w:rPr>
            </w:pPr>
            <w:r>
              <w:rPr>
                <w:rFonts w:hint="eastAsia" w:ascii="宋体" w:hAnsi="宋体" w:cs="宋体"/>
                <w:color w:val="000000"/>
                <w:kern w:val="0"/>
                <w:szCs w:val="21"/>
              </w:rPr>
              <w:t>金额单位：万元</w:t>
            </w:r>
          </w:p>
        </w:tc>
      </w:tr>
      <w:tr>
        <w:tblPrEx>
          <w:tblCellMar>
            <w:top w:w="0" w:type="dxa"/>
            <w:left w:w="0" w:type="dxa"/>
            <w:bottom w:w="0" w:type="dxa"/>
            <w:right w:w="0" w:type="dxa"/>
          </w:tblCellMar>
        </w:tblPrEx>
        <w:trPr>
          <w:trHeight w:val="324" w:hRule="atLeast"/>
        </w:trPr>
        <w:tc>
          <w:tcPr>
            <w:tcW w:w="2011" w:type="dxa"/>
            <w:gridSpan w:val="5"/>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项目</w:t>
            </w:r>
          </w:p>
        </w:tc>
        <w:tc>
          <w:tcPr>
            <w:tcW w:w="1166"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年初结转和结余</w:t>
            </w:r>
          </w:p>
        </w:tc>
        <w:tc>
          <w:tcPr>
            <w:tcW w:w="84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本年收入</w:t>
            </w:r>
          </w:p>
        </w:tc>
        <w:tc>
          <w:tcPr>
            <w:tcW w:w="3575" w:type="dxa"/>
            <w:gridSpan w:val="3"/>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本年支出</w:t>
            </w:r>
          </w:p>
        </w:tc>
        <w:tc>
          <w:tcPr>
            <w:tcW w:w="1268"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年末结转和结余</w:t>
            </w:r>
          </w:p>
        </w:tc>
      </w:tr>
      <w:tr>
        <w:tblPrEx>
          <w:tblCellMar>
            <w:top w:w="0" w:type="dxa"/>
            <w:left w:w="0" w:type="dxa"/>
            <w:bottom w:w="0" w:type="dxa"/>
            <w:right w:w="0" w:type="dxa"/>
          </w:tblCellMar>
        </w:tblPrEx>
        <w:trPr>
          <w:trHeight w:val="324" w:hRule="atLeast"/>
        </w:trPr>
        <w:tc>
          <w:tcPr>
            <w:tcW w:w="966" w:type="dxa"/>
            <w:gridSpan w:val="3"/>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功能分类科目编码</w:t>
            </w:r>
          </w:p>
        </w:tc>
        <w:tc>
          <w:tcPr>
            <w:tcW w:w="1045" w:type="dxa"/>
            <w:gridSpan w:val="2"/>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科目名称</w:t>
            </w:r>
          </w:p>
        </w:tc>
        <w:tc>
          <w:tcPr>
            <w:tcW w:w="1166"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84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91"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小计</w:t>
            </w:r>
          </w:p>
        </w:tc>
        <w:tc>
          <w:tcPr>
            <w:tcW w:w="1192"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基本支出</w:t>
            </w:r>
          </w:p>
        </w:tc>
        <w:tc>
          <w:tcPr>
            <w:tcW w:w="1192"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项目支出</w:t>
            </w:r>
          </w:p>
        </w:tc>
        <w:tc>
          <w:tcPr>
            <w:tcW w:w="1268"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045"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66"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84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91"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9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9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268"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r>
      <w:tr>
        <w:tblPrEx>
          <w:tblCellMar>
            <w:top w:w="0" w:type="dxa"/>
            <w:left w:w="0" w:type="dxa"/>
            <w:bottom w:w="0" w:type="dxa"/>
            <w:right w:w="0" w:type="dxa"/>
          </w:tblCellMar>
        </w:tblPrEx>
        <w:trPr>
          <w:trHeight w:val="312" w:hRule="atLeast"/>
        </w:trPr>
        <w:tc>
          <w:tcPr>
            <w:tcW w:w="966"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045"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66"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84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91"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9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9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268"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2011" w:type="dxa"/>
            <w:gridSpan w:val="5"/>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栏次</w:t>
            </w:r>
          </w:p>
        </w:tc>
        <w:tc>
          <w:tcPr>
            <w:tcW w:w="11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1</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2</w:t>
            </w:r>
          </w:p>
        </w:tc>
        <w:tc>
          <w:tcPr>
            <w:tcW w:w="11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3</w:t>
            </w: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4</w:t>
            </w: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5</w:t>
            </w:r>
          </w:p>
        </w:tc>
        <w:tc>
          <w:tcPr>
            <w:tcW w:w="12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6</w:t>
            </w:r>
          </w:p>
        </w:tc>
      </w:tr>
      <w:tr>
        <w:tblPrEx>
          <w:tblCellMar>
            <w:top w:w="0" w:type="dxa"/>
            <w:left w:w="0" w:type="dxa"/>
            <w:bottom w:w="0" w:type="dxa"/>
            <w:right w:w="0" w:type="dxa"/>
          </w:tblCellMar>
        </w:tblPrEx>
        <w:trPr>
          <w:trHeight w:val="324" w:hRule="atLeast"/>
        </w:trPr>
        <w:tc>
          <w:tcPr>
            <w:tcW w:w="2011" w:type="dxa"/>
            <w:gridSpan w:val="5"/>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合计</w:t>
            </w:r>
          </w:p>
        </w:tc>
        <w:tc>
          <w:tcPr>
            <w:tcW w:w="11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b/>
                <w:color w:val="000000"/>
                <w:szCs w:val="21"/>
              </w:rPr>
            </w:pP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b/>
                <w:color w:val="000000"/>
                <w:szCs w:val="21"/>
              </w:rPr>
            </w:pPr>
          </w:p>
        </w:tc>
        <w:tc>
          <w:tcPr>
            <w:tcW w:w="11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b/>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b/>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b/>
                <w:color w:val="000000"/>
                <w:szCs w:val="21"/>
              </w:rPr>
            </w:pPr>
          </w:p>
        </w:tc>
        <w:tc>
          <w:tcPr>
            <w:tcW w:w="12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b/>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8860" w:type="dxa"/>
            <w:gridSpan w:val="11"/>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jc w:val="left"/>
              <w:textAlignment w:val="center"/>
              <w:rPr>
                <w:rFonts w:ascii="宋体" w:hAnsi="宋体" w:cs="宋体"/>
                <w:color w:val="000000"/>
                <w:kern w:val="0"/>
                <w:szCs w:val="21"/>
              </w:rPr>
            </w:pPr>
            <w:r>
              <w:rPr>
                <w:rFonts w:hint="eastAsia" w:ascii="宋体" w:hAnsi="宋体" w:cs="宋体"/>
                <w:color w:val="000000"/>
                <w:kern w:val="0"/>
                <w:szCs w:val="21"/>
              </w:rPr>
              <w:t xml:space="preserve">注：本表反映部门本年度政府性基金预算财政拨款收入、支出及结转和结余情况。         </w:t>
            </w:r>
          </w:p>
          <w:p>
            <w:pPr>
              <w:widowControl/>
              <w:adjustRightInd w:val="0"/>
              <w:spacing w:after="0" w:line="240" w:lineRule="auto"/>
              <w:jc w:val="left"/>
              <w:textAlignment w:val="center"/>
              <w:rPr>
                <w:rFonts w:ascii="宋体" w:hAnsi="宋体" w:cs="宋体"/>
                <w:color w:val="000000"/>
                <w:kern w:val="0"/>
                <w:szCs w:val="21"/>
              </w:rPr>
            </w:pPr>
            <w:r>
              <w:rPr>
                <w:rFonts w:hint="eastAsia" w:ascii="楷体" w:hAnsi="楷体" w:eastAsia="楷体" w:cs="楷体"/>
                <w:sz w:val="32"/>
                <w:szCs w:val="32"/>
              </w:rPr>
              <w:t>本部门本年度无相关收入（或支出、收支及结转结余等）情况，按要求空表列示。</w:t>
            </w:r>
          </w:p>
        </w:tc>
      </w:tr>
    </w:tbl>
    <w:p>
      <w:pPr>
        <w:widowControl/>
        <w:spacing w:after="0" w:line="560" w:lineRule="exact"/>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2"/>
        <w:tblW w:w="8800" w:type="dxa"/>
        <w:tblInd w:w="0" w:type="dxa"/>
        <w:tblLayout w:type="fixed"/>
        <w:tblCellMar>
          <w:top w:w="0" w:type="dxa"/>
          <w:left w:w="0" w:type="dxa"/>
          <w:bottom w:w="0" w:type="dxa"/>
          <w:right w:w="0" w:type="dxa"/>
        </w:tblCellMar>
      </w:tblPr>
      <w:tblGrid>
        <w:gridCol w:w="442"/>
        <w:gridCol w:w="208"/>
        <w:gridCol w:w="504"/>
        <w:gridCol w:w="274"/>
        <w:gridCol w:w="894"/>
        <w:gridCol w:w="783"/>
        <w:gridCol w:w="252"/>
        <w:gridCol w:w="1646"/>
        <w:gridCol w:w="359"/>
        <w:gridCol w:w="1539"/>
        <w:gridCol w:w="1899"/>
      </w:tblGrid>
      <w:tr>
        <w:tblPrEx>
          <w:tblCellMar>
            <w:top w:w="0" w:type="dxa"/>
            <w:left w:w="0" w:type="dxa"/>
            <w:bottom w:w="0" w:type="dxa"/>
            <w:right w:w="0" w:type="dxa"/>
          </w:tblCellMar>
        </w:tblPrEx>
        <w:trPr>
          <w:trHeight w:val="656" w:hRule="atLeast"/>
        </w:trPr>
        <w:tc>
          <w:tcPr>
            <w:tcW w:w="8800" w:type="dxa"/>
            <w:gridSpan w:val="11"/>
            <w:tcBorders>
              <w:top w:val="nil"/>
              <w:left w:val="nil"/>
              <w:bottom w:val="nil"/>
              <w:right w:val="nil"/>
            </w:tcBorders>
            <w:shd w:val="clear" w:color="auto" w:fill="auto"/>
            <w:tcMar>
              <w:top w:w="15" w:type="dxa"/>
              <w:left w:w="15" w:type="dxa"/>
              <w:right w:w="15" w:type="dxa"/>
            </w:tcMar>
            <w:vAlign w:val="center"/>
          </w:tcPr>
          <w:p>
            <w:pPr>
              <w:widowControl/>
              <w:spacing w:after="0" w:line="240" w:lineRule="auto"/>
              <w:jc w:val="center"/>
              <w:textAlignment w:val="center"/>
              <w:rPr>
                <w:rFonts w:ascii="黑体" w:hAnsi="宋体" w:eastAsia="黑体" w:cs="黑体"/>
                <w:color w:val="000000"/>
                <w:sz w:val="40"/>
                <w:szCs w:val="40"/>
              </w:rPr>
            </w:pPr>
            <w:r>
              <w:rPr>
                <w:rFonts w:hint="eastAsia" w:ascii="黑体" w:hAnsi="宋体" w:eastAsia="黑体" w:cs="黑体"/>
                <w:color w:val="000000"/>
                <w:kern w:val="0"/>
                <w:sz w:val="40"/>
                <w:szCs w:val="40"/>
              </w:rPr>
              <w:t>国有资本经营预算财政拨</w:t>
            </w:r>
            <w:r>
              <w:rPr>
                <w:sz w:val="44"/>
              </w:rPr>
              <w:pict>
                <v:group id="_x0000_s1060" o:spid="_x0000_s1060" o:spt="203" style="position:absolute;left:0pt;margin-left:-80.9pt;margin-top:-81.1pt;height:41.2pt;width:243.2pt;mso-position-vertical-relative:page;z-index:251664384;mso-width-relative:page;mso-height-relative:page;" coordorigin="4551,52615" coordsize="8546,1398203" o:gfxdata="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">
                  <o:lock v:ext="edit"/>
                  <v:rect id="矩形 13" o:spid="_x0000_s1062" o:spt="1" style="position:absolute;left:4551;top:52615;height:1175;width:8546;v-text-anchor:middle;" fillcolor="#D9D9D9" filled="t" stroked="f" coordsize="21600,21600" o:gfxdata="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qHKR2vQAA&#10;ANsAAAAPAAAAAAAAAAEAIAAAACIAAABkcnMvZG93bnJldi54bWxQSwECFAAUAAAACACHTuJAMy8F&#10;njsAAAA5AAAAEAAAAAAAAAABACAAAAAMAQAAZHJzL3NoYXBleG1sLnhtbFBLBQYAAAAABgAGAFsB&#10;AAC2AwAAAAA=&#10;">
                    <v:path/>
                    <v:fill on="t" focussize="0,0"/>
                    <v:stroke on="f" weight="2pt"/>
                    <v:imagedata o:title=""/>
                    <o:lock v:ext="edit"/>
                  </v:rect>
                  <v:rect id="矩形 14" o:spid="_x0000_s1061" o:spt="1" style="position:absolute;left:4577;top:52890;height:1123;width:8324;v-text-anchor:middle;" fillcolor="#AD002D" filled="t" stroked="t" coordsize="21600,21600" o:gfxdata="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">
                    <v:path/>
                    <v:fill on="t" focussize="0,0"/>
                    <v:stroke weight="2pt" color="#B0761F" joinstyle="round"/>
                    <v:imagedata o:title=""/>
                    <o:lock v:ext="edit"/>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2018年度部门决算☞决算报表</w:t>
                          </w:r>
                        </w:p>
                        <w:p>
                          <w:pPr>
                            <w:jc w:val="center"/>
                          </w:pPr>
                        </w:p>
                      </w:txbxContent>
                    </v:textbox>
                  </v:rect>
                  <w10:anchorlock/>
                </v:group>
              </w:pict>
            </w:r>
            <w:r>
              <w:rPr>
                <w:rFonts w:hint="eastAsia" w:ascii="黑体" w:hAnsi="宋体" w:eastAsia="黑体" w:cs="黑体"/>
                <w:color w:val="000000"/>
                <w:kern w:val="0"/>
                <w:sz w:val="40"/>
                <w:szCs w:val="40"/>
              </w:rPr>
              <w:t>款支出决算表</w:t>
            </w:r>
          </w:p>
        </w:tc>
      </w:tr>
      <w:tr>
        <w:tblPrEx>
          <w:tblCellMar>
            <w:top w:w="0" w:type="dxa"/>
            <w:left w:w="0" w:type="dxa"/>
            <w:bottom w:w="0" w:type="dxa"/>
            <w:right w:w="0" w:type="dxa"/>
          </w:tblCellMar>
        </w:tblPrEx>
        <w:trPr>
          <w:trHeight w:val="335" w:hRule="atLeast"/>
        </w:trPr>
        <w:tc>
          <w:tcPr>
            <w:tcW w:w="442"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208"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504"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1168"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1035"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2005"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3438"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uto"/>
              <w:jc w:val="right"/>
              <w:textAlignment w:val="center"/>
              <w:rPr>
                <w:rFonts w:ascii="宋体" w:hAnsi="宋体" w:cs="宋体"/>
                <w:color w:val="000000"/>
                <w:sz w:val="22"/>
                <w:szCs w:val="22"/>
              </w:rPr>
            </w:pPr>
            <w:r>
              <w:rPr>
                <w:rFonts w:hint="eastAsia" w:ascii="宋体" w:hAnsi="宋体" w:cs="宋体"/>
                <w:color w:val="000000"/>
                <w:kern w:val="0"/>
                <w:sz w:val="22"/>
                <w:szCs w:val="22"/>
              </w:rPr>
              <w:t>公开09表</w:t>
            </w:r>
          </w:p>
        </w:tc>
      </w:tr>
      <w:tr>
        <w:tblPrEx>
          <w:tblCellMar>
            <w:top w:w="0" w:type="dxa"/>
            <w:left w:w="0" w:type="dxa"/>
            <w:bottom w:w="0" w:type="dxa"/>
            <w:right w:w="0" w:type="dxa"/>
          </w:tblCellMar>
        </w:tblPrEx>
        <w:trPr>
          <w:trHeight w:val="335" w:hRule="atLeast"/>
        </w:trPr>
        <w:tc>
          <w:tcPr>
            <w:tcW w:w="3357" w:type="dxa"/>
            <w:gridSpan w:val="7"/>
            <w:tcBorders>
              <w:top w:val="nil"/>
              <w:left w:val="nil"/>
              <w:bottom w:val="nil"/>
              <w:right w:val="nil"/>
            </w:tcBorders>
            <w:shd w:val="clear" w:color="auto" w:fill="auto"/>
            <w:tcMar>
              <w:top w:w="15" w:type="dxa"/>
              <w:left w:w="15" w:type="dxa"/>
              <w:right w:w="15" w:type="dxa"/>
            </w:tcMar>
            <w:vAlign w:val="center"/>
          </w:tcPr>
          <w:p>
            <w:pPr>
              <w:widowControl/>
              <w:spacing w:after="0" w:line="240" w:lineRule="auto"/>
              <w:jc w:val="left"/>
              <w:textAlignment w:val="center"/>
              <w:rPr>
                <w:rFonts w:ascii="宋体" w:hAnsi="宋体" w:cs="宋体"/>
                <w:color w:val="000000"/>
                <w:sz w:val="22"/>
                <w:szCs w:val="22"/>
              </w:rPr>
            </w:pPr>
            <w:r>
              <w:rPr>
                <w:rFonts w:hint="eastAsia" w:ascii="宋体" w:hAnsi="宋体" w:cs="宋体"/>
                <w:color w:val="000000"/>
                <w:kern w:val="0"/>
                <w:sz w:val="22"/>
                <w:szCs w:val="22"/>
              </w:rPr>
              <w:t>编制单位：</w:t>
            </w:r>
          </w:p>
        </w:tc>
        <w:tc>
          <w:tcPr>
            <w:tcW w:w="2005"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3438"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uto"/>
              <w:jc w:val="right"/>
              <w:textAlignment w:val="center"/>
              <w:rPr>
                <w:rFonts w:ascii="宋体" w:hAnsi="宋体" w:cs="宋体"/>
                <w:color w:val="000000"/>
                <w:sz w:val="22"/>
                <w:szCs w:val="22"/>
              </w:rPr>
            </w:pPr>
            <w:r>
              <w:rPr>
                <w:rFonts w:hint="eastAsia" w:ascii="宋体" w:hAnsi="宋体" w:cs="宋体"/>
                <w:color w:val="000000"/>
                <w:kern w:val="0"/>
                <w:sz w:val="22"/>
                <w:szCs w:val="22"/>
              </w:rPr>
              <w:t>金额单位：万元</w:t>
            </w:r>
          </w:p>
        </w:tc>
      </w:tr>
      <w:tr>
        <w:tblPrEx>
          <w:tblCellMar>
            <w:top w:w="0" w:type="dxa"/>
            <w:left w:w="0" w:type="dxa"/>
            <w:bottom w:w="0" w:type="dxa"/>
            <w:right w:w="0" w:type="dxa"/>
          </w:tblCellMar>
        </w:tblPrEx>
        <w:trPr>
          <w:trHeight w:val="358" w:hRule="atLeast"/>
        </w:trPr>
        <w:tc>
          <w:tcPr>
            <w:tcW w:w="3105"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科目</w:t>
            </w:r>
          </w:p>
        </w:tc>
        <w:tc>
          <w:tcPr>
            <w:tcW w:w="5695" w:type="dxa"/>
            <w:gridSpan w:val="5"/>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本年支出</w:t>
            </w:r>
          </w:p>
        </w:tc>
      </w:tr>
      <w:tr>
        <w:tblPrEx>
          <w:tblCellMar>
            <w:top w:w="0" w:type="dxa"/>
            <w:left w:w="0" w:type="dxa"/>
            <w:bottom w:w="0" w:type="dxa"/>
            <w:right w:w="0" w:type="dxa"/>
          </w:tblCellMar>
        </w:tblPrEx>
        <w:trPr>
          <w:trHeight w:val="826" w:hRule="atLeast"/>
        </w:trPr>
        <w:tc>
          <w:tcPr>
            <w:tcW w:w="1428"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功能分类科目编码</w:t>
            </w:r>
          </w:p>
        </w:tc>
        <w:tc>
          <w:tcPr>
            <w:tcW w:w="167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科目名称</w:t>
            </w: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小计</w:t>
            </w: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基本支出</w:t>
            </w:r>
          </w:p>
        </w:tc>
        <w:tc>
          <w:tcPr>
            <w:tcW w:w="18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项目支出</w:t>
            </w:r>
          </w:p>
        </w:tc>
      </w:tr>
      <w:tr>
        <w:tblPrEx>
          <w:tblCellMar>
            <w:top w:w="0" w:type="dxa"/>
            <w:left w:w="0" w:type="dxa"/>
            <w:bottom w:w="0" w:type="dxa"/>
            <w:right w:w="0" w:type="dxa"/>
          </w:tblCellMar>
        </w:tblPrEx>
        <w:trPr>
          <w:trHeight w:val="358" w:hRule="atLeast"/>
        </w:trPr>
        <w:tc>
          <w:tcPr>
            <w:tcW w:w="3105" w:type="dxa"/>
            <w:gridSpan w:val="6"/>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栏次</w:t>
            </w: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1</w:t>
            </w: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2</w:t>
            </w:r>
          </w:p>
        </w:tc>
        <w:tc>
          <w:tcPr>
            <w:tcW w:w="18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3</w:t>
            </w:r>
          </w:p>
        </w:tc>
      </w:tr>
      <w:tr>
        <w:tblPrEx>
          <w:tblCellMar>
            <w:top w:w="0" w:type="dxa"/>
            <w:left w:w="0" w:type="dxa"/>
            <w:bottom w:w="0" w:type="dxa"/>
            <w:right w:w="0" w:type="dxa"/>
          </w:tblCellMar>
        </w:tblPrEx>
        <w:trPr>
          <w:trHeight w:val="358" w:hRule="atLeast"/>
        </w:trPr>
        <w:tc>
          <w:tcPr>
            <w:tcW w:w="3105" w:type="dxa"/>
            <w:gridSpan w:val="6"/>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合计</w:t>
            </w: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r>
      <w:tr>
        <w:tblPrEx>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r>
      <w:tr>
        <w:tblPrEx>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r>
      <w:tr>
        <w:tblPrEx>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r>
      <w:tr>
        <w:tblPrEx>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r>
      <w:tr>
        <w:tblPrEx>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r>
      <w:tr>
        <w:tblPrEx>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r>
      <w:tr>
        <w:tblPrEx>
          <w:tblCellMar>
            <w:top w:w="0" w:type="dxa"/>
            <w:left w:w="0" w:type="dxa"/>
            <w:bottom w:w="0" w:type="dxa"/>
            <w:right w:w="0" w:type="dxa"/>
          </w:tblCellMar>
        </w:tblPrEx>
        <w:trPr>
          <w:trHeight w:val="358" w:hRule="atLeast"/>
        </w:trPr>
        <w:tc>
          <w:tcPr>
            <w:tcW w:w="8800" w:type="dxa"/>
            <w:gridSpan w:val="11"/>
            <w:tcBorders>
              <w:top w:val="nil"/>
              <w:left w:val="nil"/>
              <w:bottom w:val="nil"/>
              <w:right w:val="nil"/>
            </w:tcBorders>
            <w:shd w:val="clear" w:color="auto" w:fill="auto"/>
            <w:tcMar>
              <w:top w:w="15" w:type="dxa"/>
              <w:left w:w="15" w:type="dxa"/>
              <w:right w:w="15" w:type="dxa"/>
            </w:tcMar>
            <w:vAlign w:val="center"/>
          </w:tcPr>
          <w:p>
            <w:pPr>
              <w:widowControl/>
              <w:spacing w:after="0" w:line="240" w:lineRule="auto"/>
              <w:jc w:val="left"/>
              <w:textAlignment w:val="center"/>
              <w:rPr>
                <w:rFonts w:ascii="宋体" w:hAnsi="宋体" w:cs="宋体"/>
                <w:color w:val="000000"/>
                <w:kern w:val="0"/>
                <w:sz w:val="22"/>
                <w:szCs w:val="22"/>
              </w:rPr>
            </w:pPr>
            <w:r>
              <w:rPr>
                <w:rFonts w:hint="eastAsia" w:ascii="宋体" w:hAnsi="宋体" w:cs="宋体"/>
                <w:color w:val="000000"/>
                <w:kern w:val="0"/>
                <w:sz w:val="22"/>
                <w:szCs w:val="22"/>
              </w:rPr>
              <w:t>注：本表反映部门本年度国有资本经营预算财政拨款支出情况。</w:t>
            </w:r>
          </w:p>
          <w:p>
            <w:pPr>
              <w:widowControl/>
              <w:spacing w:after="0" w:line="240" w:lineRule="auto"/>
              <w:jc w:val="left"/>
              <w:textAlignment w:val="center"/>
              <w:rPr>
                <w:rFonts w:ascii="宋体" w:hAnsi="宋体" w:cs="宋体"/>
                <w:color w:val="000000"/>
                <w:kern w:val="0"/>
                <w:sz w:val="22"/>
                <w:szCs w:val="22"/>
              </w:rPr>
            </w:pPr>
            <w:r>
              <w:rPr>
                <w:rFonts w:hint="eastAsia" w:ascii="楷体" w:hAnsi="楷体" w:eastAsia="楷体" w:cs="楷体"/>
                <w:sz w:val="32"/>
                <w:szCs w:val="32"/>
              </w:rPr>
              <w:t>本部门本年度无相关收入（或支出、收支及结转结余等）情况，按要求空表列示。</w:t>
            </w:r>
          </w:p>
        </w:tc>
      </w:tr>
    </w:tbl>
    <w:p>
      <w:pPr>
        <w:widowControl/>
        <w:spacing w:after="0" w:line="560" w:lineRule="exact"/>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2"/>
        <w:tblW w:w="8940" w:type="dxa"/>
        <w:tblInd w:w="0" w:type="dxa"/>
        <w:tblLayout w:type="fixed"/>
        <w:tblCellMar>
          <w:top w:w="0" w:type="dxa"/>
          <w:left w:w="0" w:type="dxa"/>
          <w:bottom w:w="0" w:type="dxa"/>
          <w:right w:w="0" w:type="dxa"/>
        </w:tblCellMar>
      </w:tblPr>
      <w:tblGrid>
        <w:gridCol w:w="1901"/>
        <w:gridCol w:w="1203"/>
        <w:gridCol w:w="790"/>
        <w:gridCol w:w="362"/>
        <w:gridCol w:w="911"/>
        <w:gridCol w:w="241"/>
        <w:gridCol w:w="1032"/>
        <w:gridCol w:w="120"/>
        <w:gridCol w:w="1154"/>
        <w:gridCol w:w="1226"/>
      </w:tblGrid>
      <w:tr>
        <w:tblPrEx>
          <w:tblCellMar>
            <w:top w:w="0" w:type="dxa"/>
            <w:left w:w="0" w:type="dxa"/>
            <w:bottom w:w="0" w:type="dxa"/>
            <w:right w:w="0" w:type="dxa"/>
          </w:tblCellMar>
        </w:tblPrEx>
        <w:trPr>
          <w:trHeight w:val="635" w:hRule="atLeast"/>
        </w:trPr>
        <w:tc>
          <w:tcPr>
            <w:tcW w:w="8940" w:type="dxa"/>
            <w:gridSpan w:val="10"/>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黑体" w:hAnsi="宋体" w:eastAsia="黑体" w:cs="黑体"/>
                <w:color w:val="000000"/>
                <w:sz w:val="40"/>
                <w:szCs w:val="40"/>
              </w:rPr>
            </w:pPr>
            <w:r>
              <w:rPr>
                <w:rFonts w:hint="eastAsia" w:ascii="黑体" w:hAnsi="宋体" w:eastAsia="黑体" w:cs="黑体"/>
                <w:color w:val="000000"/>
                <w:kern w:val="0"/>
                <w:sz w:val="40"/>
                <w:szCs w:val="40"/>
              </w:rPr>
              <w:t>政府采购</w:t>
            </w:r>
            <w:r>
              <w:rPr>
                <w:sz w:val="44"/>
              </w:rPr>
              <w:pict>
                <v:group id="_x0000_s1057" o:spid="_x0000_s1057" o:spt="203" style="position:absolute;left:0pt;margin-left:-80.9pt;margin-top:-81.1pt;height:41.2pt;width:243.2pt;mso-position-vertical-relative:page;z-index:251665408;mso-width-relative:page;mso-height-relative:page;" coordorigin="4551,52615" coordsize="8546,1398203" o:gfxdata="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">
                  <o:lock v:ext="edit"/>
                  <v:rect id="矩形 13" o:spid="_x0000_s1059" o:spt="1" style="position:absolute;left:4551;top:52615;height:1175;width:8546;v-text-anchor:middle;" fillcolor="#D9D9D9" filled="t" stroked="f" coordsize="21600,21600" o:gfxdata="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q1Py6vQAA&#10;ANsAAAAPAAAAAAAAAAEAIAAAACIAAABkcnMvZG93bnJldi54bWxQSwECFAAUAAAACACHTuJAMy8F&#10;njsAAAA5AAAAEAAAAAAAAAABACAAAAAMAQAAZHJzL3NoYXBleG1sLnhtbFBLBQYAAAAABgAGAFsB&#10;AAC2AwAAAAA=&#10;">
                    <v:path/>
                    <v:fill on="t" focussize="0,0"/>
                    <v:stroke on="f" weight="2pt"/>
                    <v:imagedata o:title=""/>
                    <o:lock v:ext="edit"/>
                  </v:rect>
                  <v:rect id="矩形 14" o:spid="_x0000_s1058" o:spt="1" style="position:absolute;left:4577;top:52890;height:1123;width:8324;v-text-anchor:middle;" fillcolor="#AD002D" filled="t" stroked="t" coordsize="21600,21600" o:gfxdata="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zDEdF7sAAADb&#10;AAAADwAAAAAAAAABACAAAAAiAAAAZHJzL2Rvd25yZXYueG1sUEsBAhQAFAAAAAgAh07iQDMvBZ47&#10;AAAAOQAAABAAAAAAAAAAAQAgAAAACgEAAGRycy9zaGFwZXhtbC54bWxQSwUGAAAAAAYABgBbAQAA&#10;tAMAAAAA&#10;">
                    <v:path/>
                    <v:fill on="t" focussize="0,0"/>
                    <v:stroke weight="2pt" color="#B0761F" joinstyle="round"/>
                    <v:imagedata o:title=""/>
                    <o:lock v:ext="edit"/>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2018年度部门决算☞决算报表</w:t>
                          </w:r>
                        </w:p>
                        <w:p>
                          <w:pPr>
                            <w:jc w:val="center"/>
                          </w:pPr>
                        </w:p>
                      </w:txbxContent>
                    </v:textbox>
                  </v:rect>
                  <w10:anchorlock/>
                </v:group>
              </w:pict>
            </w:r>
            <w:r>
              <w:rPr>
                <w:rFonts w:hint="eastAsia" w:ascii="黑体" w:hAnsi="宋体" w:eastAsia="黑体" w:cs="黑体"/>
                <w:color w:val="000000"/>
                <w:kern w:val="0"/>
                <w:sz w:val="40"/>
                <w:szCs w:val="40"/>
              </w:rPr>
              <w:t>情况表</w:t>
            </w:r>
          </w:p>
        </w:tc>
      </w:tr>
      <w:tr>
        <w:tblPrEx>
          <w:tblCellMar>
            <w:top w:w="0" w:type="dxa"/>
            <w:left w:w="0" w:type="dxa"/>
            <w:bottom w:w="0" w:type="dxa"/>
            <w:right w:w="0" w:type="dxa"/>
          </w:tblCellMar>
        </w:tblPrEx>
        <w:trPr>
          <w:trHeight w:val="326" w:hRule="atLeast"/>
        </w:trPr>
        <w:tc>
          <w:tcPr>
            <w:tcW w:w="1901" w:type="dxa"/>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rPr>
                <w:rFonts w:ascii="Arial" w:hAnsi="Arial" w:cs="Arial"/>
                <w:color w:val="000000"/>
                <w:szCs w:val="21"/>
              </w:rPr>
            </w:pPr>
          </w:p>
        </w:tc>
        <w:tc>
          <w:tcPr>
            <w:tcW w:w="1203" w:type="dxa"/>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rPr>
                <w:rFonts w:ascii="Arial" w:hAnsi="Arial" w:cs="Arial"/>
                <w:color w:val="000000"/>
                <w:szCs w:val="21"/>
              </w:rPr>
            </w:pPr>
          </w:p>
        </w:tc>
        <w:tc>
          <w:tcPr>
            <w:tcW w:w="790" w:type="dxa"/>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rPr>
                <w:rFonts w:ascii="Arial" w:hAnsi="Arial" w:cs="Arial"/>
                <w:color w:val="000000"/>
                <w:szCs w:val="21"/>
              </w:rPr>
            </w:pPr>
          </w:p>
        </w:tc>
        <w:tc>
          <w:tcPr>
            <w:tcW w:w="1273" w:type="dxa"/>
            <w:gridSpan w:val="2"/>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rPr>
                <w:rFonts w:ascii="Arial" w:hAnsi="Arial" w:cs="Arial"/>
                <w:color w:val="000000"/>
                <w:szCs w:val="21"/>
              </w:rPr>
            </w:pPr>
          </w:p>
        </w:tc>
        <w:tc>
          <w:tcPr>
            <w:tcW w:w="1273" w:type="dxa"/>
            <w:gridSpan w:val="2"/>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rPr>
                <w:rFonts w:ascii="Arial" w:hAnsi="Arial" w:cs="Arial"/>
                <w:color w:val="000000"/>
                <w:szCs w:val="21"/>
              </w:rPr>
            </w:pPr>
          </w:p>
        </w:tc>
        <w:tc>
          <w:tcPr>
            <w:tcW w:w="2500" w:type="dxa"/>
            <w:gridSpan w:val="3"/>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jc w:val="right"/>
              <w:textAlignment w:val="center"/>
              <w:rPr>
                <w:rFonts w:ascii="宋体" w:hAnsi="宋体" w:cs="宋体"/>
                <w:color w:val="000000"/>
                <w:szCs w:val="21"/>
              </w:rPr>
            </w:pPr>
            <w:r>
              <w:rPr>
                <w:rFonts w:hint="eastAsia" w:ascii="宋体" w:hAnsi="宋体" w:cs="宋体"/>
                <w:color w:val="000000"/>
                <w:kern w:val="0"/>
                <w:szCs w:val="21"/>
              </w:rPr>
              <w:t>公开10表</w:t>
            </w:r>
          </w:p>
        </w:tc>
      </w:tr>
      <w:tr>
        <w:tblPrEx>
          <w:tblCellMar>
            <w:top w:w="0" w:type="dxa"/>
            <w:left w:w="0" w:type="dxa"/>
            <w:bottom w:w="0" w:type="dxa"/>
            <w:right w:w="0" w:type="dxa"/>
          </w:tblCellMar>
        </w:tblPrEx>
        <w:trPr>
          <w:trHeight w:val="360" w:hRule="atLeast"/>
        </w:trPr>
        <w:tc>
          <w:tcPr>
            <w:tcW w:w="6440" w:type="dxa"/>
            <w:gridSpan w:val="7"/>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jc w:val="left"/>
              <w:textAlignment w:val="center"/>
              <w:rPr>
                <w:rFonts w:ascii="宋体" w:hAnsi="宋体" w:cs="宋体"/>
                <w:color w:val="000000"/>
                <w:szCs w:val="21"/>
              </w:rPr>
            </w:pPr>
            <w:r>
              <w:rPr>
                <w:rFonts w:hint="eastAsia" w:ascii="宋体" w:hAnsi="宋体" w:cs="宋体"/>
                <w:color w:val="000000"/>
                <w:kern w:val="0"/>
                <w:szCs w:val="21"/>
              </w:rPr>
              <w:t>编制单位：</w:t>
            </w:r>
          </w:p>
        </w:tc>
        <w:tc>
          <w:tcPr>
            <w:tcW w:w="2500" w:type="dxa"/>
            <w:gridSpan w:val="3"/>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jc w:val="right"/>
              <w:textAlignment w:val="center"/>
              <w:rPr>
                <w:rFonts w:ascii="宋体" w:hAnsi="宋体" w:cs="宋体"/>
                <w:color w:val="000000"/>
                <w:szCs w:val="21"/>
              </w:rPr>
            </w:pPr>
            <w:r>
              <w:rPr>
                <w:rFonts w:hint="eastAsia" w:ascii="宋体" w:hAnsi="宋体" w:cs="宋体"/>
                <w:color w:val="000000"/>
                <w:kern w:val="0"/>
                <w:szCs w:val="21"/>
              </w:rPr>
              <w:t>金额单位：万元</w:t>
            </w:r>
          </w:p>
        </w:tc>
      </w:tr>
      <w:tr>
        <w:tblPrEx>
          <w:tblCellMar>
            <w:top w:w="0" w:type="dxa"/>
            <w:left w:w="0" w:type="dxa"/>
            <w:bottom w:w="0" w:type="dxa"/>
            <w:right w:w="0" w:type="dxa"/>
          </w:tblCellMar>
        </w:tblPrEx>
        <w:trPr>
          <w:trHeight w:val="309" w:hRule="atLeast"/>
        </w:trPr>
        <w:tc>
          <w:tcPr>
            <w:tcW w:w="1901"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项目</w:t>
            </w:r>
          </w:p>
        </w:tc>
        <w:tc>
          <w:tcPr>
            <w:tcW w:w="7039" w:type="dxa"/>
            <w:gridSpan w:val="9"/>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采购计划金额</w:t>
            </w:r>
          </w:p>
        </w:tc>
      </w:tr>
      <w:tr>
        <w:tblPrEx>
          <w:tblCellMar>
            <w:top w:w="0" w:type="dxa"/>
            <w:left w:w="0" w:type="dxa"/>
            <w:bottom w:w="0" w:type="dxa"/>
            <w:right w:w="0" w:type="dxa"/>
          </w:tblCellMar>
        </w:tblPrEx>
        <w:trPr>
          <w:trHeight w:val="398" w:hRule="atLeast"/>
        </w:trPr>
        <w:tc>
          <w:tcPr>
            <w:tcW w:w="190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203"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总计</w:t>
            </w:r>
          </w:p>
        </w:tc>
        <w:tc>
          <w:tcPr>
            <w:tcW w:w="4610" w:type="dxa"/>
            <w:gridSpan w:val="7"/>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采购预算（财政性资金）</w:t>
            </w:r>
          </w:p>
        </w:tc>
        <w:tc>
          <w:tcPr>
            <w:tcW w:w="1226"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非财政性资金</w:t>
            </w:r>
          </w:p>
        </w:tc>
      </w:tr>
      <w:tr>
        <w:tblPrEx>
          <w:tblCellMar>
            <w:top w:w="0" w:type="dxa"/>
            <w:left w:w="0" w:type="dxa"/>
            <w:bottom w:w="0" w:type="dxa"/>
            <w:right w:w="0" w:type="dxa"/>
          </w:tblCellMar>
        </w:tblPrEx>
        <w:trPr>
          <w:trHeight w:val="473" w:hRule="atLeast"/>
        </w:trPr>
        <w:tc>
          <w:tcPr>
            <w:tcW w:w="190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203"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合计</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一般公共预算</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政府性基金预算</w:t>
            </w:r>
          </w:p>
        </w:tc>
        <w:tc>
          <w:tcPr>
            <w:tcW w:w="11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其他资金</w:t>
            </w:r>
          </w:p>
        </w:tc>
        <w:tc>
          <w:tcPr>
            <w:tcW w:w="1226"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r>
      <w:tr>
        <w:tblPrEx>
          <w:tblCellMar>
            <w:top w:w="0" w:type="dxa"/>
            <w:left w:w="0" w:type="dxa"/>
            <w:bottom w:w="0" w:type="dxa"/>
            <w:right w:w="0" w:type="dxa"/>
          </w:tblCellMar>
        </w:tblPrEx>
        <w:trPr>
          <w:trHeight w:val="335" w:hRule="atLeast"/>
        </w:trPr>
        <w:tc>
          <w:tcPr>
            <w:tcW w:w="190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栏次</w:t>
            </w:r>
          </w:p>
        </w:tc>
        <w:tc>
          <w:tcPr>
            <w:tcW w:w="120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1</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2</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3</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4</w:t>
            </w:r>
          </w:p>
        </w:tc>
        <w:tc>
          <w:tcPr>
            <w:tcW w:w="11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5</w:t>
            </w:r>
          </w:p>
        </w:tc>
        <w:tc>
          <w:tcPr>
            <w:tcW w:w="12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6</w:t>
            </w:r>
          </w:p>
        </w:tc>
      </w:tr>
      <w:tr>
        <w:tblPrEx>
          <w:tblCellMar>
            <w:top w:w="0" w:type="dxa"/>
            <w:left w:w="0" w:type="dxa"/>
            <w:bottom w:w="0" w:type="dxa"/>
            <w:right w:w="0" w:type="dxa"/>
          </w:tblCellMar>
        </w:tblPrEx>
        <w:trPr>
          <w:trHeight w:val="350" w:hRule="atLeast"/>
        </w:trPr>
        <w:tc>
          <w:tcPr>
            <w:tcW w:w="190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合       计</w:t>
            </w:r>
          </w:p>
        </w:tc>
        <w:tc>
          <w:tcPr>
            <w:tcW w:w="120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50" w:hRule="atLeast"/>
        </w:trPr>
        <w:tc>
          <w:tcPr>
            <w:tcW w:w="190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货物</w:t>
            </w:r>
          </w:p>
        </w:tc>
        <w:tc>
          <w:tcPr>
            <w:tcW w:w="120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50" w:hRule="atLeast"/>
        </w:trPr>
        <w:tc>
          <w:tcPr>
            <w:tcW w:w="190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工程</w:t>
            </w:r>
          </w:p>
        </w:tc>
        <w:tc>
          <w:tcPr>
            <w:tcW w:w="120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50" w:hRule="atLeast"/>
        </w:trPr>
        <w:tc>
          <w:tcPr>
            <w:tcW w:w="190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服务</w:t>
            </w:r>
          </w:p>
        </w:tc>
        <w:tc>
          <w:tcPr>
            <w:tcW w:w="120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09" w:hRule="atLeast"/>
        </w:trPr>
        <w:tc>
          <w:tcPr>
            <w:tcW w:w="1901" w:type="dxa"/>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项目</w:t>
            </w:r>
          </w:p>
        </w:tc>
        <w:tc>
          <w:tcPr>
            <w:tcW w:w="7039" w:type="dxa"/>
            <w:gridSpan w:val="9"/>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实际采购金额</w:t>
            </w:r>
          </w:p>
        </w:tc>
      </w:tr>
      <w:tr>
        <w:tblPrEx>
          <w:tblCellMar>
            <w:top w:w="0" w:type="dxa"/>
            <w:left w:w="0" w:type="dxa"/>
            <w:bottom w:w="0" w:type="dxa"/>
            <w:right w:w="0" w:type="dxa"/>
          </w:tblCellMar>
        </w:tblPrEx>
        <w:trPr>
          <w:trHeight w:val="350" w:hRule="atLeast"/>
        </w:trPr>
        <w:tc>
          <w:tcPr>
            <w:tcW w:w="1901" w:type="dxa"/>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203"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总计</w:t>
            </w:r>
          </w:p>
        </w:tc>
        <w:tc>
          <w:tcPr>
            <w:tcW w:w="4610" w:type="dxa"/>
            <w:gridSpan w:val="7"/>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采购预算（财政性资金）</w:t>
            </w:r>
          </w:p>
        </w:tc>
        <w:tc>
          <w:tcPr>
            <w:tcW w:w="1226"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非财政性资金</w:t>
            </w:r>
          </w:p>
        </w:tc>
      </w:tr>
      <w:tr>
        <w:tblPrEx>
          <w:tblCellMar>
            <w:top w:w="0" w:type="dxa"/>
            <w:left w:w="0" w:type="dxa"/>
            <w:bottom w:w="0" w:type="dxa"/>
            <w:right w:w="0" w:type="dxa"/>
          </w:tblCellMar>
        </w:tblPrEx>
        <w:trPr>
          <w:trHeight w:val="543" w:hRule="atLeast"/>
        </w:trPr>
        <w:tc>
          <w:tcPr>
            <w:tcW w:w="1901" w:type="dxa"/>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203"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合计</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一般公共预算</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政府性基金预算</w:t>
            </w:r>
          </w:p>
        </w:tc>
        <w:tc>
          <w:tcPr>
            <w:tcW w:w="11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其他资金</w:t>
            </w:r>
          </w:p>
        </w:tc>
        <w:tc>
          <w:tcPr>
            <w:tcW w:w="1226"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r>
      <w:tr>
        <w:tblPrEx>
          <w:tblCellMar>
            <w:top w:w="0" w:type="dxa"/>
            <w:left w:w="0" w:type="dxa"/>
            <w:bottom w:w="0" w:type="dxa"/>
            <w:right w:w="0" w:type="dxa"/>
          </w:tblCellMar>
        </w:tblPrEx>
        <w:trPr>
          <w:trHeight w:val="309" w:hRule="atLeast"/>
        </w:trPr>
        <w:tc>
          <w:tcPr>
            <w:tcW w:w="190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栏次</w:t>
            </w:r>
          </w:p>
        </w:tc>
        <w:tc>
          <w:tcPr>
            <w:tcW w:w="120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1</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2</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3</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4</w:t>
            </w:r>
          </w:p>
        </w:tc>
        <w:tc>
          <w:tcPr>
            <w:tcW w:w="11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5</w:t>
            </w:r>
          </w:p>
        </w:tc>
        <w:tc>
          <w:tcPr>
            <w:tcW w:w="12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6</w:t>
            </w:r>
          </w:p>
        </w:tc>
      </w:tr>
      <w:tr>
        <w:tblPrEx>
          <w:tblCellMar>
            <w:top w:w="0" w:type="dxa"/>
            <w:left w:w="0" w:type="dxa"/>
            <w:bottom w:w="0" w:type="dxa"/>
            <w:right w:w="0" w:type="dxa"/>
          </w:tblCellMar>
        </w:tblPrEx>
        <w:trPr>
          <w:trHeight w:val="335" w:hRule="atLeast"/>
        </w:trPr>
        <w:tc>
          <w:tcPr>
            <w:tcW w:w="190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合       计</w:t>
            </w:r>
          </w:p>
        </w:tc>
        <w:tc>
          <w:tcPr>
            <w:tcW w:w="120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35" w:hRule="atLeast"/>
        </w:trPr>
        <w:tc>
          <w:tcPr>
            <w:tcW w:w="190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货物</w:t>
            </w:r>
          </w:p>
        </w:tc>
        <w:tc>
          <w:tcPr>
            <w:tcW w:w="120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35" w:hRule="atLeast"/>
        </w:trPr>
        <w:tc>
          <w:tcPr>
            <w:tcW w:w="190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工程</w:t>
            </w:r>
          </w:p>
        </w:tc>
        <w:tc>
          <w:tcPr>
            <w:tcW w:w="120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35" w:hRule="atLeast"/>
        </w:trPr>
        <w:tc>
          <w:tcPr>
            <w:tcW w:w="190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服务</w:t>
            </w:r>
          </w:p>
        </w:tc>
        <w:tc>
          <w:tcPr>
            <w:tcW w:w="120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98" w:hRule="atLeast"/>
        </w:trPr>
        <w:tc>
          <w:tcPr>
            <w:tcW w:w="8940" w:type="dxa"/>
            <w:gridSpan w:val="10"/>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jc w:val="left"/>
              <w:textAlignment w:val="center"/>
              <w:rPr>
                <w:rFonts w:ascii="宋体" w:hAnsi="宋体" w:cs="宋体"/>
                <w:color w:val="000000"/>
                <w:kern w:val="0"/>
                <w:szCs w:val="21"/>
              </w:rPr>
            </w:pPr>
            <w:r>
              <w:rPr>
                <w:rFonts w:hint="eastAsia" w:ascii="宋体" w:hAnsi="宋体" w:cs="宋体"/>
                <w:color w:val="000000"/>
                <w:kern w:val="0"/>
                <w:szCs w:val="21"/>
              </w:rPr>
              <w:t xml:space="preserve">注：本表反映部门本年度纳入部门预算范围的政府采购预算及支出情况。     </w:t>
            </w:r>
          </w:p>
          <w:p>
            <w:pPr>
              <w:widowControl/>
              <w:adjustRightInd w:val="0"/>
              <w:snapToGrid w:val="0"/>
              <w:spacing w:after="0" w:line="240" w:lineRule="auto"/>
              <w:jc w:val="left"/>
              <w:textAlignment w:val="center"/>
              <w:rPr>
                <w:rFonts w:ascii="宋体" w:hAnsi="宋体" w:cs="宋体"/>
                <w:color w:val="000000"/>
                <w:kern w:val="0"/>
                <w:szCs w:val="21"/>
              </w:rPr>
            </w:pPr>
            <w:r>
              <w:rPr>
                <w:rFonts w:hint="eastAsia" w:ascii="楷体" w:hAnsi="楷体" w:eastAsia="楷体" w:cs="楷体"/>
                <w:sz w:val="32"/>
                <w:szCs w:val="32"/>
              </w:rPr>
              <w:t>本部门本年度无相关收入（或支出、收支及结转结余等）情况，按要求空表列示。</w:t>
            </w:r>
          </w:p>
        </w:tc>
      </w:tr>
    </w:tbl>
    <w:p>
      <w:pPr>
        <w:widowControl/>
        <w:spacing w:after="0" w:line="560" w:lineRule="exact"/>
        <w:jc w:val="left"/>
        <w:rPr>
          <w:rFonts w:ascii="仿宋_GB2312" w:eastAsia="仿宋_GB2312" w:hAnsiTheme="majorEastAsia"/>
          <w:b/>
          <w:sz w:val="28"/>
          <w:szCs w:val="28"/>
          <w:highlight w:val="yellow"/>
        </w:rPr>
      </w:pPr>
    </w:p>
    <w:p/>
    <w:p/>
    <w:p/>
    <w:p/>
    <w:p>
      <w:pPr>
        <w:tabs>
          <w:tab w:val="left" w:pos="1086"/>
        </w:tabs>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r>
        <w:rPr>
          <w:rFonts w:hint="eastAsia"/>
        </w:rPr>
        <w:tab/>
      </w:r>
    </w:p>
    <w:p>
      <w:pPr>
        <w:rPr>
          <w:rFonts w:ascii="宋体" w:hAnsi="宋体" w:cs="ArialUnicodeMS"/>
          <w:color w:val="000000"/>
          <w:kern w:val="0"/>
        </w:rPr>
        <w:sectPr>
          <w:pgSz w:w="11906" w:h="16838"/>
          <w:pgMar w:top="2098" w:right="1474" w:bottom="1984" w:left="1588" w:header="851" w:footer="992" w:gutter="0"/>
          <w:cols w:space="0" w:num="1"/>
          <w:docGrid w:type="lines" w:linePitch="312" w:charSpace="0"/>
        </w:sectPr>
      </w:pPr>
      <w:r>
        <w:rPr>
          <w:rFonts w:hint="eastAsia" w:ascii="宋体" w:hAnsi="宋体" w:cs="ArialUnicodeMS"/>
          <w:color w:val="000000"/>
          <w:kern w:val="0"/>
        </w:rPr>
        <w:drawing>
          <wp:anchor distT="0" distB="0" distL="114300" distR="114300" simplePos="0" relativeHeight="251644928" behindDoc="1" locked="0" layoutInCell="1" allowOverlap="1">
            <wp:simplePos x="0" y="0"/>
            <wp:positionH relativeFrom="column">
              <wp:posOffset>-1009015</wp:posOffset>
            </wp:positionH>
            <wp:positionV relativeFrom="paragraph">
              <wp:posOffset>-1337945</wp:posOffset>
            </wp:positionV>
            <wp:extent cx="7550150" cy="10680065"/>
            <wp:effectExtent l="0" t="0" r="12700" b="6985"/>
            <wp:wrapNone/>
            <wp:docPr id="4" name="图片 4" descr="2"/>
            <wp:cNvGraphicFramePr>
              <a:graphicFrameLocks xmlns:a="http://schemas.openxmlformats.org/drawingml/2006/main" noChangeAspect="true"/>
            </wp:cNvGraphicFramePr>
            <a:graphic xmlns:a="http://schemas.openxmlformats.org/drawingml/2006/main">
              <a:graphicData uri="http://schemas.openxmlformats.org/drawingml/2006/picture">
                <pic:pic xmlns:pic="http://schemas.openxmlformats.org/drawingml/2006/picture">
                  <pic:nvPicPr>
                    <pic:cNvPr id="4" name="图片 4" descr="2"/>
                    <pic:cNvPicPr>
                      <a:picLocks noChangeAspect="true"/>
                    </pic:cNvPicPr>
                  </pic:nvPicPr>
                  <pic:blipFill>
                    <a:blip r:embed="rId7" cstate="print"/>
                    <a:stretch>
                      <a:fillRect/>
                    </a:stretch>
                  </pic:blipFill>
                  <pic:spPr>
                    <a:xfrm>
                      <a:off x="0" y="0"/>
                      <a:ext cx="7550150" cy="10680065"/>
                    </a:xfrm>
                    <a:prstGeom prst="rect">
                      <a:avLst/>
                    </a:prstGeom>
                  </pic:spPr>
                </pic:pic>
              </a:graphicData>
            </a:graphic>
          </wp:anchor>
        </w:drawing>
      </w:r>
      <w:r>
        <w:rPr>
          <w:sz w:val="72"/>
        </w:rPr>
        <w:pict>
          <v:shape id="_x0000_s1056" o:spid="_x0000_s1056" o:spt="202" type="#_x0000_t202" style="position:absolute;left:0pt;margin-left:-78.7pt;margin-top:232.8pt;height:159.1pt;width:596.2pt;z-index:251643904;mso-width-relative:page;mso-height-relative:page;" filled="f" stroked="f" coordsize="21600,21600" o:gfxdata="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">
            <v:path/>
            <v:fill on="f" focussize="0,0"/>
            <v:stroke on="f" weight="0.5pt" joinstyle="miter"/>
            <v:imagedata o:title=""/>
            <o:lock v:ext="edit"/>
            <v:textbox>
              <w:txbxContent>
                <w:p>
                  <w:pPr>
                    <w:widowControl/>
                    <w:spacing w:line="1200" w:lineRule="exact"/>
                    <w:jc w:val="center"/>
                    <w:rPr>
                      <w:rFonts w:hAnsi="宋体" w:asciiTheme="minorEastAsia" w:eastAsiaTheme="minorEastAsia"/>
                      <w:color w:val="FDEFBE"/>
                      <w:sz w:val="96"/>
                      <w:szCs w:val="96"/>
                    </w:rPr>
                  </w:pPr>
                  <w:r>
                    <w:rPr>
                      <w:rFonts w:hint="eastAsia" w:hAnsi="宋体" w:asciiTheme="minorEastAsia" w:eastAsiaTheme="minorEastAsia"/>
                      <w:color w:val="FDEFBE"/>
                      <w:sz w:val="96"/>
                      <w:szCs w:val="96"/>
                    </w:rPr>
                    <w:t>第三部分</w:t>
                  </w:r>
                </w:p>
                <w:p>
                  <w:pPr>
                    <w:widowControl/>
                    <w:spacing w:line="1200" w:lineRule="exact"/>
                    <w:jc w:val="center"/>
                    <w:rPr>
                      <w:color w:val="FDEFBE"/>
                      <w:sz w:val="96"/>
                      <w:szCs w:val="96"/>
                    </w:rPr>
                  </w:pPr>
                  <w:r>
                    <w:rPr>
                      <w:rFonts w:hint="eastAsia" w:hAnsi="宋体" w:asciiTheme="minorEastAsia" w:eastAsiaTheme="minorEastAsia"/>
                      <w:color w:val="FDEFBE"/>
                      <w:sz w:val="96"/>
                      <w:szCs w:val="96"/>
                    </w:rPr>
                    <w:t>部门决算情况说明</w:t>
                  </w:r>
                </w:p>
              </w:txbxContent>
            </v:textbox>
          </v:shape>
        </w:pict>
      </w:r>
    </w:p>
    <w:p>
      <w:pPr>
        <w:pStyle w:val="3"/>
        <w:spacing w:before="0" w:after="0" w:line="580" w:lineRule="exact"/>
        <w:ind w:firstLine="640" w:firstLineChars="200"/>
        <w:rPr>
          <w:rFonts w:ascii="黑体" w:eastAsia="黑体"/>
          <w:b w:val="0"/>
          <w:bCs w:val="0"/>
        </w:rPr>
      </w:pPr>
      <w:r>
        <w:rPr>
          <w:rFonts w:hint="eastAsia" w:ascii="黑体" w:eastAsia="黑体"/>
          <w:b w:val="0"/>
          <w:bCs w:val="0"/>
        </w:rPr>
        <w:t>一、收入</w:t>
      </w:r>
      <w:r>
        <w:rPr>
          <w:rFonts w:hint="eastAsia" w:ascii="黑体" w:eastAsia="黑体" w:cs="黑体" w:hAnsiTheme="minorHAnsi"/>
          <w:b w:val="0"/>
          <w:bCs w:val="0"/>
          <w:kern w:val="0"/>
        </w:rPr>
        <w:t>支</w:t>
      </w:r>
      <w:r>
        <w:rPr>
          <w:sz w:val="44"/>
        </w:rPr>
        <w:pict>
          <v:group id="_x0000_s1053" o:spid="_x0000_s1053" o:spt="203" style="position:absolute;left:0pt;margin-left:-0.55pt;margin-top:29.3pt;height:43.95pt;width:301.85pt;mso-position-horizontal-relative:page;mso-position-vertical-relative:page;z-index:251676672;mso-width-relative:page;mso-height-relative:page;" coordorigin="4551,52615" coordsize="8546,1398203" o:gfxdata="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">
            <o:lock v:ext="edit"/>
            <v:rect id="矩形 13" o:spid="_x0000_s1055" o:spt="1" style="position:absolute;left:4551;top:52615;height:1175;width:8546;v-text-anchor:middle;" fillcolor="#D9D9D9" filled="t" stroked="f" coordsize="21600,21600" o:gfxdata="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fHYdtrsAAADb&#10;AAAADwAAAAAAAAABACAAAAAiAAAAZHJzL2Rvd25yZXYueG1sUEsBAhQAFAAAAAgAh07iQDMvBZ47&#10;AAAAOQAAABAAAAAAAAAAAQAgAAAACgEAAGRycy9zaGFwZXhtbC54bWxQSwUGAAAAAAYABgBbAQAA&#10;tAMAAAAA&#10;">
              <v:path/>
              <v:fill on="t" focussize="0,0"/>
              <v:stroke on="f" weight="2pt"/>
              <v:imagedata o:title=""/>
              <o:lock v:ext="edit"/>
            </v:rect>
            <v:rect id="矩形 14" o:spid="_x0000_s1054" o:spt="1" style="position:absolute;left:4577;top:52890;height:1123;width:8324;v-text-anchor:middle;" fillcolor="#AD002D" filled="t" stroked="t" coordsize="21600,21600" o:gfxdata="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KqJOqC5AAAA2wAA&#10;AA8AAAAAAAAAAQAgAAAAIgAAAGRycy9kb3ducmV2LnhtbFBLAQIUABQAAAAIAIdO4kAzLwWeOwAA&#10;ADkAAAAQAAAAAAAAAAEAIAAAAAgBAABkcnMvc2hhcGV4bWwueG1sUEsFBgAAAAAGAAYAWwEAALID&#10;AAAAAA==&#10;">
              <v:path/>
              <v:fill on="t" focussize="0,0"/>
              <v:stroke weight="2pt" color="#B0761F" joinstyle="round"/>
              <v:imagedata o:title=""/>
              <o:lock v:ext="edit"/>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2018年度部门决算☞部门决算情况说明</w:t>
                    </w:r>
                  </w:p>
                  <w:p>
                    <w:pPr>
                      <w:jc w:val="center"/>
                    </w:pPr>
                  </w:p>
                </w:txbxContent>
              </v:textbox>
            </v:rect>
            <w10:anchorlock/>
          </v:group>
        </w:pict>
      </w:r>
      <w:r>
        <w:rPr>
          <w:rFonts w:hint="eastAsia" w:ascii="黑体" w:eastAsia="黑体" w:cs="黑体" w:hAnsiTheme="minorHAnsi"/>
          <w:b w:val="0"/>
          <w:bCs w:val="0"/>
          <w:kern w:val="0"/>
        </w:rPr>
        <w:t>出</w:t>
      </w:r>
      <w:r>
        <w:rPr>
          <w:rFonts w:hint="eastAsia" w:ascii="黑体" w:eastAsia="黑体"/>
          <w:b w:val="0"/>
          <w:bCs w:val="0"/>
        </w:rPr>
        <w:t>决算总体情况说明</w:t>
      </w:r>
    </w:p>
    <w:p>
      <w:pPr>
        <w:adjustRightInd w:val="0"/>
        <w:snapToGrid w:val="0"/>
        <w:spacing w:after="0" w:line="580" w:lineRule="exact"/>
        <w:ind w:firstLine="640" w:firstLineChars="200"/>
        <w:rPr>
          <w:rFonts w:ascii="仿宋_GB2312" w:cs="DengXian-Regular" w:eastAsiaTheme="minorEastAsia"/>
          <w:sz w:val="32"/>
          <w:szCs w:val="32"/>
        </w:rPr>
      </w:pPr>
      <w:r>
        <w:rPr>
          <w:rFonts w:hint="eastAsia" w:ascii="仿宋_GB2312" w:eastAsia="仿宋_GB2312" w:cs="DengXian-Regular"/>
          <w:sz w:val="32"/>
          <w:szCs w:val="32"/>
        </w:rPr>
        <w:t>本部门2018年度</w:t>
      </w:r>
      <w:r>
        <w:rPr>
          <w:rFonts w:hint="eastAsia" w:ascii="仿宋_GB2312" w:cs="DengXian-Regular" w:eastAsiaTheme="minorEastAsia"/>
          <w:sz w:val="32"/>
          <w:szCs w:val="32"/>
        </w:rPr>
        <w:t>年初结转和结余7.31万元，本年收入</w:t>
      </w:r>
      <w:r>
        <w:rPr>
          <w:rFonts w:eastAsia="仿宋_GB2312"/>
          <w:sz w:val="32"/>
          <w:szCs w:val="32"/>
        </w:rPr>
        <w:t>172.45</w:t>
      </w:r>
      <w:r>
        <w:rPr>
          <w:rFonts w:hint="eastAsia" w:ascii="仿宋_GB2312" w:cs="DengXian-Regular" w:eastAsiaTheme="minorEastAsia"/>
          <w:sz w:val="32"/>
          <w:szCs w:val="32"/>
        </w:rPr>
        <w:t>万元，共17</w:t>
      </w:r>
      <w:r>
        <w:rPr>
          <w:rFonts w:hint="eastAsia" w:ascii="宋体" w:hAnsi="宋体" w:cs="宋体"/>
          <w:sz w:val="32"/>
          <w:szCs w:val="32"/>
        </w:rPr>
        <w:t>9.76</w:t>
      </w:r>
      <w:r>
        <w:rPr>
          <w:rFonts w:hint="eastAsia" w:ascii="仿宋_GB2312" w:cs="DengXian-Regular" w:eastAsiaTheme="minorEastAsia"/>
          <w:sz w:val="32"/>
          <w:szCs w:val="32"/>
        </w:rPr>
        <w:t>万元，</w:t>
      </w:r>
      <w:r>
        <w:rPr>
          <w:rFonts w:ascii="仿宋" w:hAnsi="仿宋" w:eastAsia="仿宋" w:cs="仿宋"/>
          <w:color w:val="000000"/>
          <w:sz w:val="32"/>
          <w:szCs w:val="32"/>
        </w:rPr>
        <w:t>本年支出</w:t>
      </w:r>
      <w:r>
        <w:rPr>
          <w:rFonts w:eastAsia="仿宋_GB2312"/>
          <w:sz w:val="32"/>
          <w:szCs w:val="32"/>
        </w:rPr>
        <w:t>16</w:t>
      </w:r>
      <w:r>
        <w:rPr>
          <w:rFonts w:hint="eastAsia" w:eastAsiaTheme="minorEastAsia"/>
          <w:sz w:val="32"/>
          <w:szCs w:val="32"/>
        </w:rPr>
        <w:t>8</w:t>
      </w:r>
      <w:r>
        <w:rPr>
          <w:rFonts w:eastAsia="仿宋_GB2312"/>
          <w:sz w:val="32"/>
          <w:szCs w:val="32"/>
        </w:rPr>
        <w:t>.</w:t>
      </w:r>
      <w:r>
        <w:rPr>
          <w:rFonts w:hint="eastAsia" w:eastAsiaTheme="minorEastAsia"/>
          <w:sz w:val="32"/>
          <w:szCs w:val="32"/>
        </w:rPr>
        <w:t>3</w:t>
      </w:r>
      <w:r>
        <w:rPr>
          <w:rFonts w:eastAsia="仿宋_GB2312"/>
          <w:sz w:val="32"/>
          <w:szCs w:val="32"/>
        </w:rPr>
        <w:t>2</w:t>
      </w:r>
      <w:r>
        <w:rPr>
          <w:rFonts w:ascii="仿宋" w:hAnsi="仿宋" w:eastAsia="仿宋" w:cs="仿宋"/>
          <w:color w:val="000000"/>
          <w:sz w:val="32"/>
          <w:szCs w:val="32"/>
        </w:rPr>
        <w:t>万元，年末结转和结余</w:t>
      </w:r>
      <w:r>
        <w:rPr>
          <w:rFonts w:eastAsia="仿宋_GB2312"/>
          <w:sz w:val="32"/>
          <w:szCs w:val="32"/>
        </w:rPr>
        <w:t>11.45</w:t>
      </w:r>
      <w:r>
        <w:rPr>
          <w:rFonts w:ascii="仿宋" w:hAnsi="仿宋" w:eastAsia="仿宋" w:cs="仿宋"/>
          <w:color w:val="000000"/>
          <w:sz w:val="32"/>
          <w:szCs w:val="32"/>
        </w:rPr>
        <w:t>万元</w:t>
      </w:r>
      <w:r>
        <w:rPr>
          <w:rFonts w:hint="eastAsia" w:ascii="仿宋" w:hAnsi="仿宋" w:eastAsia="仿宋" w:cs="仿宋"/>
          <w:color w:val="000000"/>
          <w:sz w:val="32"/>
          <w:szCs w:val="32"/>
        </w:rPr>
        <w:t>，</w:t>
      </w:r>
      <w:r>
        <w:rPr>
          <w:rFonts w:ascii="仿宋" w:hAnsi="仿宋" w:eastAsia="仿宋" w:cs="仿宋"/>
          <w:color w:val="000000"/>
          <w:sz w:val="32"/>
          <w:szCs w:val="32"/>
        </w:rPr>
        <w:t>201</w:t>
      </w:r>
      <w:r>
        <w:rPr>
          <w:rFonts w:hint="eastAsia" w:ascii="仿宋" w:hAnsi="仿宋" w:eastAsia="仿宋" w:cs="仿宋"/>
          <w:color w:val="000000"/>
          <w:sz w:val="32"/>
          <w:szCs w:val="32"/>
        </w:rPr>
        <w:t>7</w:t>
      </w:r>
      <w:r>
        <w:rPr>
          <w:rFonts w:ascii="仿宋" w:hAnsi="仿宋" w:eastAsia="仿宋" w:cs="仿宋"/>
          <w:color w:val="000000"/>
          <w:sz w:val="32"/>
          <w:szCs w:val="32"/>
        </w:rPr>
        <w:t>年度结转和结余</w:t>
      </w:r>
      <w:r>
        <w:rPr>
          <w:rFonts w:hint="eastAsia" w:ascii="仿宋" w:hAnsi="仿宋" w:eastAsia="仿宋" w:cs="仿宋"/>
          <w:color w:val="000000"/>
          <w:sz w:val="32"/>
          <w:szCs w:val="32"/>
        </w:rPr>
        <w:t>12.42</w:t>
      </w:r>
      <w:r>
        <w:rPr>
          <w:rFonts w:ascii="仿宋" w:hAnsi="仿宋" w:eastAsia="仿宋" w:cs="仿宋"/>
          <w:color w:val="000000"/>
          <w:sz w:val="32"/>
          <w:szCs w:val="32"/>
        </w:rPr>
        <w:t>万元，本年收</w:t>
      </w:r>
      <w:r>
        <w:rPr>
          <w:rFonts w:hint="eastAsia" w:ascii="仿宋" w:hAnsi="仿宋" w:eastAsia="仿宋" w:cs="仿宋"/>
          <w:color w:val="000000"/>
          <w:sz w:val="32"/>
          <w:szCs w:val="32"/>
        </w:rPr>
        <w:t>154.44</w:t>
      </w:r>
      <w:r>
        <w:rPr>
          <w:rFonts w:ascii="仿宋" w:hAnsi="仿宋" w:eastAsia="仿宋" w:cs="仿宋"/>
          <w:color w:val="000000"/>
          <w:sz w:val="32"/>
          <w:szCs w:val="32"/>
        </w:rPr>
        <w:t>万元，</w:t>
      </w:r>
      <w:r>
        <w:rPr>
          <w:rFonts w:hint="eastAsia" w:ascii="仿宋" w:hAnsi="仿宋" w:eastAsia="仿宋" w:cs="仿宋"/>
          <w:color w:val="000000"/>
          <w:sz w:val="32"/>
          <w:szCs w:val="32"/>
        </w:rPr>
        <w:t>共166.86万元，</w:t>
      </w:r>
      <w:r>
        <w:rPr>
          <w:rFonts w:ascii="仿宋" w:hAnsi="仿宋" w:eastAsia="仿宋" w:cs="仿宋"/>
          <w:color w:val="000000"/>
          <w:sz w:val="32"/>
          <w:szCs w:val="32"/>
        </w:rPr>
        <w:t>本年支出</w:t>
      </w:r>
      <w:r>
        <w:rPr>
          <w:rFonts w:hint="eastAsia" w:ascii="仿宋" w:hAnsi="仿宋" w:eastAsia="仿宋" w:cs="仿宋"/>
          <w:color w:val="000000"/>
          <w:sz w:val="32"/>
          <w:szCs w:val="32"/>
        </w:rPr>
        <w:t>159.54</w:t>
      </w:r>
      <w:r>
        <w:rPr>
          <w:rFonts w:ascii="仿宋" w:hAnsi="仿宋" w:eastAsia="仿宋" w:cs="仿宋"/>
          <w:color w:val="000000"/>
          <w:sz w:val="32"/>
          <w:szCs w:val="32"/>
        </w:rPr>
        <w:t>万元</w:t>
      </w:r>
      <w:r>
        <w:rPr>
          <w:rFonts w:hint="eastAsia" w:ascii="仿宋" w:hAnsi="仿宋" w:eastAsia="仿宋" w:cs="仿宋"/>
          <w:color w:val="000000"/>
          <w:sz w:val="32"/>
          <w:szCs w:val="32"/>
        </w:rPr>
        <w:t>，</w:t>
      </w:r>
      <w:r>
        <w:rPr>
          <w:rFonts w:hint="eastAsia" w:ascii="仿宋_GB2312" w:eastAsia="仿宋_GB2312" w:cs="DengXian-Regular"/>
          <w:sz w:val="32"/>
          <w:szCs w:val="32"/>
        </w:rPr>
        <w:t>与2017年度决算相比，收</w:t>
      </w:r>
      <w:r>
        <w:rPr>
          <w:rFonts w:hint="eastAsia" w:ascii="仿宋_GB2312" w:cs="DengXian-Regular" w:eastAsiaTheme="minorEastAsia"/>
          <w:sz w:val="32"/>
          <w:szCs w:val="32"/>
        </w:rPr>
        <w:t>入</w:t>
      </w:r>
      <w:r>
        <w:rPr>
          <w:rFonts w:hint="eastAsia" w:ascii="仿宋_GB2312" w:eastAsia="仿宋_GB2312" w:cs="DengXian-Regular"/>
          <w:sz w:val="32"/>
          <w:szCs w:val="32"/>
        </w:rPr>
        <w:t>增加</w:t>
      </w:r>
      <w:r>
        <w:rPr>
          <w:rFonts w:hint="eastAsia" w:ascii="仿宋_GB2312" w:cs="DengXian-Regular" w:eastAsiaTheme="minorEastAsia"/>
          <w:sz w:val="32"/>
          <w:szCs w:val="32"/>
        </w:rPr>
        <w:t>18.01</w:t>
      </w:r>
      <w:r>
        <w:rPr>
          <w:rFonts w:hint="eastAsia" w:ascii="仿宋_GB2312" w:eastAsia="仿宋_GB2312" w:cs="DengXian-Regular"/>
          <w:sz w:val="32"/>
          <w:szCs w:val="32"/>
        </w:rPr>
        <w:t>万元，增长</w:t>
      </w:r>
      <w:r>
        <w:rPr>
          <w:rFonts w:hint="eastAsia" w:ascii="仿宋_GB2312" w:cs="DengXian-Regular" w:eastAsiaTheme="minorEastAsia"/>
          <w:sz w:val="32"/>
          <w:szCs w:val="32"/>
        </w:rPr>
        <w:t>10</w:t>
      </w:r>
      <w:r>
        <w:rPr>
          <w:rFonts w:hint="eastAsia" w:ascii="宋体" w:hAnsi="宋体" w:cs="宋体"/>
          <w:sz w:val="32"/>
          <w:szCs w:val="32"/>
        </w:rPr>
        <w:t>.44</w:t>
      </w:r>
      <w:r>
        <w:rPr>
          <w:rFonts w:hint="eastAsia" w:ascii="仿宋_GB2312" w:eastAsia="仿宋_GB2312" w:cs="DengXian-Regular"/>
          <w:sz w:val="32"/>
          <w:szCs w:val="32"/>
        </w:rPr>
        <w:t>%，主要原因是</w:t>
      </w:r>
      <w:r>
        <w:rPr>
          <w:rFonts w:hint="eastAsia" w:ascii="仿宋_GB2312" w:cs="DengXian-Regular" w:eastAsiaTheme="minorEastAsia"/>
          <w:sz w:val="32"/>
          <w:szCs w:val="32"/>
        </w:rPr>
        <w:t>人员增加</w:t>
      </w:r>
      <w:r>
        <w:rPr>
          <w:rFonts w:hint="eastAsia" w:ascii="仿宋_GB2312" w:eastAsia="仿宋_GB2312" w:cs="DengXian-Regular"/>
          <w:sz w:val="32"/>
          <w:szCs w:val="32"/>
        </w:rPr>
        <w:t>。</w:t>
      </w:r>
      <w:r>
        <w:rPr>
          <w:rFonts w:hint="eastAsia" w:ascii="仿宋_GB2312" w:cs="DengXian-Regular" w:eastAsiaTheme="minorEastAsia"/>
          <w:sz w:val="32"/>
          <w:szCs w:val="32"/>
        </w:rPr>
        <w:t>支出</w:t>
      </w:r>
      <w:r>
        <w:rPr>
          <w:rFonts w:hint="eastAsia" w:ascii="仿宋_GB2312" w:eastAsia="仿宋_GB2312" w:cs="DengXian-Regular"/>
          <w:sz w:val="32"/>
          <w:szCs w:val="32"/>
        </w:rPr>
        <w:t>增加</w:t>
      </w:r>
      <w:r>
        <w:rPr>
          <w:rFonts w:hint="eastAsia" w:ascii="仿宋_GB2312" w:cs="DengXian-Regular" w:eastAsiaTheme="minorEastAsia"/>
          <w:sz w:val="32"/>
          <w:szCs w:val="32"/>
        </w:rPr>
        <w:t>8.78</w:t>
      </w:r>
      <w:r>
        <w:rPr>
          <w:rFonts w:hint="eastAsia" w:ascii="仿宋_GB2312" w:eastAsia="仿宋_GB2312" w:cs="DengXian-Regular"/>
          <w:sz w:val="32"/>
          <w:szCs w:val="32"/>
        </w:rPr>
        <w:t>万元，增长</w:t>
      </w:r>
      <w:r>
        <w:rPr>
          <w:rFonts w:hint="eastAsia" w:ascii="仿宋_GB2312" w:cs="DengXian-Regular" w:eastAsiaTheme="minorEastAsia"/>
          <w:sz w:val="32"/>
          <w:szCs w:val="32"/>
        </w:rPr>
        <w:t>5.21</w:t>
      </w:r>
      <w:r>
        <w:rPr>
          <w:rFonts w:hint="eastAsia" w:ascii="仿宋_GB2312" w:eastAsia="仿宋_GB2312" w:cs="DengXian-Regular"/>
          <w:sz w:val="32"/>
          <w:szCs w:val="32"/>
        </w:rPr>
        <w:t>%，主要原因是</w:t>
      </w:r>
      <w:r>
        <w:rPr>
          <w:rFonts w:hint="eastAsia" w:ascii="仿宋_GB2312" w:cs="DengXian-Regular" w:eastAsiaTheme="minorEastAsia"/>
          <w:sz w:val="32"/>
          <w:szCs w:val="32"/>
        </w:rPr>
        <w:t>保险、工资以及人员增加</w:t>
      </w:r>
      <w:r>
        <w:rPr>
          <w:rFonts w:hint="eastAsia" w:ascii="仿宋_GB2312" w:eastAsia="仿宋_GB2312" w:cs="DengXian-Regular"/>
          <w:sz w:val="32"/>
          <w:szCs w:val="32"/>
        </w:rPr>
        <w:t>。</w:t>
      </w:r>
    </w:p>
    <w:p>
      <w:pPr>
        <w:pStyle w:val="3"/>
        <w:spacing w:before="0" w:after="0" w:line="580" w:lineRule="exact"/>
        <w:ind w:firstLine="640" w:firstLineChars="200"/>
        <w:rPr>
          <w:rFonts w:ascii="黑体" w:eastAsia="黑体"/>
          <w:b w:val="0"/>
          <w:bCs w:val="0"/>
        </w:rPr>
      </w:pPr>
      <w:r>
        <w:rPr>
          <w:rFonts w:hint="eastAsia" w:ascii="黑体" w:eastAsia="黑体"/>
          <w:b w:val="0"/>
          <w:bCs w:val="0"/>
        </w:rPr>
        <w:t>二、收入决算情况说明</w:t>
      </w:r>
    </w:p>
    <w:p>
      <w:pPr>
        <w:adjustRightInd w:val="0"/>
        <w:snapToGrid w:val="0"/>
        <w:spacing w:after="0" w:line="580" w:lineRule="exact"/>
        <w:ind w:firstLine="640" w:firstLineChars="200"/>
      </w:pPr>
      <w:r>
        <w:rPr>
          <w:rFonts w:hint="eastAsia" w:ascii="仿宋_GB2312" w:eastAsia="仿宋_GB2312" w:cs="DengXian-Regular"/>
          <w:sz w:val="32"/>
          <w:szCs w:val="32"/>
        </w:rPr>
        <w:t>本部门2018年度本年收入合计</w:t>
      </w:r>
      <w:r>
        <w:rPr>
          <w:rFonts w:hint="eastAsia" w:ascii="仿宋_GB2312" w:cs="DengXian-Regular" w:eastAsiaTheme="minorEastAsia"/>
          <w:sz w:val="32"/>
          <w:szCs w:val="32"/>
        </w:rPr>
        <w:t>172.4</w:t>
      </w:r>
      <w:r>
        <w:rPr>
          <w:rFonts w:hint="eastAsia" w:ascii="仿宋_GB2312" w:eastAsia="仿宋_GB2312" w:cs="DengXian-Regular"/>
          <w:sz w:val="32"/>
          <w:szCs w:val="32"/>
        </w:rPr>
        <w:t>万元，其中：财政拨款收入</w:t>
      </w:r>
      <w:r>
        <w:rPr>
          <w:rFonts w:hint="eastAsia" w:ascii="仿宋_GB2312" w:cs="DengXian-Regular" w:eastAsiaTheme="minorEastAsia"/>
          <w:sz w:val="32"/>
          <w:szCs w:val="32"/>
        </w:rPr>
        <w:t>170.85</w:t>
      </w:r>
      <w:r>
        <w:rPr>
          <w:rFonts w:hint="eastAsia" w:ascii="仿宋_GB2312" w:eastAsia="仿宋_GB2312" w:cs="DengXian-Regular"/>
          <w:sz w:val="32"/>
          <w:szCs w:val="32"/>
        </w:rPr>
        <w:t>万元，占</w:t>
      </w:r>
      <w:r>
        <w:rPr>
          <w:rFonts w:hint="eastAsia" w:ascii="宋体" w:hAnsi="宋体" w:cs="宋体"/>
          <w:sz w:val="32"/>
          <w:szCs w:val="32"/>
        </w:rPr>
        <w:t>99.04</w:t>
      </w:r>
      <w:r>
        <w:rPr>
          <w:rFonts w:hint="eastAsia" w:ascii="仿宋_GB2312" w:eastAsia="仿宋_GB2312" w:cs="DengXian-Regular"/>
          <w:sz w:val="32"/>
          <w:szCs w:val="32"/>
        </w:rPr>
        <w:t>%；事业收入0万元，占0%；经营收入0万元，占0%；其他收入</w:t>
      </w:r>
      <w:r>
        <w:rPr>
          <w:rFonts w:hint="eastAsia" w:ascii="仿宋_GB2312" w:cs="DengXian-Regular" w:eastAsiaTheme="minorEastAsia"/>
          <w:sz w:val="32"/>
          <w:szCs w:val="32"/>
        </w:rPr>
        <w:t>1.6</w:t>
      </w:r>
      <w:r>
        <w:rPr>
          <w:rFonts w:hint="eastAsia" w:ascii="仿宋_GB2312" w:eastAsia="仿宋_GB2312" w:cs="DengXian-Regular"/>
          <w:sz w:val="32"/>
          <w:szCs w:val="32"/>
        </w:rPr>
        <w:t>万元，占</w:t>
      </w:r>
      <w:r>
        <w:rPr>
          <w:rFonts w:hint="eastAsia" w:ascii="仿宋_GB2312" w:cs="DengXian-Regular" w:eastAsiaTheme="minorEastAsia"/>
          <w:sz w:val="32"/>
          <w:szCs w:val="32"/>
        </w:rPr>
        <w:t>0.</w:t>
      </w:r>
      <w:r>
        <w:rPr>
          <w:rFonts w:hint="eastAsia" w:ascii="宋体" w:hAnsi="宋体" w:cs="宋体"/>
          <w:sz w:val="32"/>
          <w:szCs w:val="32"/>
        </w:rPr>
        <w:t>96</w:t>
      </w:r>
      <w:r>
        <w:rPr>
          <w:rFonts w:hint="eastAsia" w:ascii="仿宋_GB2312" w:eastAsia="仿宋_GB2312" w:cs="DengXian-Regular"/>
          <w:sz w:val="32"/>
          <w:szCs w:val="32"/>
        </w:rPr>
        <w:t>9%。如图所示：</w:t>
      </w:r>
    </w:p>
    <w:p>
      <w:pPr>
        <w:adjustRightInd w:val="0"/>
        <w:snapToGrid w:val="0"/>
        <w:spacing w:after="0" w:line="580" w:lineRule="exact"/>
        <w:ind w:firstLine="1920" w:firstLineChars="600"/>
        <w:rPr>
          <w:rFonts w:ascii="仿宋_GB2312" w:eastAsia="仿宋_GB2312" w:cs="DengXian-Regular"/>
          <w:sz w:val="32"/>
          <w:szCs w:val="32"/>
        </w:rPr>
      </w:pPr>
      <w:r>
        <w:rPr>
          <w:sz w:val="32"/>
        </w:rPr>
        <w:pict>
          <v:shape id="_x0000_s1052" o:spid="_x0000_s1052" o:spt="202" type="#_x0000_t202" style="position:absolute;left:0pt;margin-left:69.1pt;margin-top:330.15pt;height:58.3pt;width:309.4pt;mso-wrap-distance-bottom:0pt;mso-wrap-distance-left:9pt;mso-wrap-distance-right:9pt;mso-wrap-distance-top:0pt;z-index:251679744;mso-width-relative:page;mso-height-relative:page;" fillcolor="#FFFFFF" filled="t" coordsize="21600,21600" o:gfxdata="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">
            <v:path/>
            <v:fill on="t" focussize="0,0"/>
            <v:stroke weight="0.5pt" joinstyle="round"/>
            <v:imagedata o:title=""/>
            <o:lock v:ext="edit"/>
            <v:textbox>
              <w:txbxContent>
                <w:p>
                  <w:pPr>
                    <w:adjustRightInd w:val="0"/>
                    <w:snapToGrid w:val="0"/>
                    <w:spacing w:line="560" w:lineRule="exact"/>
                    <w:jc w:val="center"/>
                    <w:rPr>
                      <w:rFonts w:ascii="仿宋_GB2312" w:eastAsia="仿宋_GB2312" w:cs="DengXian-Regular"/>
                      <w:sz w:val="44"/>
                      <w:szCs w:val="44"/>
                    </w:rPr>
                  </w:pPr>
                  <w:r>
                    <w:rPr>
                      <w:rFonts w:hint="eastAsia" w:ascii="仿宋_GB2312" w:eastAsia="仿宋_GB2312" w:cs="DengXian-Regular"/>
                      <w:sz w:val="44"/>
                      <w:szCs w:val="44"/>
                    </w:rPr>
                    <w:t>图1：收入构成情况</w:t>
                  </w:r>
                </w:p>
                <w:p/>
              </w:txbxContent>
            </v:textbox>
            <w10:wrap type="square"/>
          </v:shape>
        </w:pict>
      </w:r>
      <w:r>
        <w:rPr>
          <w:rFonts w:hint="eastAsia" w:ascii="仿宋_GB2312" w:eastAsia="仿宋_GB2312" w:cs="DengXian-Regular"/>
          <w:sz w:val="32"/>
          <w:szCs w:val="32"/>
        </w:rPr>
        <w:drawing>
          <wp:anchor distT="0" distB="0" distL="114300" distR="114300" simplePos="0" relativeHeight="251678720" behindDoc="0" locked="0" layoutInCell="1" allowOverlap="1">
            <wp:simplePos x="0" y="0"/>
            <wp:positionH relativeFrom="column">
              <wp:posOffset>320040</wp:posOffset>
            </wp:positionH>
            <wp:positionV relativeFrom="paragraph">
              <wp:posOffset>228600</wp:posOffset>
            </wp:positionV>
            <wp:extent cx="5080000" cy="3810000"/>
            <wp:effectExtent l="4445" t="4445" r="5715" b="10795"/>
            <wp:wrapSquare wrapText="bothSides"/>
            <wp:docPr id="27" name="图表 27"/>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anchor>
        </w:drawing>
      </w:r>
    </w:p>
    <w:p>
      <w:pPr>
        <w:adjustRightInd w:val="0"/>
        <w:snapToGrid w:val="0"/>
        <w:spacing w:after="0" w:line="580" w:lineRule="exact"/>
        <w:ind w:firstLine="1920" w:firstLineChars="600"/>
        <w:rPr>
          <w:rFonts w:ascii="仿宋_GB2312" w:eastAsia="仿宋_GB2312" w:cs="DengXian-Regular"/>
          <w:sz w:val="32"/>
          <w:szCs w:val="32"/>
        </w:rPr>
      </w:pPr>
    </w:p>
    <w:p>
      <w:pPr>
        <w:adjustRightInd w:val="0"/>
        <w:snapToGrid w:val="0"/>
        <w:spacing w:after="0" w:line="580" w:lineRule="exact"/>
        <w:ind w:firstLine="1920" w:firstLineChars="600"/>
        <w:rPr>
          <w:rFonts w:ascii="仿宋_GB2312" w:eastAsia="仿宋_GB2312" w:cs="DengXian-Regular"/>
          <w:sz w:val="32"/>
          <w:szCs w:val="32"/>
        </w:rPr>
      </w:pPr>
    </w:p>
    <w:p>
      <w:pPr>
        <w:pStyle w:val="3"/>
        <w:spacing w:before="0" w:after="0" w:line="580" w:lineRule="exact"/>
        <w:rPr>
          <w:rFonts w:ascii="黑体" w:eastAsia="黑体"/>
          <w:b w:val="0"/>
          <w:bCs w:val="0"/>
        </w:rPr>
      </w:pPr>
      <w:r>
        <w:rPr>
          <w:rFonts w:hint="eastAsia" w:ascii="黑体" w:eastAsia="黑体"/>
          <w:b w:val="0"/>
          <w:bCs w:val="0"/>
        </w:rPr>
        <w:t>三、支出决算情况说明</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本部门2018年度本年支出合计</w:t>
      </w:r>
      <w:r>
        <w:rPr>
          <w:rFonts w:eastAsia="仿宋_GB2312"/>
          <w:sz w:val="32"/>
          <w:szCs w:val="32"/>
        </w:rPr>
        <w:t>16</w:t>
      </w:r>
      <w:r>
        <w:rPr>
          <w:rFonts w:hint="eastAsia" w:eastAsiaTheme="minorEastAsia"/>
          <w:sz w:val="32"/>
          <w:szCs w:val="32"/>
        </w:rPr>
        <w:t>8</w:t>
      </w:r>
      <w:r>
        <w:rPr>
          <w:rFonts w:eastAsia="仿宋_GB2312"/>
          <w:sz w:val="32"/>
          <w:szCs w:val="32"/>
        </w:rPr>
        <w:t>.</w:t>
      </w:r>
      <w:r>
        <w:rPr>
          <w:rFonts w:hint="eastAsia" w:eastAsiaTheme="minorEastAsia"/>
          <w:sz w:val="32"/>
          <w:szCs w:val="32"/>
        </w:rPr>
        <w:t>3</w:t>
      </w:r>
      <w:r>
        <w:rPr>
          <w:rFonts w:eastAsia="仿宋_GB2312"/>
          <w:sz w:val="32"/>
          <w:szCs w:val="32"/>
        </w:rPr>
        <w:t>2</w:t>
      </w:r>
      <w:r>
        <w:rPr>
          <w:rFonts w:hint="eastAsia" w:ascii="仿宋_GB2312" w:eastAsia="仿宋_GB2312" w:cs="DengXian-Regular"/>
          <w:sz w:val="32"/>
          <w:szCs w:val="32"/>
        </w:rPr>
        <w:t>万元，其中：基本支出</w:t>
      </w:r>
      <w:r>
        <w:rPr>
          <w:rFonts w:hint="eastAsia" w:ascii="仿宋_GB2312" w:cs="DengXian-Regular" w:eastAsiaTheme="minorEastAsia"/>
          <w:sz w:val="32"/>
          <w:szCs w:val="32"/>
        </w:rPr>
        <w:t>162.2</w:t>
      </w:r>
      <w:r>
        <w:rPr>
          <w:rFonts w:hint="eastAsia" w:ascii="仿宋_GB2312" w:eastAsia="仿宋_GB2312" w:cs="DengXian-Regular"/>
          <w:sz w:val="32"/>
          <w:szCs w:val="32"/>
        </w:rPr>
        <w:t>万元，占</w:t>
      </w:r>
      <w:r>
        <w:rPr>
          <w:rFonts w:hint="eastAsia" w:ascii="宋体" w:hAnsi="宋体" w:cs="宋体"/>
          <w:sz w:val="32"/>
          <w:szCs w:val="32"/>
        </w:rPr>
        <w:t>96.36</w:t>
      </w:r>
      <w:r>
        <w:rPr>
          <w:rFonts w:hint="eastAsia" w:ascii="仿宋_GB2312" w:eastAsia="仿宋_GB2312" w:cs="DengXian-Regular"/>
          <w:sz w:val="32"/>
          <w:szCs w:val="32"/>
        </w:rPr>
        <w:t>%；项目支出</w:t>
      </w:r>
      <w:r>
        <w:rPr>
          <w:rFonts w:hint="eastAsia" w:ascii="仿宋_GB2312" w:cs="DengXian-Regular" w:eastAsiaTheme="minorEastAsia"/>
          <w:sz w:val="32"/>
          <w:szCs w:val="32"/>
        </w:rPr>
        <w:t>6.12</w:t>
      </w:r>
      <w:r>
        <w:rPr>
          <w:rFonts w:hint="eastAsia" w:ascii="仿宋_GB2312" w:eastAsia="仿宋_GB2312" w:cs="DengXian-Regular"/>
          <w:sz w:val="32"/>
          <w:szCs w:val="32"/>
        </w:rPr>
        <w:t>万元，占</w:t>
      </w:r>
      <w:r>
        <w:rPr>
          <w:rFonts w:hint="eastAsia" w:ascii="仿宋_GB2312" w:cs="DengXian-Regular" w:eastAsiaTheme="minorEastAsia"/>
          <w:sz w:val="32"/>
          <w:szCs w:val="32"/>
        </w:rPr>
        <w:t>3.64</w:t>
      </w:r>
      <w:r>
        <w:rPr>
          <w:rFonts w:hint="eastAsia" w:ascii="仿宋_GB2312" w:eastAsia="仿宋_GB2312" w:cs="DengXian-Regular"/>
          <w:sz w:val="32"/>
          <w:szCs w:val="32"/>
        </w:rPr>
        <w:t>%；经营支出0万元，占0%。如图所示：</w:t>
      </w:r>
    </w:p>
    <w:p>
      <w:pPr>
        <w:adjustRightInd w:val="0"/>
        <w:snapToGrid w:val="0"/>
        <w:spacing w:after="0" w:line="580" w:lineRule="exact"/>
        <w:ind w:firstLine="1260" w:firstLineChars="600"/>
        <w:rPr>
          <w:rFonts w:ascii="仿宋_GB2312" w:eastAsia="仿宋_GB2312" w:cs="DengXian-Regular"/>
          <w:sz w:val="32"/>
          <w:szCs w:val="32"/>
        </w:rPr>
      </w:pPr>
      <w:r>
        <w:rPr>
          <w:rFonts w:hint="eastAsia" w:ascii="黑体" w:eastAsia="黑体"/>
        </w:rPr>
        <w:drawing>
          <wp:anchor distT="0" distB="0" distL="114300" distR="114300" simplePos="0" relativeHeight="251680768" behindDoc="0" locked="0" layoutInCell="1" allowOverlap="1">
            <wp:simplePos x="0" y="0"/>
            <wp:positionH relativeFrom="column">
              <wp:posOffset>411480</wp:posOffset>
            </wp:positionH>
            <wp:positionV relativeFrom="paragraph">
              <wp:posOffset>180975</wp:posOffset>
            </wp:positionV>
            <wp:extent cx="5025390" cy="4026535"/>
            <wp:effectExtent l="4445" t="4445" r="14605" b="7620"/>
            <wp:wrapSquare wrapText="bothSides"/>
            <wp:docPr id="32" name="图表 32"/>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anchor>
        </w:drawing>
      </w:r>
    </w:p>
    <w:p>
      <w:pPr>
        <w:adjustRightInd w:val="0"/>
        <w:snapToGrid w:val="0"/>
        <w:spacing w:after="0" w:line="580" w:lineRule="exact"/>
        <w:ind w:firstLine="2640" w:firstLineChars="600"/>
        <w:rPr>
          <w:rFonts w:ascii="仿宋_GB2312" w:eastAsia="仿宋_GB2312" w:cs="DengXian-Regular"/>
          <w:sz w:val="32"/>
          <w:szCs w:val="32"/>
        </w:rPr>
      </w:pPr>
      <w:r>
        <w:rPr>
          <w:sz w:val="44"/>
        </w:rPr>
        <w:pict>
          <v:group id="_x0000_s1049" o:spid="_x0000_s1049" o:spt="203" style="position:absolute;left:0pt;margin-left:-0.55pt;margin-top:29.3pt;height:43.95pt;width:301.85pt;mso-position-horizontal-relative:page;mso-position-vertical-relative:page;z-index:251666432;mso-width-relative:page;mso-height-relative:page;" coordorigin="4551,52615" coordsize="8546,1398203" o:gfxdata="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">
            <o:lock v:ext="edit"/>
            <v:rect id="矩形 13" o:spid="_x0000_s1051" o:spt="1" style="position:absolute;left:4551;top:52615;height:1175;width:8546;v-text-anchor:middle;" fillcolor="#D9D9D9" filled="t" stroked="f" coordsize="21600,21600" o:gfxdata="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X9/0EL4A&#10;AADbAAAADwAAAAAAAAABACAAAAAiAAAAZHJzL2Rvd25yZXYueG1sUEsBAhQAFAAAAAgAh07iQDMv&#10;BZ47AAAAOQAAABAAAAAAAAAAAQAgAAAADQEAAGRycy9zaGFwZXhtbC54bWxQSwUGAAAAAAYABgBb&#10;AQAAtwMAAAAA&#10;">
              <v:path/>
              <v:fill on="t" focussize="0,0"/>
              <v:stroke on="f" weight="2pt"/>
              <v:imagedata o:title=""/>
              <o:lock v:ext="edit"/>
            </v:rect>
            <v:rect id="矩形 14" o:spid="_x0000_s1050" o:spt="1" style="position:absolute;left:4577;top:52890;height:1123;width:8324;v-text-anchor:middle;" fillcolor="#AD002D" filled="t" stroked="t" coordsize="21600,21600" o:gfxdata="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AmpC5RugAAANsA&#10;AAAPAAAAAAAAAAEAIAAAACIAAABkcnMvZG93bnJldi54bWxQSwECFAAUAAAACACHTuJAMy8FnjsA&#10;AAA5AAAAEAAAAAAAAAABACAAAAAJAQAAZHJzL3NoYXBleG1sLnhtbFBLBQYAAAAABgAGAFsBAACz&#10;AwAAAAA=&#10;">
              <v:path/>
              <v:fill on="t" focussize="0,0"/>
              <v:stroke weight="2pt" color="#B0761F" joinstyle="round"/>
              <v:imagedata o:title=""/>
              <o:lock v:ext="edit"/>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2018年度部门决算☞部门决算情况说明</w:t>
                    </w:r>
                  </w:p>
                  <w:p>
                    <w:pPr>
                      <w:jc w:val="center"/>
                    </w:pPr>
                  </w:p>
                </w:txbxContent>
              </v:textbox>
            </v:rect>
            <w10:anchorlock/>
          </v:group>
        </w:pict>
      </w:r>
    </w:p>
    <w:p>
      <w:pPr>
        <w:adjustRightInd w:val="0"/>
        <w:snapToGrid w:val="0"/>
        <w:spacing w:after="0" w:line="580" w:lineRule="exact"/>
        <w:ind w:firstLine="1920" w:firstLineChars="600"/>
        <w:rPr>
          <w:rFonts w:ascii="仿宋_GB2312" w:eastAsia="仿宋_GB2312" w:cs="DengXian-Regular"/>
          <w:sz w:val="32"/>
          <w:szCs w:val="32"/>
        </w:rPr>
      </w:pPr>
    </w:p>
    <w:p>
      <w:pPr>
        <w:pStyle w:val="3"/>
        <w:spacing w:before="0" w:after="0" w:line="580" w:lineRule="exact"/>
        <w:ind w:firstLine="642" w:firstLineChars="200"/>
        <w:rPr>
          <w:rFonts w:ascii="黑体" w:eastAsia="黑体"/>
        </w:rPr>
      </w:pPr>
    </w:p>
    <w:p>
      <w:pPr>
        <w:pStyle w:val="3"/>
        <w:spacing w:before="0" w:after="0" w:line="580" w:lineRule="exact"/>
        <w:ind w:firstLine="642" w:firstLineChars="200"/>
        <w:rPr>
          <w:rFonts w:ascii="黑体" w:eastAsia="黑体"/>
        </w:rPr>
      </w:pPr>
    </w:p>
    <w:p>
      <w:pPr>
        <w:pStyle w:val="3"/>
        <w:spacing w:before="0" w:after="0" w:line="580" w:lineRule="exact"/>
        <w:ind w:firstLine="642" w:firstLineChars="200"/>
        <w:rPr>
          <w:rFonts w:ascii="黑体" w:eastAsia="黑体"/>
        </w:rPr>
      </w:pPr>
    </w:p>
    <w:p>
      <w:pPr>
        <w:pStyle w:val="3"/>
        <w:spacing w:before="0" w:after="0" w:line="580" w:lineRule="exact"/>
        <w:ind w:firstLine="640" w:firstLineChars="200"/>
        <w:rPr>
          <w:rFonts w:ascii="黑体" w:eastAsia="黑体"/>
          <w:b w:val="0"/>
          <w:bCs w:val="0"/>
        </w:rPr>
      </w:pPr>
    </w:p>
    <w:p>
      <w:pPr>
        <w:pStyle w:val="3"/>
        <w:spacing w:before="0" w:after="0" w:line="580" w:lineRule="exact"/>
        <w:ind w:firstLine="640" w:firstLineChars="200"/>
        <w:rPr>
          <w:rFonts w:ascii="黑体" w:eastAsia="黑体"/>
          <w:b w:val="0"/>
          <w:bCs w:val="0"/>
        </w:rPr>
      </w:pPr>
    </w:p>
    <w:p>
      <w:pPr>
        <w:pStyle w:val="3"/>
        <w:spacing w:before="0" w:after="0" w:line="580" w:lineRule="exact"/>
        <w:ind w:firstLine="640" w:firstLineChars="200"/>
        <w:rPr>
          <w:rFonts w:ascii="黑体" w:eastAsia="黑体"/>
          <w:b w:val="0"/>
          <w:bCs w:val="0"/>
        </w:rPr>
      </w:pPr>
    </w:p>
    <w:p>
      <w:pPr>
        <w:pStyle w:val="3"/>
        <w:spacing w:before="0" w:after="0" w:line="580" w:lineRule="exact"/>
        <w:ind w:firstLine="640" w:firstLineChars="200"/>
        <w:rPr>
          <w:rFonts w:ascii="黑体" w:eastAsia="黑体"/>
          <w:b w:val="0"/>
          <w:bCs w:val="0"/>
        </w:rPr>
      </w:pPr>
    </w:p>
    <w:p>
      <w:pPr>
        <w:pStyle w:val="3"/>
        <w:spacing w:before="0" w:after="0" w:line="580" w:lineRule="exact"/>
        <w:ind w:firstLine="640" w:firstLineChars="200"/>
        <w:rPr>
          <w:rFonts w:ascii="黑体" w:eastAsia="黑体"/>
          <w:b w:val="0"/>
          <w:bCs w:val="0"/>
        </w:rPr>
      </w:pPr>
    </w:p>
    <w:p>
      <w:pPr>
        <w:pStyle w:val="3"/>
        <w:spacing w:before="0" w:after="0" w:line="580" w:lineRule="exact"/>
        <w:ind w:firstLine="640" w:firstLineChars="200"/>
        <w:rPr>
          <w:rFonts w:ascii="黑体" w:eastAsia="黑体"/>
          <w:b w:val="0"/>
          <w:bCs w:val="0"/>
        </w:rPr>
      </w:pPr>
    </w:p>
    <w:p>
      <w:pPr>
        <w:pStyle w:val="3"/>
        <w:spacing w:before="0" w:after="0" w:line="580" w:lineRule="exact"/>
        <w:ind w:firstLine="640" w:firstLineChars="200"/>
        <w:rPr>
          <w:rFonts w:ascii="黑体" w:eastAsia="黑体"/>
          <w:b w:val="0"/>
          <w:bCs w:val="0"/>
        </w:rPr>
      </w:pPr>
    </w:p>
    <w:p>
      <w:pPr>
        <w:pStyle w:val="3"/>
        <w:spacing w:before="0" w:after="0" w:line="580" w:lineRule="exact"/>
        <w:ind w:firstLine="640" w:firstLineChars="200"/>
        <w:rPr>
          <w:rFonts w:ascii="黑体" w:eastAsia="黑体"/>
          <w:b w:val="0"/>
          <w:bCs w:val="0"/>
        </w:rPr>
      </w:pPr>
    </w:p>
    <w:p>
      <w:pPr>
        <w:pStyle w:val="3"/>
        <w:spacing w:before="0" w:after="0" w:line="580" w:lineRule="exact"/>
        <w:ind w:firstLine="640" w:firstLineChars="200"/>
        <w:rPr>
          <w:rFonts w:ascii="黑体" w:eastAsia="黑体"/>
          <w:b w:val="0"/>
          <w:bCs w:val="0"/>
        </w:rPr>
      </w:pPr>
      <w:r>
        <w:rPr>
          <w:rFonts w:hint="eastAsia" w:ascii="黑体" w:eastAsia="黑体"/>
          <w:b w:val="0"/>
          <w:bCs w:val="0"/>
        </w:rPr>
        <w:t>四、</w:t>
      </w:r>
      <w:r>
        <w:rPr>
          <w:rFonts w:hint="eastAsia" w:ascii="黑体" w:eastAsia="黑体" w:cs="黑体" w:hAnsiTheme="minorHAnsi"/>
          <w:b w:val="0"/>
          <w:bCs w:val="0"/>
          <w:kern w:val="0"/>
        </w:rPr>
        <w:t>财政</w:t>
      </w:r>
      <w:r>
        <w:rPr>
          <w:rFonts w:hint="eastAsia" w:ascii="黑体" w:eastAsia="黑体"/>
          <w:b w:val="0"/>
          <w:bCs w:val="0"/>
        </w:rPr>
        <w:t>拨款收入支出决算情况说明</w:t>
      </w:r>
    </w:p>
    <w:p>
      <w:pPr>
        <w:spacing w:after="0" w:line="580" w:lineRule="exact"/>
        <w:ind w:firstLine="642" w:firstLineChars="200"/>
        <w:rPr>
          <w:rFonts w:ascii="楷体_GB2312" w:eastAsia="楷体_GB2312" w:cs="DengXian-Bold"/>
          <w:b/>
          <w:bCs/>
          <w:sz w:val="32"/>
          <w:szCs w:val="32"/>
        </w:rPr>
      </w:pPr>
      <w:r>
        <w:rPr>
          <w:rFonts w:hint="eastAsia" w:ascii="楷体_GB2312" w:eastAsia="楷体_GB2312" w:cs="DengXian-Bold"/>
          <w:b/>
          <w:bCs/>
          <w:sz w:val="32"/>
          <w:szCs w:val="32"/>
        </w:rPr>
        <w:t>（一）财政拨款收支与2017 年度决算对比情况</w:t>
      </w:r>
    </w:p>
    <w:p>
      <w:pPr>
        <w:adjustRightInd w:val="0"/>
        <w:snapToGrid w:val="0"/>
        <w:spacing w:after="0" w:line="580" w:lineRule="exact"/>
        <w:ind w:firstLine="640" w:firstLineChars="200"/>
        <w:rPr>
          <w:rFonts w:ascii="仿宋_GB2312" w:cs="DengXian-Regular" w:eastAsiaTheme="minorEastAsia"/>
          <w:sz w:val="32"/>
          <w:szCs w:val="32"/>
        </w:rPr>
      </w:pPr>
      <w:r>
        <w:rPr>
          <w:rFonts w:hint="eastAsia" w:ascii="仿宋_GB2312" w:eastAsia="仿宋_GB2312" w:cs="DengXian-Regular"/>
          <w:sz w:val="32"/>
          <w:szCs w:val="32"/>
        </w:rPr>
        <w:t>本部门2018年度形成的财政拨款收支均为一般公共预算财政拨款，其中一般公共预算财政拨款本年收入</w:t>
      </w:r>
      <w:r>
        <w:rPr>
          <w:rFonts w:hint="eastAsia" w:ascii="仿宋" w:hAnsi="仿宋" w:eastAsia="仿宋" w:cs="仿宋"/>
          <w:color w:val="000000"/>
          <w:sz w:val="32"/>
          <w:szCs w:val="32"/>
        </w:rPr>
        <w:t>170.85</w:t>
      </w:r>
      <w:r>
        <w:rPr>
          <w:rFonts w:hint="eastAsia" w:ascii="仿宋_GB2312" w:eastAsia="仿宋_GB2312" w:cs="DengXian-Regular"/>
          <w:sz w:val="32"/>
          <w:szCs w:val="32"/>
        </w:rPr>
        <w:t>万元,比2017年度</w:t>
      </w:r>
      <w:r>
        <w:rPr>
          <w:rFonts w:hint="eastAsia" w:ascii="仿宋" w:hAnsi="仿宋" w:eastAsia="仿宋" w:cs="仿宋"/>
          <w:color w:val="000000"/>
          <w:sz w:val="32"/>
          <w:szCs w:val="32"/>
        </w:rPr>
        <w:t>增加16.41</w:t>
      </w:r>
      <w:r>
        <w:rPr>
          <w:rFonts w:hint="eastAsia" w:ascii="仿宋_GB2312" w:eastAsia="仿宋_GB2312" w:cs="DengXian-Regular"/>
          <w:sz w:val="32"/>
          <w:szCs w:val="32"/>
        </w:rPr>
        <w:t>万元，增长</w:t>
      </w:r>
      <w:r>
        <w:rPr>
          <w:rFonts w:hint="eastAsia" w:ascii="宋体" w:hAnsi="宋体" w:cs="宋体"/>
          <w:sz w:val="32"/>
          <w:szCs w:val="32"/>
        </w:rPr>
        <w:t>9.60</w:t>
      </w:r>
      <w:r>
        <w:rPr>
          <w:rFonts w:hint="eastAsia" w:ascii="仿宋_GB2312" w:eastAsia="仿宋_GB2312" w:cs="DengXian-Regular"/>
          <w:sz w:val="32"/>
          <w:szCs w:val="32"/>
        </w:rPr>
        <w:t>%，主要是工资增加；本年支出</w:t>
      </w:r>
      <w:r>
        <w:rPr>
          <w:rFonts w:eastAsia="仿宋_GB2312"/>
          <w:sz w:val="32"/>
          <w:szCs w:val="32"/>
        </w:rPr>
        <w:t>16</w:t>
      </w:r>
      <w:r>
        <w:rPr>
          <w:rFonts w:hint="eastAsia" w:eastAsiaTheme="minorEastAsia"/>
          <w:sz w:val="32"/>
          <w:szCs w:val="32"/>
        </w:rPr>
        <w:t>8</w:t>
      </w:r>
      <w:r>
        <w:rPr>
          <w:rFonts w:eastAsia="仿宋_GB2312"/>
          <w:sz w:val="32"/>
          <w:szCs w:val="32"/>
        </w:rPr>
        <w:t>.</w:t>
      </w:r>
      <w:r>
        <w:rPr>
          <w:rFonts w:hint="eastAsia" w:eastAsiaTheme="minorEastAsia"/>
          <w:sz w:val="32"/>
          <w:szCs w:val="32"/>
        </w:rPr>
        <w:t>3</w:t>
      </w:r>
      <w:r>
        <w:rPr>
          <w:rFonts w:eastAsia="仿宋_GB2312"/>
          <w:sz w:val="32"/>
          <w:szCs w:val="32"/>
        </w:rPr>
        <w:t>2</w:t>
      </w:r>
      <w:r>
        <w:rPr>
          <w:rFonts w:hint="eastAsia" w:ascii="仿宋_GB2312" w:eastAsia="仿宋_GB2312" w:cs="DengXian-Regular"/>
          <w:sz w:val="32"/>
          <w:szCs w:val="32"/>
        </w:rPr>
        <w:t>万元，增加</w:t>
      </w:r>
      <w:r>
        <w:rPr>
          <w:rFonts w:hint="eastAsia" w:ascii="仿宋" w:hAnsi="仿宋" w:eastAsia="仿宋" w:cs="仿宋"/>
          <w:color w:val="000000"/>
          <w:sz w:val="32"/>
          <w:szCs w:val="32"/>
        </w:rPr>
        <w:t>8.78</w:t>
      </w:r>
      <w:r>
        <w:rPr>
          <w:rFonts w:hint="eastAsia" w:ascii="仿宋_GB2312" w:eastAsia="仿宋_GB2312" w:cs="DengXian-Regular"/>
          <w:sz w:val="32"/>
          <w:szCs w:val="32"/>
        </w:rPr>
        <w:t>万元，增长</w:t>
      </w:r>
      <w:r>
        <w:rPr>
          <w:rFonts w:hint="eastAsia" w:ascii="仿宋_GB2312" w:cs="DengXian-Regular" w:eastAsiaTheme="minorEastAsia"/>
          <w:sz w:val="32"/>
          <w:szCs w:val="32"/>
        </w:rPr>
        <w:t>5.22</w:t>
      </w:r>
      <w:r>
        <w:rPr>
          <w:rFonts w:hint="eastAsia" w:ascii="仿宋_GB2312" w:eastAsia="仿宋_GB2312" w:cs="DengXian-Regular"/>
          <w:sz w:val="32"/>
          <w:szCs w:val="32"/>
        </w:rPr>
        <w:t>%，主要是工资增加。</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drawing>
          <wp:anchor distT="0" distB="0" distL="114300" distR="114300" simplePos="0" relativeHeight="251681792" behindDoc="0" locked="0" layoutInCell="1" allowOverlap="1">
            <wp:simplePos x="0" y="0"/>
            <wp:positionH relativeFrom="column">
              <wp:posOffset>541655</wp:posOffset>
            </wp:positionH>
            <wp:positionV relativeFrom="paragraph">
              <wp:posOffset>215900</wp:posOffset>
            </wp:positionV>
            <wp:extent cx="5046980" cy="2908300"/>
            <wp:effectExtent l="4445" t="4445" r="8255" b="13335"/>
            <wp:wrapSquare wrapText="bothSides"/>
            <wp:docPr id="67" name="图表 67"/>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anchor>
        </w:drawing>
      </w:r>
    </w:p>
    <w:p>
      <w:pPr>
        <w:adjustRightInd w:val="0"/>
        <w:snapToGrid w:val="0"/>
        <w:spacing w:after="0" w:line="580" w:lineRule="exact"/>
        <w:ind w:firstLine="640" w:firstLineChars="200"/>
        <w:rPr>
          <w:rFonts w:ascii="仿宋_GB2312" w:eastAsia="仿宋_GB2312" w:cs="DengXian-Regular"/>
          <w:sz w:val="32"/>
          <w:szCs w:val="32"/>
        </w:rPr>
      </w:pPr>
    </w:p>
    <w:p>
      <w:pPr>
        <w:adjustRightInd w:val="0"/>
        <w:snapToGrid w:val="0"/>
        <w:spacing w:after="0" w:line="580" w:lineRule="exact"/>
        <w:ind w:firstLine="640" w:firstLineChars="200"/>
        <w:rPr>
          <w:rFonts w:ascii="仿宋_GB2312" w:eastAsia="仿宋_GB2312" w:cs="DengXian-Regular"/>
          <w:sz w:val="32"/>
          <w:szCs w:val="32"/>
        </w:rPr>
      </w:pPr>
    </w:p>
    <w:p>
      <w:pPr>
        <w:adjustRightInd w:val="0"/>
        <w:snapToGrid w:val="0"/>
        <w:spacing w:after="0" w:line="580" w:lineRule="exact"/>
        <w:ind w:firstLine="640" w:firstLineChars="200"/>
        <w:rPr>
          <w:rFonts w:ascii="仿宋_GB2312" w:eastAsia="仿宋_GB2312" w:cs="DengXian-Regular"/>
          <w:sz w:val="32"/>
          <w:szCs w:val="32"/>
        </w:rPr>
      </w:pPr>
    </w:p>
    <w:p>
      <w:pPr>
        <w:adjustRightInd w:val="0"/>
        <w:snapToGrid w:val="0"/>
        <w:spacing w:after="0" w:line="580" w:lineRule="exact"/>
        <w:ind w:firstLine="640" w:firstLineChars="200"/>
        <w:rPr>
          <w:rFonts w:ascii="仿宋_GB2312" w:eastAsia="仿宋_GB2312" w:cs="DengXian-Regular"/>
          <w:sz w:val="32"/>
          <w:szCs w:val="32"/>
        </w:rPr>
      </w:pPr>
    </w:p>
    <w:p>
      <w:pPr>
        <w:adjustRightInd w:val="0"/>
        <w:snapToGrid w:val="0"/>
        <w:spacing w:after="0" w:line="580" w:lineRule="exact"/>
        <w:ind w:firstLine="640" w:firstLineChars="200"/>
        <w:rPr>
          <w:rFonts w:ascii="仿宋_GB2312" w:eastAsia="仿宋_GB2312" w:cs="DengXian-Regular"/>
          <w:sz w:val="32"/>
          <w:szCs w:val="32"/>
        </w:rPr>
      </w:pPr>
    </w:p>
    <w:p>
      <w:pPr>
        <w:adjustRightInd w:val="0"/>
        <w:snapToGrid w:val="0"/>
        <w:spacing w:after="0" w:line="580" w:lineRule="exact"/>
        <w:ind w:firstLine="640" w:firstLineChars="200"/>
        <w:rPr>
          <w:rFonts w:ascii="仿宋_GB2312" w:eastAsia="仿宋_GB2312" w:cs="DengXian-Regular"/>
          <w:sz w:val="32"/>
          <w:szCs w:val="32"/>
        </w:rPr>
      </w:pPr>
    </w:p>
    <w:p>
      <w:pPr>
        <w:adjustRightInd w:val="0"/>
        <w:snapToGrid w:val="0"/>
        <w:spacing w:after="0" w:line="580" w:lineRule="exact"/>
        <w:ind w:firstLine="640" w:firstLineChars="200"/>
        <w:rPr>
          <w:rFonts w:ascii="仿宋_GB2312" w:eastAsia="仿宋_GB2312" w:cs="DengXian-Regular"/>
          <w:sz w:val="32"/>
          <w:szCs w:val="32"/>
        </w:rPr>
      </w:pPr>
    </w:p>
    <w:p>
      <w:pPr>
        <w:adjustRightInd w:val="0"/>
        <w:snapToGrid w:val="0"/>
        <w:spacing w:after="0" w:line="580" w:lineRule="exact"/>
        <w:ind w:firstLine="640" w:firstLineChars="200"/>
        <w:rPr>
          <w:rFonts w:ascii="仿宋_GB2312" w:eastAsia="仿宋_GB2312" w:cs="DengXian-Regular"/>
          <w:sz w:val="32"/>
          <w:szCs w:val="32"/>
        </w:rPr>
      </w:pPr>
    </w:p>
    <w:p>
      <w:pPr>
        <w:spacing w:after="0" w:line="580" w:lineRule="exact"/>
        <w:rPr>
          <w:rFonts w:ascii="仿宋_GB2312" w:eastAsia="仿宋_GB2312" w:cs="DengXian-Bold"/>
          <w:b/>
          <w:bCs/>
          <w:sz w:val="32"/>
          <w:szCs w:val="32"/>
        </w:rPr>
      </w:pPr>
      <w:r>
        <w:rPr>
          <w:rFonts w:hint="eastAsia" w:ascii="楷体_GB2312" w:eastAsia="楷体_GB2312" w:cs="DengXian-Bold"/>
          <w:b/>
          <w:bCs/>
          <w:sz w:val="32"/>
          <w:szCs w:val="32"/>
        </w:rPr>
        <w:t>（二）财政拨款收支与年初预算数对比情况</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color w:val="000000" w:themeColor="text1"/>
          <w:sz w:val="32"/>
          <w:szCs w:val="32"/>
        </w:rPr>
        <w:t>本部门2018年度一般公共预算财政拨款收入</w:t>
      </w:r>
      <w:r>
        <w:rPr>
          <w:rFonts w:hint="eastAsia" w:ascii="仿宋" w:hAnsi="仿宋" w:eastAsia="仿宋" w:cs="仿宋"/>
          <w:color w:val="000000" w:themeColor="text1"/>
          <w:sz w:val="32"/>
          <w:szCs w:val="32"/>
        </w:rPr>
        <w:t>170.85</w:t>
      </w:r>
      <w:r>
        <w:rPr>
          <w:rFonts w:hint="eastAsia" w:ascii="仿宋_GB2312" w:eastAsia="仿宋_GB2312" w:cs="DengXian-Regular"/>
          <w:color w:val="000000" w:themeColor="text1"/>
          <w:sz w:val="32"/>
          <w:szCs w:val="32"/>
        </w:rPr>
        <w:t>万元，完成年初预算的1</w:t>
      </w:r>
      <w:r>
        <w:rPr>
          <w:rFonts w:hint="eastAsia" w:ascii="仿宋_GB2312" w:cs="DengXian-Regular" w:eastAsiaTheme="minorEastAsia"/>
          <w:color w:val="000000" w:themeColor="text1"/>
          <w:sz w:val="32"/>
          <w:szCs w:val="32"/>
        </w:rPr>
        <w:t>23</w:t>
      </w:r>
      <w:r>
        <w:rPr>
          <w:rFonts w:hint="eastAsia" w:ascii="仿宋_GB2312" w:eastAsia="仿宋_GB2312" w:cs="DengXian-Regular"/>
          <w:color w:val="000000" w:themeColor="text1"/>
          <w:sz w:val="32"/>
          <w:szCs w:val="32"/>
        </w:rPr>
        <w:t>.</w:t>
      </w:r>
      <w:r>
        <w:rPr>
          <w:rFonts w:hint="eastAsia" w:ascii="仿宋_GB2312" w:cs="DengXian-Regular" w:eastAsiaTheme="minorEastAsia"/>
          <w:color w:val="000000" w:themeColor="text1"/>
          <w:sz w:val="32"/>
          <w:szCs w:val="32"/>
        </w:rPr>
        <w:t>34</w:t>
      </w:r>
      <w:r>
        <w:rPr>
          <w:rFonts w:hint="eastAsia" w:ascii="仿宋_GB2312" w:eastAsia="仿宋_GB2312" w:cs="DengXian-Regular"/>
          <w:color w:val="000000" w:themeColor="text1"/>
          <w:sz w:val="32"/>
          <w:szCs w:val="32"/>
        </w:rPr>
        <w:t>%,比年初预算增加</w:t>
      </w:r>
      <w:r>
        <w:rPr>
          <w:rFonts w:hint="eastAsia" w:ascii="仿宋_GB2312" w:cs="DengXian-Regular" w:eastAsiaTheme="minorEastAsia"/>
          <w:color w:val="000000" w:themeColor="text1"/>
          <w:sz w:val="32"/>
          <w:szCs w:val="32"/>
        </w:rPr>
        <w:t>32.34</w:t>
      </w:r>
      <w:r>
        <w:rPr>
          <w:rFonts w:hint="eastAsia" w:ascii="仿宋_GB2312" w:eastAsia="仿宋_GB2312" w:cs="DengXian-Regular"/>
          <w:color w:val="000000" w:themeColor="text1"/>
          <w:sz w:val="32"/>
          <w:szCs w:val="32"/>
        </w:rPr>
        <w:t>万元，决算数大于预算数主要原因是</w:t>
      </w:r>
      <w:r>
        <w:rPr>
          <w:rFonts w:hint="eastAsia" w:ascii="仿宋_GB2312" w:cs="DengXian-Regular" w:eastAsiaTheme="minorEastAsia"/>
          <w:color w:val="000000" w:themeColor="text1"/>
          <w:sz w:val="32"/>
          <w:szCs w:val="32"/>
        </w:rPr>
        <w:t>人员增加，各项保险增加</w:t>
      </w:r>
      <w:r>
        <w:rPr>
          <w:rFonts w:hint="eastAsia" w:ascii="仿宋_GB2312" w:eastAsia="仿宋_GB2312" w:cs="DengXian-Regular"/>
          <w:color w:val="000000" w:themeColor="text1"/>
          <w:sz w:val="32"/>
          <w:szCs w:val="32"/>
        </w:rPr>
        <w:t>；本年支出</w:t>
      </w:r>
      <w:r>
        <w:rPr>
          <w:rFonts w:eastAsia="仿宋_GB2312"/>
          <w:color w:val="000000" w:themeColor="text1"/>
          <w:sz w:val="32"/>
          <w:szCs w:val="32"/>
        </w:rPr>
        <w:t>16</w:t>
      </w:r>
      <w:r>
        <w:rPr>
          <w:rFonts w:hint="eastAsia" w:eastAsiaTheme="minorEastAsia"/>
          <w:color w:val="000000" w:themeColor="text1"/>
          <w:sz w:val="32"/>
          <w:szCs w:val="32"/>
        </w:rPr>
        <w:t>8</w:t>
      </w:r>
      <w:r>
        <w:rPr>
          <w:rFonts w:eastAsia="仿宋_GB2312"/>
          <w:color w:val="000000" w:themeColor="text1"/>
          <w:sz w:val="32"/>
          <w:szCs w:val="32"/>
        </w:rPr>
        <w:t>.</w:t>
      </w:r>
      <w:r>
        <w:rPr>
          <w:rFonts w:hint="eastAsia" w:eastAsiaTheme="minorEastAsia"/>
          <w:color w:val="000000" w:themeColor="text1"/>
          <w:sz w:val="32"/>
          <w:szCs w:val="32"/>
        </w:rPr>
        <w:t>3</w:t>
      </w:r>
      <w:r>
        <w:rPr>
          <w:rFonts w:eastAsia="仿宋_GB2312"/>
          <w:color w:val="000000" w:themeColor="text1"/>
          <w:sz w:val="32"/>
          <w:szCs w:val="32"/>
        </w:rPr>
        <w:t>2</w:t>
      </w:r>
      <w:r>
        <w:rPr>
          <w:rFonts w:hint="eastAsia" w:ascii="仿宋_GB2312" w:eastAsia="仿宋_GB2312" w:cs="DengXian-Regular"/>
          <w:color w:val="000000" w:themeColor="text1"/>
          <w:sz w:val="32"/>
          <w:szCs w:val="32"/>
        </w:rPr>
        <w:t>万元，完成年初预算的1</w:t>
      </w:r>
      <w:r>
        <w:rPr>
          <w:rFonts w:hint="eastAsia" w:ascii="仿宋_GB2312" w:cs="DengXian-Regular" w:eastAsiaTheme="minorEastAsia"/>
          <w:color w:val="000000" w:themeColor="text1"/>
          <w:sz w:val="32"/>
          <w:szCs w:val="32"/>
        </w:rPr>
        <w:t>21.52</w:t>
      </w:r>
      <w:r>
        <w:rPr>
          <w:rFonts w:hint="eastAsia" w:ascii="仿宋_GB2312" w:eastAsia="仿宋_GB2312" w:cs="DengXian-Regular"/>
          <w:color w:val="000000" w:themeColor="text1"/>
          <w:sz w:val="32"/>
          <w:szCs w:val="32"/>
        </w:rPr>
        <w:t>%,比年初预算增加</w:t>
      </w:r>
      <w:r>
        <w:rPr>
          <w:rFonts w:hint="eastAsia" w:ascii="仿宋_GB2312" w:cs="DengXian-Regular" w:eastAsiaTheme="minorEastAsia"/>
          <w:color w:val="000000" w:themeColor="text1"/>
          <w:sz w:val="32"/>
          <w:szCs w:val="32"/>
        </w:rPr>
        <w:t>2</w:t>
      </w:r>
      <w:r>
        <w:rPr>
          <w:rFonts w:hint="eastAsia" w:ascii="宋体" w:hAnsi="宋体" w:cs="宋体"/>
          <w:color w:val="000000" w:themeColor="text1"/>
          <w:sz w:val="32"/>
          <w:szCs w:val="32"/>
        </w:rPr>
        <w:t>9.81</w:t>
      </w:r>
      <w:r>
        <w:rPr>
          <w:rFonts w:hint="eastAsia" w:ascii="仿宋_GB2312" w:eastAsia="仿宋_GB2312" w:cs="DengXian-Regular"/>
          <w:color w:val="000000" w:themeColor="text1"/>
          <w:sz w:val="32"/>
          <w:szCs w:val="32"/>
        </w:rPr>
        <w:t>万元，</w:t>
      </w:r>
      <w:r>
        <w:rPr>
          <w:rFonts w:hint="eastAsia" w:ascii="仿宋_GB2312" w:eastAsia="仿宋_GB2312" w:cs="DengXian-Regular"/>
          <w:sz w:val="32"/>
          <w:szCs w:val="32"/>
        </w:rPr>
        <w:t>决算数大于预算数主要原因是人员增加，工资增加。</w:t>
      </w:r>
    </w:p>
    <w:p>
      <w:pPr>
        <w:adjustRightInd w:val="0"/>
        <w:snapToGrid w:val="0"/>
        <w:spacing w:after="0" w:line="580" w:lineRule="exact"/>
        <w:rPr>
          <w:rFonts w:ascii="仿宋_GB2312" w:eastAsia="仿宋_GB2312" w:cs="DengXian-Regular"/>
          <w:sz w:val="32"/>
          <w:szCs w:val="32"/>
          <w:highlight w:val="yellow"/>
        </w:rPr>
      </w:pPr>
      <w:r>
        <w:rPr>
          <w:rFonts w:hint="eastAsia" w:ascii="仿宋_GB2312" w:eastAsia="仿宋_GB2312" w:cs="DengXian-Regular"/>
          <w:sz w:val="32"/>
          <w:szCs w:val="32"/>
          <w:highlight w:val="yellow"/>
        </w:rPr>
        <w:drawing>
          <wp:anchor distT="0" distB="0" distL="114300" distR="114300" simplePos="0" relativeHeight="251682816" behindDoc="0" locked="0" layoutInCell="1" allowOverlap="1">
            <wp:simplePos x="0" y="0"/>
            <wp:positionH relativeFrom="column">
              <wp:posOffset>509270</wp:posOffset>
            </wp:positionH>
            <wp:positionV relativeFrom="paragraph">
              <wp:posOffset>288290</wp:posOffset>
            </wp:positionV>
            <wp:extent cx="4667885" cy="2112010"/>
            <wp:effectExtent l="4445" t="5080" r="6350" b="16510"/>
            <wp:wrapSquare wrapText="bothSides"/>
            <wp:docPr id="68" name="图表 68"/>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anchor>
        </w:drawing>
      </w:r>
      <w:r>
        <w:rPr>
          <w:rFonts w:hint="eastAsia" w:ascii="仿宋_GB2312" w:eastAsia="仿宋_GB2312" w:cs="DengXian-Regular"/>
          <w:sz w:val="32"/>
          <w:szCs w:val="32"/>
          <w:highlight w:val="yellow"/>
        </w:rPr>
        <w:t xml:space="preserve"> </w:t>
      </w:r>
    </w:p>
    <w:p>
      <w:pPr>
        <w:adjustRightInd w:val="0"/>
        <w:snapToGrid w:val="0"/>
        <w:spacing w:after="0" w:line="580" w:lineRule="exact"/>
        <w:ind w:firstLine="640" w:firstLineChars="200"/>
        <w:rPr>
          <w:rFonts w:ascii="仿宋_GB2312" w:eastAsia="仿宋_GB2312" w:cs="DengXian-Regular"/>
          <w:sz w:val="32"/>
          <w:szCs w:val="32"/>
          <w:highlight w:val="yellow"/>
        </w:rPr>
      </w:pPr>
    </w:p>
    <w:p>
      <w:pPr>
        <w:adjustRightInd w:val="0"/>
        <w:snapToGrid w:val="0"/>
        <w:spacing w:after="0" w:line="580" w:lineRule="exact"/>
        <w:ind w:firstLine="640" w:firstLineChars="200"/>
        <w:rPr>
          <w:rFonts w:ascii="仿宋_GB2312" w:eastAsia="仿宋_GB2312" w:cs="DengXian-Regular"/>
          <w:sz w:val="32"/>
          <w:szCs w:val="32"/>
          <w:highlight w:val="yellow"/>
        </w:rPr>
      </w:pPr>
    </w:p>
    <w:p>
      <w:pPr>
        <w:adjustRightInd w:val="0"/>
        <w:snapToGrid w:val="0"/>
        <w:spacing w:after="0" w:line="580" w:lineRule="exact"/>
        <w:ind w:firstLine="640" w:firstLineChars="200"/>
        <w:rPr>
          <w:rFonts w:ascii="仿宋_GB2312" w:eastAsia="仿宋_GB2312" w:cs="DengXian-Regular"/>
          <w:sz w:val="32"/>
          <w:szCs w:val="32"/>
          <w:highlight w:val="yellow"/>
        </w:rPr>
      </w:pPr>
    </w:p>
    <w:p>
      <w:pPr>
        <w:adjustRightInd w:val="0"/>
        <w:snapToGrid w:val="0"/>
        <w:spacing w:after="0" w:line="580" w:lineRule="exact"/>
        <w:ind w:firstLine="640" w:firstLineChars="200"/>
        <w:rPr>
          <w:rFonts w:ascii="仿宋_GB2312" w:eastAsia="仿宋_GB2312" w:cs="DengXian-Regular"/>
          <w:sz w:val="32"/>
          <w:szCs w:val="32"/>
          <w:highlight w:val="yellow"/>
        </w:rPr>
      </w:pPr>
    </w:p>
    <w:p>
      <w:pPr>
        <w:adjustRightInd w:val="0"/>
        <w:snapToGrid w:val="0"/>
        <w:spacing w:after="0" w:line="580" w:lineRule="exact"/>
        <w:ind w:firstLine="640" w:firstLineChars="200"/>
        <w:rPr>
          <w:rFonts w:ascii="仿宋_GB2312" w:eastAsia="仿宋_GB2312" w:cs="DengXian-Regular"/>
          <w:sz w:val="32"/>
          <w:szCs w:val="32"/>
          <w:highlight w:val="yellow"/>
        </w:rPr>
      </w:pPr>
    </w:p>
    <w:p>
      <w:pPr>
        <w:adjustRightInd w:val="0"/>
        <w:snapToGrid w:val="0"/>
        <w:spacing w:after="0" w:line="580" w:lineRule="exact"/>
        <w:ind w:firstLine="640" w:firstLineChars="200"/>
        <w:rPr>
          <w:rFonts w:ascii="仿宋_GB2312" w:eastAsia="仿宋_GB2312" w:cs="DengXian-Regular"/>
          <w:sz w:val="32"/>
          <w:szCs w:val="32"/>
          <w:highlight w:val="yellow"/>
        </w:rPr>
      </w:pPr>
    </w:p>
    <w:p>
      <w:pPr>
        <w:adjustRightInd w:val="0"/>
        <w:snapToGrid w:val="0"/>
        <w:spacing w:after="0" w:line="580" w:lineRule="exact"/>
        <w:ind w:firstLine="640" w:firstLineChars="200"/>
        <w:rPr>
          <w:rFonts w:ascii="仿宋_GB2312" w:eastAsia="仿宋_GB2312" w:cs="DengXian-Regular"/>
          <w:sz w:val="32"/>
          <w:szCs w:val="32"/>
          <w:highlight w:val="yellow"/>
        </w:rPr>
      </w:pPr>
    </w:p>
    <w:p>
      <w:pPr>
        <w:adjustRightInd w:val="0"/>
        <w:snapToGrid w:val="0"/>
        <w:spacing w:after="0" w:line="580" w:lineRule="exact"/>
        <w:ind w:firstLine="640" w:firstLineChars="200"/>
        <w:rPr>
          <w:rFonts w:ascii="仿宋_GB2312" w:eastAsia="仿宋_GB2312" w:cs="DengXian-Regular"/>
          <w:sz w:val="32"/>
          <w:szCs w:val="32"/>
          <w:highlight w:val="yellow"/>
        </w:rPr>
      </w:pPr>
    </w:p>
    <w:p>
      <w:pPr>
        <w:adjustRightInd w:val="0"/>
        <w:snapToGrid w:val="0"/>
        <w:spacing w:after="0" w:line="580" w:lineRule="exact"/>
        <w:ind w:firstLine="640" w:firstLineChars="200"/>
        <w:rPr>
          <w:rFonts w:ascii="仿宋_GB2312" w:eastAsia="仿宋_GB2312" w:cs="DengXian-Regular"/>
          <w:sz w:val="32"/>
          <w:szCs w:val="32"/>
          <w:highlight w:val="yellow"/>
        </w:rPr>
      </w:pPr>
    </w:p>
    <w:p>
      <w:pPr>
        <w:adjustRightInd w:val="0"/>
        <w:snapToGrid w:val="0"/>
        <w:spacing w:after="0" w:line="580" w:lineRule="exact"/>
        <w:ind w:firstLine="640" w:firstLineChars="200"/>
        <w:rPr>
          <w:rFonts w:ascii="仿宋_GB2312" w:eastAsia="仿宋_GB2312" w:cs="DengXian-Regular"/>
          <w:sz w:val="32"/>
          <w:szCs w:val="32"/>
          <w:highlight w:val="yellow"/>
        </w:rPr>
      </w:pPr>
    </w:p>
    <w:p>
      <w:pPr>
        <w:numPr>
          <w:ilvl w:val="0"/>
          <w:numId w:val="1"/>
        </w:numPr>
        <w:adjustRightInd w:val="0"/>
        <w:snapToGrid w:val="0"/>
        <w:spacing w:after="0" w:line="580" w:lineRule="exact"/>
        <w:ind w:left="420" w:leftChars="200"/>
        <w:rPr>
          <w:rFonts w:ascii="楷体_GB2312" w:eastAsia="楷体_GB2312" w:cs="DengXian-Bold"/>
          <w:b/>
          <w:bCs/>
          <w:sz w:val="32"/>
          <w:szCs w:val="32"/>
        </w:rPr>
      </w:pPr>
      <w:r>
        <w:rPr>
          <w:rFonts w:hint="eastAsia" w:ascii="楷体_GB2312" w:eastAsia="楷体_GB2312" w:cs="DengXian-Bold"/>
          <w:b/>
          <w:bCs/>
          <w:sz w:val="32"/>
          <w:szCs w:val="32"/>
        </w:rPr>
        <w:t>财政拨款支出决算结构情况。</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2018 年度财政拨款支出</w:t>
      </w:r>
      <w:r>
        <w:rPr>
          <w:rFonts w:eastAsia="仿宋_GB2312"/>
          <w:sz w:val="32"/>
          <w:szCs w:val="32"/>
        </w:rPr>
        <w:t>16</w:t>
      </w:r>
      <w:r>
        <w:rPr>
          <w:rFonts w:hint="eastAsia" w:eastAsiaTheme="minorEastAsia"/>
          <w:sz w:val="32"/>
          <w:szCs w:val="32"/>
        </w:rPr>
        <w:t>6.72</w:t>
      </w:r>
      <w:r>
        <w:rPr>
          <w:rFonts w:hint="eastAsia" w:ascii="仿宋_GB2312" w:eastAsia="仿宋_GB2312" w:cs="DengXian-Regular"/>
          <w:sz w:val="32"/>
          <w:szCs w:val="32"/>
        </w:rPr>
        <w:t>万元，其他支出</w:t>
      </w:r>
      <w:r>
        <w:rPr>
          <w:rFonts w:hint="eastAsia" w:ascii="仿宋_GB2312" w:cs="DengXian-Regular" w:eastAsiaTheme="minorEastAsia"/>
          <w:sz w:val="32"/>
          <w:szCs w:val="32"/>
        </w:rPr>
        <w:t>1.6</w:t>
      </w:r>
      <w:r>
        <w:rPr>
          <w:rFonts w:hint="eastAsia" w:ascii="仿宋_GB2312" w:eastAsia="仿宋_GB2312" w:cs="DengXian-Regular"/>
          <w:sz w:val="32"/>
          <w:szCs w:val="32"/>
        </w:rPr>
        <w:t>万元，主要用于以下方面：一般公共服务（类）支出</w:t>
      </w:r>
      <w:r>
        <w:rPr>
          <w:rFonts w:hint="eastAsia" w:ascii="仿宋_GB2312" w:cs="DengXian-Regular" w:eastAsiaTheme="minorEastAsia"/>
          <w:sz w:val="32"/>
          <w:szCs w:val="32"/>
        </w:rPr>
        <w:t>144.05</w:t>
      </w:r>
      <w:r>
        <w:rPr>
          <w:rFonts w:hint="eastAsia" w:ascii="仿宋_GB2312" w:eastAsia="仿宋_GB2312" w:cs="DengXian-Regular"/>
          <w:sz w:val="32"/>
          <w:szCs w:val="32"/>
        </w:rPr>
        <w:t>万元，占</w:t>
      </w:r>
      <w:r>
        <w:rPr>
          <w:rFonts w:hint="eastAsia" w:ascii="仿宋_GB2312" w:cs="DengXian-Regular" w:eastAsiaTheme="minorEastAsia"/>
          <w:sz w:val="32"/>
          <w:szCs w:val="32"/>
        </w:rPr>
        <w:t>86.40</w:t>
      </w:r>
      <w:r>
        <w:rPr>
          <w:rFonts w:hint="eastAsia" w:ascii="仿宋_GB2312" w:eastAsia="仿宋_GB2312" w:cs="DengXian-Regular"/>
          <w:sz w:val="32"/>
          <w:szCs w:val="32"/>
        </w:rPr>
        <w:t xml:space="preserve">%，社会保障和就业（类）支出 </w:t>
      </w:r>
      <w:r>
        <w:rPr>
          <w:rFonts w:hint="eastAsia" w:ascii="宋体" w:hAnsi="宋体" w:cs="宋体"/>
          <w:sz w:val="32"/>
          <w:szCs w:val="32"/>
        </w:rPr>
        <w:t>9.67</w:t>
      </w:r>
      <w:r>
        <w:rPr>
          <w:rFonts w:hint="eastAsia" w:ascii="仿宋_GB2312" w:eastAsia="仿宋_GB2312" w:cs="DengXian-Regular"/>
          <w:sz w:val="32"/>
          <w:szCs w:val="32"/>
        </w:rPr>
        <w:t>万元，占5.</w:t>
      </w:r>
      <w:r>
        <w:rPr>
          <w:rFonts w:hint="eastAsia" w:ascii="仿宋_GB2312" w:cs="DengXian-Regular" w:eastAsiaTheme="minorEastAsia"/>
          <w:sz w:val="32"/>
          <w:szCs w:val="32"/>
        </w:rPr>
        <w:t>80</w:t>
      </w:r>
      <w:r>
        <w:rPr>
          <w:rFonts w:hint="eastAsia" w:ascii="仿宋_GB2312" w:eastAsia="仿宋_GB2312" w:cs="DengXian-Regular"/>
          <w:sz w:val="32"/>
          <w:szCs w:val="32"/>
        </w:rPr>
        <w:t>%；住房保障（类）支出5.</w:t>
      </w:r>
      <w:r>
        <w:rPr>
          <w:rFonts w:hint="eastAsia" w:ascii="仿宋_GB2312" w:cs="DengXian-Regular" w:eastAsiaTheme="minorEastAsia"/>
          <w:sz w:val="32"/>
          <w:szCs w:val="32"/>
        </w:rPr>
        <w:t>8</w:t>
      </w:r>
      <w:r>
        <w:rPr>
          <w:rFonts w:hint="eastAsia" w:ascii="仿宋_GB2312" w:eastAsia="仿宋_GB2312" w:cs="DengXian-Regular"/>
          <w:sz w:val="32"/>
          <w:szCs w:val="32"/>
        </w:rPr>
        <w:t>万元，占 3.</w:t>
      </w:r>
      <w:r>
        <w:rPr>
          <w:rFonts w:hint="eastAsia" w:ascii="仿宋_GB2312" w:cs="DengXian-Regular" w:eastAsiaTheme="minorEastAsia"/>
          <w:sz w:val="32"/>
          <w:szCs w:val="32"/>
        </w:rPr>
        <w:t>48</w:t>
      </w:r>
      <w:r>
        <w:rPr>
          <w:rFonts w:hint="eastAsia" w:ascii="仿宋_GB2312" w:eastAsia="仿宋_GB2312" w:cs="DengXian-Regular"/>
          <w:sz w:val="32"/>
          <w:szCs w:val="32"/>
        </w:rPr>
        <w:t>%;医疗保障与计划生育支出（类）支出7.</w:t>
      </w:r>
      <w:r>
        <w:rPr>
          <w:rFonts w:hint="eastAsia" w:ascii="仿宋_GB2312" w:cs="DengXian-Regular" w:eastAsiaTheme="minorEastAsia"/>
          <w:sz w:val="32"/>
          <w:szCs w:val="32"/>
        </w:rPr>
        <w:t>2</w:t>
      </w:r>
      <w:r>
        <w:rPr>
          <w:rFonts w:hint="eastAsia" w:ascii="仿宋_GB2312" w:eastAsia="仿宋_GB2312" w:cs="DengXian-Regular"/>
          <w:sz w:val="32"/>
          <w:szCs w:val="32"/>
        </w:rPr>
        <w:t>万元，占 4.</w:t>
      </w:r>
      <w:r>
        <w:rPr>
          <w:rFonts w:hint="eastAsia" w:ascii="仿宋_GB2312" w:cs="DengXian-Regular" w:eastAsiaTheme="minorEastAsia"/>
          <w:sz w:val="32"/>
          <w:szCs w:val="32"/>
        </w:rPr>
        <w:t>32</w:t>
      </w:r>
      <w:r>
        <w:rPr>
          <w:rFonts w:hint="eastAsia" w:ascii="仿宋_GB2312" w:eastAsia="仿宋_GB2312" w:cs="DengXian-Regular"/>
          <w:sz w:val="32"/>
          <w:szCs w:val="32"/>
        </w:rPr>
        <w:t>%。</w:t>
      </w:r>
    </w:p>
    <w:p>
      <w:pPr>
        <w:adjustRightInd w:val="0"/>
        <w:snapToGrid w:val="0"/>
        <w:spacing w:after="0" w:line="580" w:lineRule="exact"/>
        <w:rPr>
          <w:rFonts w:ascii="楷体_GB2312" w:eastAsia="楷体_GB2312" w:cs="DengXian-Bold"/>
          <w:b/>
          <w:bCs/>
          <w:sz w:val="32"/>
          <w:szCs w:val="32"/>
        </w:rPr>
      </w:pPr>
    </w:p>
    <w:p>
      <w:pPr>
        <w:adjustRightInd w:val="0"/>
        <w:snapToGrid w:val="0"/>
        <w:spacing w:after="0" w:line="580" w:lineRule="exact"/>
        <w:ind w:firstLine="440" w:firstLineChars="100"/>
        <w:rPr>
          <w:rFonts w:ascii="楷体_GB2312" w:eastAsia="楷体_GB2312" w:cs="DengXian-Bold"/>
          <w:b/>
          <w:bCs/>
          <w:sz w:val="32"/>
          <w:szCs w:val="32"/>
        </w:rPr>
      </w:pPr>
      <w:r>
        <w:rPr>
          <w:sz w:val="44"/>
        </w:rPr>
        <w:pict>
          <v:group id="_x0000_s1046" o:spid="_x0000_s1046" o:spt="203" style="position:absolute;left:0pt;margin-left:-0.55pt;margin-top:29.3pt;height:43.95pt;width:301.85pt;mso-position-horizontal-relative:page;mso-position-vertical-relative:page;z-index:251669504;mso-width-relative:page;mso-height-relative:page;" coordorigin="4551,52615" coordsize="8546,1398203" o:gfxdata="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">
            <o:lock v:ext="edit"/>
            <v:rect id="矩形 13" o:spid="_x0000_s1048" o:spt="1" style="position:absolute;left:4551;top:52615;height:1175;width:8546;v-text-anchor:middle;" fillcolor="#D9D9D9" filled="t" stroked="f" coordsize="21600,21600" o:gfxdata="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AFRiGsugAAANsA&#10;AAAPAAAAAAAAAAEAIAAAACIAAABkcnMvZG93bnJldi54bWxQSwECFAAUAAAACACHTuJAMy8FnjsA&#10;AAA5AAAAEAAAAAAAAAABACAAAAAJAQAAZHJzL3NoYXBleG1sLnhtbFBLBQYAAAAABgAGAFsBAACz&#10;AwAAAAA=&#10;">
              <v:path/>
              <v:fill on="t" focussize="0,0"/>
              <v:stroke on="f" weight="2pt"/>
              <v:imagedata o:title=""/>
              <o:lock v:ext="edit"/>
            </v:rect>
            <v:rect id="矩形 14" o:spid="_x0000_s1047" o:spt="1" style="position:absolute;left:4577;top:52890;height:1123;width:8324;v-text-anchor:middle;" fillcolor="#AD002D" filled="t" stroked="t" coordsize="21600,21600" o:gfxdata="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OOjwAG8AAAA&#10;2wAAAA8AAAAAAAAAAQAgAAAAIgAAAGRycy9kb3ducmV2LnhtbFBLAQIUABQAAAAIAIdO4kAzLwWe&#10;OwAAADkAAAAQAAAAAAAAAAEAIAAAAAsBAABkcnMvc2hhcGV4bWwueG1sUEsFBgAAAAAGAAYAWwEA&#10;ALUDAAAAAA==&#10;">
              <v:path/>
              <v:fill on="t" focussize="0,0"/>
              <v:stroke weight="2pt" color="#B0761F" joinstyle="round"/>
              <v:imagedata o:title=""/>
              <o:lock v:ext="edit"/>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2018年度部门决算☞部门决算情况说明</w:t>
                    </w:r>
                  </w:p>
                  <w:p>
                    <w:pPr>
                      <w:jc w:val="center"/>
                    </w:pPr>
                  </w:p>
                </w:txbxContent>
              </v:textbox>
            </v:rect>
            <w10:anchorlock/>
          </v:group>
        </w:pict>
      </w:r>
      <w:r>
        <w:rPr>
          <w:rFonts w:hint="eastAsia" w:ascii="楷体_GB2312" w:eastAsia="楷体_GB2312" w:cs="DengXian-Bold"/>
          <w:b/>
          <w:bCs/>
          <w:sz w:val="32"/>
          <w:szCs w:val="32"/>
        </w:rPr>
        <w:t>（四）一般公共预算财政拨款基本支出决算情况说明</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2018 年度一般公共预算财政拨款基本支出</w:t>
      </w:r>
      <w:r>
        <w:rPr>
          <w:rFonts w:hint="eastAsia" w:ascii="仿宋_GB2312" w:cs="DengXian-Regular" w:eastAsiaTheme="minorEastAsia"/>
          <w:sz w:val="32"/>
          <w:szCs w:val="32"/>
        </w:rPr>
        <w:t>160.53</w:t>
      </w:r>
      <w:r>
        <w:rPr>
          <w:rFonts w:hint="eastAsia" w:ascii="仿宋_GB2312" w:eastAsia="仿宋_GB2312" w:cs="DengXian-Regular"/>
          <w:sz w:val="32"/>
          <w:szCs w:val="32"/>
        </w:rPr>
        <w:t>万元，其中：人员经费</w:t>
      </w:r>
      <w:r>
        <w:rPr>
          <w:rFonts w:hint="eastAsia" w:ascii="仿宋_GB2312" w:cs="DengXian-Regular" w:eastAsiaTheme="minorEastAsia"/>
          <w:sz w:val="32"/>
          <w:szCs w:val="32"/>
        </w:rPr>
        <w:t>12</w:t>
      </w:r>
      <w:r>
        <w:rPr>
          <w:rFonts w:hint="eastAsia" w:ascii="宋体" w:hAnsi="宋体" w:cs="宋体"/>
          <w:sz w:val="32"/>
          <w:szCs w:val="32"/>
        </w:rPr>
        <w:t>9.45</w:t>
      </w:r>
      <w:r>
        <w:rPr>
          <w:rFonts w:hint="eastAsia" w:ascii="仿宋_GB2312" w:eastAsia="仿宋_GB2312" w:cs="DengXian-Regular"/>
          <w:sz w:val="32"/>
          <w:szCs w:val="32"/>
        </w:rPr>
        <w:t xml:space="preserve">万元，主要包括基本工资、津贴补贴、奖金、伙食补助费、绩效工资、机关事业单位基本养老保险缴费、职业年金缴费、职工基本医疗保险缴费、公务员医疗补助缴费、住房公积金、医疗费、其他社会保障缴费、其他工资福利支出、离休费、退休费、抚恤金、生活补助、医疗费补助、奖励金、其他对个人和家庭的补助支出；公用经费 </w:t>
      </w:r>
      <w:r>
        <w:rPr>
          <w:rFonts w:hint="eastAsia" w:ascii="仿宋_GB2312" w:cs="DengXian-Regular" w:eastAsiaTheme="minorEastAsia"/>
          <w:sz w:val="32"/>
          <w:szCs w:val="32"/>
        </w:rPr>
        <w:t>31.08</w:t>
      </w:r>
      <w:r>
        <w:rPr>
          <w:rFonts w:hint="eastAsia" w:ascii="仿宋_GB2312" w:eastAsia="仿宋_GB2312" w:cs="DengXian-Regular"/>
          <w:sz w:val="32"/>
          <w:szCs w:val="32"/>
        </w:rPr>
        <w:t>万元，主要包括办公费、印刷费、咨询费、手续费、水费、电费、邮电费、取暖费、物业管理费、差旅费、因公出国（境）费用、维修（护）费、租赁费、会议费、培训费、公务接待费、专用材料费、劳务费、委托业务费、工会经费、福利费、公务用车运行维护费、其他交通费用、税金及附加费用、其他商品和服务支出、办公设备购置、专用设备购置、信息网络及软件购置更新、公务用车购置、其他资本性支出。</w:t>
      </w:r>
    </w:p>
    <w:p>
      <w:pPr>
        <w:pStyle w:val="3"/>
        <w:spacing w:before="0" w:after="0" w:line="580" w:lineRule="exact"/>
        <w:ind w:firstLine="640" w:firstLineChars="200"/>
        <w:rPr>
          <w:rFonts w:ascii="黑体" w:eastAsia="黑体"/>
          <w:b w:val="0"/>
          <w:bCs w:val="0"/>
        </w:rPr>
      </w:pPr>
      <w:r>
        <w:rPr>
          <w:rFonts w:hint="eastAsia" w:ascii="黑体" w:eastAsia="黑体"/>
          <w:b w:val="0"/>
          <w:bCs w:val="0"/>
        </w:rPr>
        <w:t>五、一般公共预算财政拨款“三公” 经费支出决算情况说明</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 “三公”经费支出共计0.</w:t>
      </w:r>
      <w:r>
        <w:rPr>
          <w:rFonts w:hint="eastAsia" w:ascii="仿宋_GB2312" w:cs="DengXian-Regular" w:eastAsiaTheme="minorEastAsia"/>
          <w:sz w:val="32"/>
          <w:szCs w:val="32"/>
        </w:rPr>
        <w:t>20</w:t>
      </w:r>
      <w:r>
        <w:rPr>
          <w:rFonts w:hint="eastAsia" w:ascii="仿宋_GB2312" w:eastAsia="仿宋_GB2312" w:cs="DengXian-Regular"/>
          <w:sz w:val="32"/>
          <w:szCs w:val="32"/>
        </w:rPr>
        <w:t>万元，</w:t>
      </w:r>
      <w:r>
        <w:rPr>
          <w:rFonts w:hint="eastAsia" w:ascii="仿宋_GB2312" w:eastAsia="仿宋_GB2312" w:cs="DengXian-Regular"/>
          <w:b/>
          <w:bCs/>
          <w:sz w:val="32"/>
          <w:szCs w:val="32"/>
        </w:rPr>
        <w:t>较年初预算</w:t>
      </w:r>
      <w:r>
        <w:rPr>
          <w:rFonts w:hint="eastAsia" w:ascii="仿宋_GB2312" w:cs="DengXian-Regular" w:eastAsiaTheme="minorEastAsia"/>
          <w:b/>
          <w:bCs/>
          <w:sz w:val="32"/>
          <w:szCs w:val="32"/>
        </w:rPr>
        <w:t>增加0.2</w:t>
      </w:r>
      <w:r>
        <w:rPr>
          <w:rFonts w:hint="eastAsia" w:ascii="仿宋_GB2312" w:eastAsia="仿宋_GB2312" w:cs="DengXian-Regular"/>
          <w:b/>
          <w:bCs/>
          <w:sz w:val="32"/>
          <w:szCs w:val="32"/>
        </w:rPr>
        <w:t>万元，</w:t>
      </w:r>
      <w:r>
        <w:rPr>
          <w:rFonts w:hint="eastAsia" w:ascii="仿宋_GB2312" w:cs="DengXian-Regular" w:eastAsiaTheme="minorEastAsia"/>
          <w:b/>
          <w:bCs/>
          <w:sz w:val="32"/>
          <w:szCs w:val="32"/>
        </w:rPr>
        <w:t>增加100</w:t>
      </w:r>
      <w:r>
        <w:rPr>
          <w:rFonts w:hint="eastAsia" w:ascii="仿宋_GB2312" w:eastAsia="仿宋_GB2312" w:cs="DengXian-Regular"/>
          <w:b/>
          <w:bCs/>
          <w:sz w:val="32"/>
          <w:szCs w:val="32"/>
        </w:rPr>
        <w:t>%，</w:t>
      </w:r>
      <w:r>
        <w:rPr>
          <w:rFonts w:hint="eastAsia" w:ascii="仿宋_GB2312" w:eastAsia="仿宋_GB2312" w:cs="DengXian-Regular"/>
          <w:sz w:val="32"/>
          <w:szCs w:val="32"/>
        </w:rPr>
        <w:t>主要</w:t>
      </w:r>
      <w:r>
        <w:rPr>
          <w:rFonts w:hint="eastAsia" w:ascii="仿宋_GB2312" w:cs="DengXian-Regular" w:eastAsiaTheme="minorEastAsia"/>
          <w:sz w:val="32"/>
          <w:szCs w:val="32"/>
        </w:rPr>
        <w:t>原因为我单位2017年公车报废没有配备公车，2018年10月新调配一辆公车。</w:t>
      </w:r>
      <w:r>
        <w:rPr>
          <w:rFonts w:hint="eastAsia" w:ascii="仿宋_GB2312" w:eastAsia="仿宋_GB2312" w:cs="DengXian-Regular"/>
          <w:sz w:val="32"/>
          <w:szCs w:val="32"/>
        </w:rPr>
        <w:t>具体情况如下：</w:t>
      </w:r>
    </w:p>
    <w:p>
      <w:pPr>
        <w:adjustRightInd w:val="0"/>
        <w:snapToGrid w:val="0"/>
        <w:spacing w:after="0" w:line="580" w:lineRule="exact"/>
        <w:ind w:firstLine="642" w:firstLineChars="200"/>
        <w:rPr>
          <w:rFonts w:ascii="仿宋_GB2312" w:eastAsia="仿宋_GB2312" w:cs="DengXian-Regular"/>
          <w:sz w:val="32"/>
          <w:szCs w:val="32"/>
        </w:rPr>
      </w:pPr>
      <w:r>
        <w:rPr>
          <w:rFonts w:hint="eastAsia" w:ascii="楷体_GB2312" w:eastAsia="楷体_GB2312" w:cs="DengXian-Bold"/>
          <w:b/>
          <w:bCs/>
          <w:sz w:val="32"/>
          <w:szCs w:val="32"/>
        </w:rPr>
        <w:t>（</w:t>
      </w:r>
      <w:r>
        <w:rPr>
          <w:sz w:val="44"/>
        </w:rPr>
        <w:pict>
          <v:group id="_x0000_s1043" o:spid="_x0000_s1043" o:spt="203" style="position:absolute;left:0pt;margin-left:-0.55pt;margin-top:29.3pt;height:43.95pt;width:301.85pt;mso-position-horizontal-relative:page;mso-position-vertical-relative:page;z-index:251720704;mso-width-relative:page;mso-height-relative:page;" coordorigin="4551,52615" coordsize="8546,1398203" o:gfxdata="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">
            <o:lock v:ext="edit"/>
            <v:rect id="矩形 13" o:spid="_x0000_s1045" o:spt="1" style="position:absolute;left:4551;top:52615;height:1175;width:8546;v-text-anchor:middle;" fillcolor="#B8B8B8" filled="t" stroked="f" coordsize="21600,21600" o:gfxdata="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9ZS/274A&#10;AADbAAAADwAAAAAAAAABACAAAAAiAAAAZHJzL2Rvd25yZXYueG1sUEsBAhQAFAAAAAgAh07iQDMv&#10;BZ47AAAAOQAAABAAAAAAAAAAAQAgAAAADQEAAGRycy9zaGFwZXhtbC54bWxQSwUGAAAAAAYABgBb&#10;AQAAtwMAAAAA&#10;">
              <v:path/>
              <v:fill on="t" focussize="0,0"/>
              <v:stroke on="f" weight="2pt"/>
              <v:imagedata o:title=""/>
              <o:lock v:ext="edit"/>
            </v:rect>
            <v:rect id="矩形 14" o:spid="_x0000_s1044" o:spt="1" style="position:absolute;left:4577;top:52890;height:1123;width:8324;v-text-anchor:middle;" fillcolor="#AD002D" filled="t" stroked="t" coordsize="21600,21600" o:gfxdata="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89RjmbsAAADb&#10;AAAADwAAAAAAAAABACAAAAAiAAAAZHJzL2Rvd25yZXYueG1sUEsBAhQAFAAAAAgAh07iQDMvBZ47&#10;AAAAOQAAABAAAAAAAAAAAQAgAAAACgEAAGRycy9zaGFwZXhtbC54bWxQSwUGAAAAAAYABgBbAQAA&#10;tAMAAAAA&#10;">
              <v:path/>
              <v:fill on="t" focussize="0,0"/>
              <v:stroke weight="2pt" color="#805514" joinstyle="round"/>
              <v:imagedata o:title=""/>
              <o:lock v:ext="edit"/>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2018年度部门决算☞部门决算情况说明</w:t>
                    </w:r>
                  </w:p>
                  <w:p>
                    <w:pPr>
                      <w:jc w:val="center"/>
                    </w:pPr>
                  </w:p>
                </w:txbxContent>
              </v:textbox>
            </v:rect>
            <w10:anchorlock/>
          </v:group>
        </w:pict>
      </w:r>
      <w:r>
        <w:rPr>
          <w:rFonts w:hint="eastAsia" w:ascii="楷体_GB2312" w:eastAsia="楷体_GB2312" w:cs="DengXian-Bold"/>
          <w:b/>
          <w:bCs/>
          <w:sz w:val="32"/>
          <w:szCs w:val="32"/>
        </w:rPr>
        <w:t>一）因公出国（境）费支出0万元。</w:t>
      </w:r>
      <w:r>
        <w:rPr>
          <w:rFonts w:hint="eastAsia" w:ascii="仿宋_GB2312" w:eastAsia="仿宋_GB2312" w:cs="DengXian-Regular"/>
          <w:sz w:val="32"/>
          <w:szCs w:val="32"/>
        </w:rPr>
        <w:t>本部门2018年度因公出国（境）团组0个、共0人/参加其他单位组织的因公出国（境）团组0个、共0人/无本单位组织的出国（境）团组。</w:t>
      </w:r>
    </w:p>
    <w:p>
      <w:pPr>
        <w:adjustRightInd w:val="0"/>
        <w:snapToGrid w:val="0"/>
        <w:spacing w:after="0" w:line="580" w:lineRule="exact"/>
        <w:ind w:firstLine="642" w:firstLineChars="200"/>
        <w:rPr>
          <w:rFonts w:ascii="仿宋_GB2312" w:cs="DengXian-Bold" w:eastAsiaTheme="minorEastAsia"/>
          <w:b/>
          <w:bCs/>
          <w:sz w:val="32"/>
          <w:szCs w:val="32"/>
        </w:rPr>
      </w:pPr>
      <w:r>
        <w:rPr>
          <w:rFonts w:hint="eastAsia" w:ascii="楷体_GB2312" w:eastAsia="楷体_GB2312" w:cs="DengXian-Bold"/>
          <w:b/>
          <w:bCs/>
          <w:sz w:val="32"/>
          <w:szCs w:val="32"/>
        </w:rPr>
        <w:t>（二）公务用车购置及运行维护费支出0</w:t>
      </w:r>
      <w:r>
        <w:rPr>
          <w:rFonts w:hint="eastAsia" w:ascii="宋体" w:hAnsi="宋体" w:cs="宋体"/>
          <w:b/>
          <w:bCs/>
          <w:sz w:val="32"/>
          <w:szCs w:val="32"/>
        </w:rPr>
        <w:t>.2</w:t>
      </w:r>
      <w:r>
        <w:rPr>
          <w:rFonts w:hint="eastAsia" w:ascii="楷体_GB2312" w:eastAsia="楷体_GB2312" w:cs="DengXian-Bold"/>
          <w:b/>
          <w:bCs/>
          <w:sz w:val="32"/>
          <w:szCs w:val="32"/>
        </w:rPr>
        <w:t>万元。</w:t>
      </w:r>
      <w:r>
        <w:rPr>
          <w:rFonts w:hint="eastAsia" w:ascii="仿宋_GB2312" w:eastAsia="仿宋_GB2312" w:cs="DengXian-Regular"/>
          <w:sz w:val="32"/>
          <w:szCs w:val="32"/>
        </w:rPr>
        <w:t>本部门2018年度公务用车购置及运行维护费较年初预算</w:t>
      </w:r>
      <w:r>
        <w:rPr>
          <w:rFonts w:hint="eastAsia" w:ascii="仿宋_GB2312" w:cs="DengXian-Regular" w:eastAsiaTheme="minorEastAsia"/>
          <w:sz w:val="32"/>
          <w:szCs w:val="32"/>
        </w:rPr>
        <w:t>增加0.2</w:t>
      </w:r>
      <w:r>
        <w:rPr>
          <w:rFonts w:hint="eastAsia" w:ascii="仿宋_GB2312" w:eastAsia="仿宋_GB2312" w:cs="DengXian-Regular"/>
          <w:sz w:val="32"/>
          <w:szCs w:val="32"/>
        </w:rPr>
        <w:t>万元，</w:t>
      </w:r>
      <w:r>
        <w:rPr>
          <w:rFonts w:hint="eastAsia" w:ascii="仿宋_GB2312" w:cs="DengXian-Regular" w:eastAsiaTheme="minorEastAsia"/>
          <w:sz w:val="32"/>
          <w:szCs w:val="32"/>
        </w:rPr>
        <w:t>增长100</w:t>
      </w:r>
      <w:r>
        <w:rPr>
          <w:rFonts w:hint="eastAsia" w:ascii="仿宋_GB2312" w:eastAsia="仿宋_GB2312" w:cs="DengXian-Regular"/>
          <w:sz w:val="32"/>
          <w:szCs w:val="32"/>
        </w:rPr>
        <w:t>%,</w:t>
      </w:r>
      <w:r>
        <w:rPr>
          <w:rFonts w:hint="eastAsia" w:ascii="仿宋_GB2312" w:cs="DengXian-Regular" w:eastAsiaTheme="minorEastAsia"/>
          <w:sz w:val="32"/>
          <w:szCs w:val="32"/>
        </w:rPr>
        <w:t>原因为我单位2017年公车报废没有配备公车，2018年10月新调配一辆公车</w:t>
      </w:r>
      <w:r>
        <w:rPr>
          <w:rFonts w:hint="eastAsia" w:ascii="仿宋_GB2312" w:cs="DengXian-Bold" w:eastAsiaTheme="minorEastAsia"/>
          <w:b/>
          <w:bCs/>
          <w:sz w:val="32"/>
          <w:szCs w:val="32"/>
        </w:rPr>
        <w:t>。</w:t>
      </w:r>
    </w:p>
    <w:p>
      <w:pPr>
        <w:adjustRightInd w:val="0"/>
        <w:snapToGrid w:val="0"/>
        <w:spacing w:after="0" w:line="580" w:lineRule="exact"/>
        <w:ind w:firstLine="642" w:firstLineChars="200"/>
        <w:rPr>
          <w:rFonts w:ascii="仿宋_GB2312" w:eastAsia="仿宋_GB2312" w:cs="DengXian-Regular"/>
          <w:sz w:val="32"/>
          <w:szCs w:val="32"/>
        </w:rPr>
      </w:pPr>
      <w:r>
        <w:rPr>
          <w:rFonts w:hint="eastAsia" w:ascii="仿宋_GB2312" w:eastAsia="仿宋_GB2312" w:cs="DengXian-Regular"/>
          <w:b/>
          <w:sz w:val="32"/>
          <w:szCs w:val="32"/>
        </w:rPr>
        <w:t>公务用车购置费：</w:t>
      </w:r>
      <w:r>
        <w:rPr>
          <w:rFonts w:hint="eastAsia" w:ascii="仿宋_GB2312" w:eastAsia="仿宋_GB2312" w:cs="DengXian-Regular"/>
          <w:sz w:val="32"/>
          <w:szCs w:val="32"/>
        </w:rPr>
        <w:t>本部门2018年度公务用车购置量0辆，发生“公务用车购置”经费支出0万元,未发生公务用车购置经费支出。</w:t>
      </w:r>
    </w:p>
    <w:p>
      <w:pPr>
        <w:adjustRightInd w:val="0"/>
        <w:snapToGrid w:val="0"/>
        <w:spacing w:after="0" w:line="580" w:lineRule="exact"/>
        <w:ind w:firstLine="642" w:firstLineChars="200"/>
        <w:rPr>
          <w:rFonts w:ascii="仿宋_GB2312" w:eastAsia="仿宋_GB2312" w:cs="DengXian-Regular"/>
          <w:sz w:val="32"/>
          <w:szCs w:val="32"/>
        </w:rPr>
      </w:pPr>
      <w:r>
        <w:rPr>
          <w:rFonts w:hint="eastAsia" w:ascii="仿宋_GB2312" w:eastAsia="仿宋_GB2312" w:cs="DengXian-Regular"/>
          <w:b/>
          <w:sz w:val="32"/>
          <w:szCs w:val="32"/>
        </w:rPr>
        <w:t>公务用车运行维护费：</w:t>
      </w:r>
      <w:r>
        <w:rPr>
          <w:rFonts w:hint="eastAsia" w:ascii="仿宋_GB2312" w:eastAsia="仿宋_GB2312" w:cs="DengXian-Regular"/>
          <w:sz w:val="32"/>
          <w:szCs w:val="32"/>
        </w:rPr>
        <w:t>本部门2018年度单位公务用车保有量1辆。公车运行维护费支出较年初预算</w:t>
      </w:r>
      <w:r>
        <w:rPr>
          <w:rFonts w:hint="eastAsia" w:ascii="仿宋_GB2312" w:cs="DengXian-Regular" w:eastAsiaTheme="minorEastAsia"/>
          <w:sz w:val="32"/>
          <w:szCs w:val="32"/>
        </w:rPr>
        <w:t>2.7</w:t>
      </w:r>
      <w:r>
        <w:rPr>
          <w:rFonts w:hint="eastAsia" w:ascii="仿宋_GB2312" w:eastAsia="仿宋_GB2312" w:cs="DengXian-Regular"/>
          <w:sz w:val="32"/>
          <w:szCs w:val="32"/>
        </w:rPr>
        <w:t>万元, 2018年度公务用车购置及运行维护费较年初预算</w:t>
      </w:r>
      <w:r>
        <w:rPr>
          <w:rFonts w:hint="eastAsia" w:ascii="仿宋_GB2312" w:cs="DengXian-Regular" w:eastAsiaTheme="minorEastAsia"/>
          <w:sz w:val="32"/>
          <w:szCs w:val="32"/>
        </w:rPr>
        <w:t>增加0.2</w:t>
      </w:r>
      <w:r>
        <w:rPr>
          <w:rFonts w:hint="eastAsia" w:ascii="仿宋_GB2312" w:eastAsia="仿宋_GB2312" w:cs="DengXian-Regular"/>
          <w:sz w:val="32"/>
          <w:szCs w:val="32"/>
        </w:rPr>
        <w:t>万元，</w:t>
      </w:r>
      <w:r>
        <w:rPr>
          <w:rFonts w:hint="eastAsia" w:ascii="仿宋_GB2312" w:cs="DengXian-Regular" w:eastAsiaTheme="minorEastAsia"/>
          <w:sz w:val="32"/>
          <w:szCs w:val="32"/>
        </w:rPr>
        <w:t>增长100</w:t>
      </w:r>
      <w:r>
        <w:rPr>
          <w:rFonts w:hint="eastAsia" w:ascii="仿宋_GB2312" w:eastAsia="仿宋_GB2312" w:cs="DengXian-Regular"/>
          <w:sz w:val="32"/>
          <w:szCs w:val="32"/>
        </w:rPr>
        <w:t>%,</w:t>
      </w:r>
      <w:r>
        <w:rPr>
          <w:rFonts w:hint="eastAsia" w:ascii="仿宋_GB2312" w:cs="DengXian-Regular" w:eastAsiaTheme="minorEastAsia"/>
          <w:sz w:val="32"/>
          <w:szCs w:val="32"/>
        </w:rPr>
        <w:t>原因为我单位2017年公车报废没有配备公车，2018年10月新调配一辆公车</w:t>
      </w:r>
      <w:r>
        <w:rPr>
          <w:rFonts w:hint="eastAsia" w:ascii="仿宋_GB2312" w:eastAsia="仿宋_GB2312" w:cs="DengXian-Regular"/>
          <w:sz w:val="32"/>
          <w:szCs w:val="32"/>
        </w:rPr>
        <w:t>。</w:t>
      </w:r>
    </w:p>
    <w:p>
      <w:pPr>
        <w:adjustRightInd w:val="0"/>
        <w:snapToGrid w:val="0"/>
        <w:spacing w:after="0" w:line="580" w:lineRule="exact"/>
        <w:ind w:firstLine="642" w:firstLineChars="200"/>
        <w:rPr>
          <w:rFonts w:ascii="仿宋_GB2312" w:eastAsia="仿宋_GB2312" w:cs="DengXian-Regular"/>
          <w:sz w:val="32"/>
          <w:szCs w:val="32"/>
        </w:rPr>
      </w:pPr>
      <w:r>
        <w:rPr>
          <w:rFonts w:hint="eastAsia" w:ascii="楷体_GB2312" w:eastAsia="楷体_GB2312" w:cs="DengXian-Bold"/>
          <w:b/>
          <w:bCs/>
          <w:sz w:val="32"/>
          <w:szCs w:val="32"/>
        </w:rPr>
        <w:t>（三）公务接待费支出0万元。</w:t>
      </w:r>
      <w:r>
        <w:rPr>
          <w:sz w:val="44"/>
        </w:rPr>
        <w:pict>
          <v:group id="_x0000_s1040" o:spid="_x0000_s1040" o:spt="203" style="position:absolute;left:0pt;margin-left:-0.55pt;margin-top:29.3pt;height:43.95pt;width:301.85pt;mso-position-horizontal-relative:page;mso-position-vertical-relative:page;z-index:251721728;mso-width-relative:page;mso-height-relative:page;" coordorigin="4551,52615" coordsize="8546,1398203" o:gfxdata="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">
            <o:lock v:ext="edit"/>
            <v:rect id="矩形 13" o:spid="_x0000_s1042" o:spt="1" style="position:absolute;left:4551;top:52615;height:1175;width:8546;v-text-anchor:middle;" fillcolor="#B8B8B8" filled="t" stroked="f" coordsize="21600,21600" o:gfxdata="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5eMcQ74A&#10;AADbAAAADwAAAAAAAAABACAAAAAiAAAAZHJzL2Rvd25yZXYueG1sUEsBAhQAFAAAAAgAh07iQDMv&#10;BZ47AAAAOQAAABAAAAAAAAAAAQAgAAAADQEAAGRycy9zaGFwZXhtbC54bWxQSwUGAAAAAAYABgBb&#10;AQAAtwMAAAAA&#10;">
              <v:path/>
              <v:fill on="t" focussize="0,0"/>
              <v:stroke on="f" weight="2pt"/>
              <v:imagedata o:title=""/>
              <o:lock v:ext="edit"/>
            </v:rect>
            <v:rect id="矩形 14" o:spid="_x0000_s1041" o:spt="1" style="position:absolute;left:4577;top:52890;height:1123;width:8324;v-text-anchor:middle;" fillcolor="#AD002D" filled="t" stroked="t" coordsize="21600,21600" o:gfxdata="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AMG/e68AAAA&#10;2wAAAA8AAAAAAAAAAQAgAAAAIgAAAGRycy9kb3ducmV2LnhtbFBLAQIUABQAAAAIAIdO4kAzLwWe&#10;OwAAADkAAAAQAAAAAAAAAAEAIAAAAAsBAABkcnMvc2hhcGV4bWwueG1sUEsFBgAAAAAGAAYAWwEA&#10;ALUDAAAAAA==&#10;">
              <v:path/>
              <v:fill on="t" focussize="0,0"/>
              <v:stroke weight="2pt" color="#805514" joinstyle="round"/>
              <v:imagedata o:title=""/>
              <o:lock v:ext="edit"/>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2018年度部门决算☞部门决算情况说明</w:t>
                    </w:r>
                  </w:p>
                  <w:p>
                    <w:pPr>
                      <w:jc w:val="center"/>
                    </w:pPr>
                  </w:p>
                </w:txbxContent>
              </v:textbox>
            </v:rect>
            <w10:anchorlock/>
          </v:group>
        </w:pict>
      </w:r>
      <w:r>
        <w:rPr>
          <w:rFonts w:hint="eastAsia" w:ascii="仿宋_GB2312" w:eastAsia="仿宋_GB2312" w:cs="DengXian-Regular"/>
          <w:sz w:val="32"/>
          <w:szCs w:val="32"/>
        </w:rPr>
        <w:t>本部门2018年度公务接待共0批次、0人次</w:t>
      </w:r>
    </w:p>
    <w:p>
      <w:pPr>
        <w:pStyle w:val="3"/>
        <w:spacing w:before="0" w:after="0" w:line="500" w:lineRule="exact"/>
        <w:ind w:firstLine="642" w:firstLineChars="200"/>
        <w:rPr>
          <w:rFonts w:ascii="黑体" w:eastAsia="黑体" w:cs="Times New Roman"/>
          <w:shd w:val="pct10" w:color="auto" w:fill="FFFFFF"/>
        </w:rPr>
      </w:pPr>
      <w:r>
        <w:rPr>
          <w:rFonts w:hint="eastAsia" w:ascii="黑体" w:eastAsia="黑体"/>
          <w:szCs w:val="40"/>
        </w:rPr>
        <w:t>六、</w:t>
      </w:r>
      <w:r>
        <w:rPr>
          <w:rFonts w:hint="eastAsia" w:ascii="黑体" w:eastAsia="黑体" w:cs="Times New Roman"/>
          <w:shd w:val="pct10" w:color="auto" w:fill="FFFFFF"/>
        </w:rPr>
        <w:t>绩效预算情况说明</w:t>
      </w:r>
    </w:p>
    <w:p>
      <w:pPr>
        <w:adjustRightInd w:val="0"/>
        <w:snapToGrid w:val="0"/>
        <w:spacing w:after="0" w:line="500" w:lineRule="exact"/>
        <w:ind w:firstLine="640" w:firstLineChars="200"/>
        <w:rPr>
          <w:rFonts w:ascii="仿宋_GB2312" w:eastAsia="仿宋_GB2312" w:cs="DengXian-Regular"/>
          <w:color w:val="FF0000"/>
          <w:sz w:val="32"/>
          <w:szCs w:val="32"/>
        </w:rPr>
      </w:pPr>
      <w:r>
        <w:rPr>
          <w:rFonts w:hint="eastAsia" w:ascii="仿宋_GB2312" w:eastAsia="仿宋_GB2312" w:cs="DengXian-Regular"/>
          <w:sz w:val="32"/>
          <w:szCs w:val="32"/>
        </w:rPr>
        <w:t>（一）绩效管理工作开展情况。根据《关于开展2018年度财政专项资金部门绩效自评价工作的通知》（石财绩</w:t>
      </w:r>
      <w:r>
        <w:rPr>
          <w:rFonts w:hint="eastAsia" w:ascii="宋体" w:hAnsi="宋体" w:cs="宋体"/>
          <w:sz w:val="32"/>
          <w:szCs w:val="32"/>
        </w:rPr>
        <w:t>[2019]</w:t>
      </w:r>
      <w:r>
        <w:rPr>
          <w:rFonts w:hint="eastAsia" w:ascii="仿宋_GB2312" w:eastAsia="仿宋_GB2312" w:cs="DengXian-Regular"/>
          <w:sz w:val="32"/>
          <w:szCs w:val="32"/>
        </w:rPr>
        <w:t>1号），本单位认真开展了预算绩效管理改革开展情况自查，对部门全面规范绩效预算编制、严格预算执行管理、推进绩效评价工作、推进预决算信息公开等方面进行了自评，考核结果为优秀。</w:t>
      </w:r>
    </w:p>
    <w:p>
      <w:pPr>
        <w:adjustRightInd w:val="0"/>
        <w:snapToGrid w:val="0"/>
        <w:spacing w:after="0" w:line="50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（二）预算项目绩效评价开展情况根据预算绩效管理要求，本单位组织对2017年度一般公共预算项目支出全面开展绩效自评，涉</w:t>
      </w:r>
      <w:r>
        <w:rPr>
          <w:rFonts w:hint="eastAsia" w:ascii="仿宋" w:hAnsi="仿宋" w:eastAsia="仿宋" w:cs="DengXian-Regular"/>
          <w:sz w:val="32"/>
          <w:szCs w:val="32"/>
        </w:rPr>
        <w:t>及党员活动经费、七一及春节慰问等2个</w:t>
      </w:r>
      <w:r>
        <w:rPr>
          <w:rFonts w:hint="eastAsia" w:ascii="仿宋_GB2312" w:eastAsia="仿宋_GB2312" w:cs="DengXian-Regular"/>
          <w:sz w:val="32"/>
          <w:szCs w:val="32"/>
        </w:rPr>
        <w:t>项目，涉及资金</w:t>
      </w:r>
      <w:r>
        <w:rPr>
          <w:rFonts w:hint="eastAsia" w:ascii="仿宋_GB2312" w:cs="DengXian-Regular" w:eastAsiaTheme="minorEastAsia"/>
          <w:sz w:val="32"/>
          <w:szCs w:val="32"/>
        </w:rPr>
        <w:t>8</w:t>
      </w:r>
      <w:r>
        <w:rPr>
          <w:rFonts w:hint="eastAsia" w:ascii="仿宋_GB2312" w:eastAsia="仿宋_GB2312" w:cs="DengXian-Regular"/>
          <w:sz w:val="32"/>
          <w:szCs w:val="32"/>
        </w:rPr>
        <w:t>万元。从评价情况看，评价结果为优秀的项目有</w:t>
      </w:r>
      <w:r>
        <w:rPr>
          <w:rFonts w:hint="eastAsia" w:ascii="仿宋_GB2312" w:cs="DengXian-Regular" w:eastAsiaTheme="minorEastAsia"/>
          <w:sz w:val="32"/>
          <w:szCs w:val="32"/>
        </w:rPr>
        <w:t>2</w:t>
      </w:r>
      <w:r>
        <w:rPr>
          <w:rFonts w:hint="eastAsia" w:ascii="仿宋_GB2312" w:eastAsia="仿宋_GB2312" w:cs="DengXian-Regular"/>
          <w:sz w:val="32"/>
          <w:szCs w:val="32"/>
        </w:rPr>
        <w:t>个。</w:t>
      </w:r>
    </w:p>
    <w:p>
      <w:pPr>
        <w:adjustRightInd w:val="0"/>
        <w:snapToGrid w:val="0"/>
        <w:spacing w:after="0" w:line="50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（三）预算项目绩效自评选例</w:t>
      </w:r>
    </w:p>
    <w:p>
      <w:pPr>
        <w:adjustRightInd w:val="0"/>
        <w:snapToGrid w:val="0"/>
        <w:spacing w:after="0" w:line="500" w:lineRule="exact"/>
        <w:ind w:firstLine="640" w:firstLineChars="200"/>
        <w:rPr>
          <w:rFonts w:ascii="仿宋" w:hAnsi="仿宋" w:eastAsia="仿宋" w:cs="DengXian-Regular"/>
          <w:sz w:val="32"/>
          <w:szCs w:val="32"/>
        </w:rPr>
      </w:pPr>
      <w:r>
        <w:rPr>
          <w:rFonts w:hint="eastAsia" w:ascii="仿宋" w:hAnsi="仿宋" w:eastAsia="仿宋" w:cs="DengXian-Regular"/>
          <w:sz w:val="32"/>
          <w:szCs w:val="32"/>
        </w:rPr>
        <w:t>本单位党员活动经费项目绩效自评：根据年初设定的绩效目标，党员活动经费项目绩效自评结果为优秀。项目全年预算数为5万元，执行数为5万元，完成预算的</w:t>
      </w:r>
      <w:r>
        <w:rPr>
          <w:rFonts w:hint="eastAsia" w:ascii="仿宋" w:hAnsi="仿宋" w:eastAsia="仿宋" w:cs="宋体"/>
          <w:sz w:val="32"/>
          <w:szCs w:val="32"/>
        </w:rPr>
        <w:t>95</w:t>
      </w:r>
      <w:r>
        <w:rPr>
          <w:rFonts w:hint="eastAsia" w:ascii="仿宋" w:hAnsi="仿宋" w:eastAsia="仿宋" w:cs="DengXian-Regular"/>
          <w:sz w:val="32"/>
          <w:szCs w:val="32"/>
        </w:rPr>
        <w:t>%。主要产出和效果是得到广大党员的好评。</w:t>
      </w:r>
    </w:p>
    <w:p>
      <w:pPr>
        <w:adjustRightInd w:val="0"/>
        <w:snapToGrid w:val="0"/>
        <w:spacing w:after="0" w:line="500" w:lineRule="exact"/>
        <w:ind w:firstLine="640" w:firstLineChars="200"/>
        <w:rPr>
          <w:rFonts w:ascii="仿宋" w:hAnsi="仿宋" w:eastAsia="仿宋" w:cs="DengXian-Regular"/>
          <w:sz w:val="32"/>
          <w:szCs w:val="32"/>
          <w:shd w:val="pct10" w:color="auto" w:fill="FFFFFF"/>
        </w:rPr>
      </w:pPr>
      <w:r>
        <w:rPr>
          <w:rFonts w:hint="eastAsia" w:ascii="仿宋" w:hAnsi="仿宋" w:eastAsia="仿宋" w:cs="DengXian-Regular"/>
          <w:sz w:val="32"/>
          <w:szCs w:val="32"/>
        </w:rPr>
        <w:t>本单位七一及春节慰问党员项目绩效自评：根据年初设定的绩效目标，七一及春节慰问党员项目绩效自评结果为优秀。项目全年预算数为3万元，执行数为3万元，完成预算的</w:t>
      </w:r>
      <w:r>
        <w:rPr>
          <w:rFonts w:hint="eastAsia" w:ascii="仿宋" w:hAnsi="仿宋" w:eastAsia="仿宋" w:cs="宋体"/>
          <w:sz w:val="32"/>
          <w:szCs w:val="32"/>
        </w:rPr>
        <w:t>90</w:t>
      </w:r>
      <w:r>
        <w:rPr>
          <w:rFonts w:hint="eastAsia" w:ascii="仿宋" w:hAnsi="仿宋" w:eastAsia="仿宋" w:cs="DengXian-Regular"/>
          <w:sz w:val="32"/>
          <w:szCs w:val="32"/>
        </w:rPr>
        <w:t>%。主要产出和效果是得到广大党员的好评。</w:t>
      </w:r>
    </w:p>
    <w:p>
      <w:pPr>
        <w:adjustRightInd w:val="0"/>
        <w:snapToGrid w:val="0"/>
        <w:spacing w:after="0" w:line="500" w:lineRule="exact"/>
        <w:ind w:firstLine="640" w:firstLineChars="200"/>
        <w:rPr>
          <w:rFonts w:ascii="仿宋_GB2312" w:eastAsia="仿宋_GB2312" w:cs="DengXian-Regular"/>
          <w:sz w:val="32"/>
          <w:szCs w:val="32"/>
          <w:shd w:val="pct10" w:color="auto" w:fill="FFFFFF"/>
        </w:rPr>
      </w:pPr>
    </w:p>
    <w:p>
      <w:pPr>
        <w:pStyle w:val="3"/>
        <w:spacing w:before="0" w:after="0" w:line="580" w:lineRule="exact"/>
        <w:ind w:firstLine="640" w:firstLineChars="200"/>
        <w:rPr>
          <w:rFonts w:ascii="黑体" w:eastAsia="黑体" w:cs="Times New Roman"/>
          <w:b w:val="0"/>
          <w:bCs w:val="0"/>
        </w:rPr>
      </w:pPr>
      <w:r>
        <w:rPr>
          <w:rFonts w:hint="eastAsia" w:ascii="黑体" w:eastAsia="黑体" w:cs="Times New Roman"/>
          <w:b w:val="0"/>
          <w:bCs w:val="0"/>
        </w:rPr>
        <w:t>七、其他重要事项的说明</w:t>
      </w:r>
    </w:p>
    <w:p>
      <w:pPr>
        <w:pStyle w:val="4"/>
        <w:spacing w:before="0" w:after="0" w:line="580" w:lineRule="exact"/>
        <w:ind w:firstLine="642" w:firstLineChars="200"/>
        <w:rPr>
          <w:rFonts w:ascii="楷体_GB2312" w:eastAsia="楷体_GB2312" w:cs="DengXian-Bold"/>
        </w:rPr>
      </w:pPr>
      <w:r>
        <w:rPr>
          <w:rFonts w:hint="eastAsia" w:ascii="楷体_GB2312" w:eastAsia="楷体_GB2312" w:cs="DengXian-Bold"/>
        </w:rPr>
        <w:t>（一）机关运行经费情况</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本部门2018年度机关运行经费支出</w:t>
      </w:r>
      <w:r>
        <w:rPr>
          <w:rFonts w:hint="eastAsia" w:ascii="仿宋_GB2312" w:cs="DengXian-Regular" w:eastAsiaTheme="minorEastAsia"/>
          <w:sz w:val="32"/>
          <w:szCs w:val="32"/>
        </w:rPr>
        <w:t>31.08</w:t>
      </w:r>
      <w:r>
        <w:rPr>
          <w:rFonts w:hint="eastAsia" w:ascii="仿宋_GB2312" w:eastAsia="仿宋_GB2312" w:cs="DengXian-Regular"/>
          <w:sz w:val="32"/>
          <w:szCs w:val="32"/>
        </w:rPr>
        <w:t>万元，比年初预算数增加</w:t>
      </w:r>
      <w:r>
        <w:rPr>
          <w:rFonts w:hint="eastAsia" w:ascii="仿宋_GB2312" w:cs="DengXian-Regular" w:eastAsiaTheme="minorEastAsia"/>
          <w:sz w:val="32"/>
          <w:szCs w:val="32"/>
        </w:rPr>
        <w:t>3</w:t>
      </w:r>
      <w:r>
        <w:rPr>
          <w:rFonts w:hint="eastAsia" w:ascii="仿宋_GB2312" w:eastAsia="仿宋_GB2312" w:cs="DengXian-Regular"/>
          <w:sz w:val="32"/>
          <w:szCs w:val="32"/>
        </w:rPr>
        <w:t>.55万元，增长</w:t>
      </w:r>
      <w:r>
        <w:rPr>
          <w:rFonts w:hint="eastAsia" w:ascii="仿宋_GB2312" w:cs="DengXian-Regular" w:eastAsiaTheme="minorEastAsia"/>
          <w:sz w:val="32"/>
          <w:szCs w:val="32"/>
        </w:rPr>
        <w:t>11.42</w:t>
      </w:r>
      <w:r>
        <w:rPr>
          <w:rFonts w:hint="eastAsia" w:ascii="仿宋_GB2312" w:eastAsia="仿宋_GB2312" w:cs="DengXian-Regular"/>
          <w:sz w:val="32"/>
          <w:szCs w:val="32"/>
        </w:rPr>
        <w:t>%。主要原因是</w:t>
      </w:r>
      <w:r>
        <w:rPr>
          <w:rFonts w:hint="eastAsia" w:ascii="仿宋_GB2312" w:cs="DengXian-Regular" w:eastAsiaTheme="minorEastAsia"/>
          <w:sz w:val="32"/>
          <w:szCs w:val="32"/>
        </w:rPr>
        <w:t>人员增加，各项保险增加</w:t>
      </w:r>
      <w:r>
        <w:rPr>
          <w:rFonts w:hint="eastAsia" w:ascii="仿宋_GB2312" w:eastAsia="仿宋_GB2312" w:cs="DengXian-Regular"/>
          <w:sz w:val="32"/>
          <w:szCs w:val="32"/>
        </w:rPr>
        <w:t>。</w:t>
      </w:r>
    </w:p>
    <w:p>
      <w:pPr>
        <w:pStyle w:val="4"/>
        <w:spacing w:before="0" w:after="0" w:line="580" w:lineRule="exact"/>
        <w:ind w:firstLine="642" w:firstLineChars="200"/>
        <w:rPr>
          <w:rFonts w:ascii="楷体_GB2312" w:eastAsia="楷体_GB2312" w:cs="DengXian-Bold"/>
        </w:rPr>
      </w:pPr>
      <w:r>
        <w:rPr>
          <w:rFonts w:hint="eastAsia" w:ascii="楷体_GB2312" w:eastAsia="楷体_GB2312" w:cs="DengXian-Bold"/>
        </w:rPr>
        <w:t>（二）政府采购情况</w:t>
      </w:r>
    </w:p>
    <w:p>
      <w:pPr>
        <w:widowControl/>
        <w:spacing w:after="0" w:line="580" w:lineRule="exact"/>
        <w:ind w:firstLine="640" w:firstLineChars="200"/>
        <w:jc w:val="left"/>
        <w:rPr>
          <w:rFonts w:ascii="仿宋_GB2312" w:eastAsia="仿宋_GB2312" w:cs="DengXian-Regular"/>
          <w:sz w:val="32"/>
          <w:szCs w:val="32"/>
        </w:rPr>
      </w:pPr>
      <w:r>
        <w:rPr>
          <w:rFonts w:hint="eastAsia" w:ascii="仿宋_GB2312" w:eastAsia="仿宋_GB2312" w:cs="DengXian-Regular"/>
          <w:sz w:val="32"/>
          <w:szCs w:val="32"/>
        </w:rPr>
        <w:t>本部门2018年度政府采购支出总额0万元，从采购类型来看，</w:t>
      </w:r>
      <w:r>
        <w:rPr>
          <w:rFonts w:ascii="仿宋_GB2312" w:hAnsi="仿宋_GB2312" w:eastAsia="仿宋_GB2312" w:cs="仿宋_GB2312"/>
          <w:color w:val="000000"/>
          <w:kern w:val="0"/>
          <w:sz w:val="32"/>
          <w:szCs w:val="32"/>
        </w:rPr>
        <w:t>政府采购货物支出</w:t>
      </w:r>
      <w:r>
        <w:rPr>
          <w:rFonts w:hint="eastAsia" w:ascii="仿宋_GB2312" w:hAnsi="仿宋_GB2312" w:eastAsia="仿宋_GB2312" w:cs="仿宋_GB2312"/>
          <w:color w:val="000000"/>
          <w:kern w:val="0"/>
          <w:sz w:val="32"/>
          <w:szCs w:val="32"/>
        </w:rPr>
        <w:t>0</w:t>
      </w:r>
      <w:r>
        <w:rPr>
          <w:rFonts w:ascii="仿宋_GB2312" w:hAnsi="仿宋_GB2312" w:eastAsia="仿宋_GB2312" w:cs="仿宋_GB2312"/>
          <w:color w:val="000000"/>
          <w:kern w:val="0"/>
          <w:sz w:val="32"/>
          <w:szCs w:val="32"/>
        </w:rPr>
        <w:t>万元、政府采购工程支出</w:t>
      </w:r>
      <w:r>
        <w:rPr>
          <w:rFonts w:hint="eastAsia" w:ascii="仿宋_GB2312" w:hAnsi="仿宋_GB2312" w:eastAsia="仿宋_GB2312" w:cs="仿宋_GB2312"/>
          <w:color w:val="000000"/>
          <w:kern w:val="0"/>
          <w:sz w:val="32"/>
          <w:szCs w:val="32"/>
        </w:rPr>
        <w:t>0</w:t>
      </w:r>
      <w:r>
        <w:rPr>
          <w:rFonts w:ascii="仿宋_GB2312" w:hAnsi="仿宋_GB2312" w:eastAsia="仿宋_GB2312" w:cs="仿宋_GB2312"/>
          <w:color w:val="000000"/>
          <w:kern w:val="0"/>
          <w:sz w:val="32"/>
          <w:szCs w:val="32"/>
        </w:rPr>
        <w:t>万元、政府采购服务支出</w:t>
      </w:r>
      <w:r>
        <w:rPr>
          <w:rFonts w:hint="eastAsia" w:ascii="仿宋_GB2312" w:hAnsi="仿宋_GB2312" w:eastAsia="仿宋_GB2312" w:cs="仿宋_GB2312"/>
          <w:color w:val="000000"/>
          <w:kern w:val="0"/>
          <w:sz w:val="32"/>
          <w:szCs w:val="32"/>
        </w:rPr>
        <w:t>0</w:t>
      </w:r>
      <w:r>
        <w:rPr>
          <w:rFonts w:ascii="仿宋_GB2312" w:hAnsi="仿宋_GB2312" w:eastAsia="仿宋_GB2312" w:cs="仿宋_GB2312"/>
          <w:color w:val="000000"/>
          <w:kern w:val="0"/>
          <w:sz w:val="32"/>
          <w:szCs w:val="32"/>
        </w:rPr>
        <w:t>万元。授予中小企业合同金</w:t>
      </w:r>
      <w:r>
        <w:rPr>
          <w:rFonts w:hint="eastAsia" w:ascii="仿宋_GB2312" w:hAnsi="仿宋_GB2312" w:eastAsia="仿宋_GB2312" w:cs="仿宋_GB2312"/>
          <w:color w:val="000000"/>
          <w:kern w:val="0"/>
          <w:sz w:val="32"/>
          <w:szCs w:val="32"/>
        </w:rPr>
        <w:t>0</w:t>
      </w:r>
      <w:r>
        <w:rPr>
          <w:rFonts w:ascii="仿宋_GB2312" w:hAnsi="仿宋_GB2312" w:eastAsia="仿宋_GB2312" w:cs="仿宋_GB2312"/>
          <w:color w:val="000000"/>
          <w:kern w:val="0"/>
          <w:sz w:val="32"/>
          <w:szCs w:val="32"/>
        </w:rPr>
        <w:t>万元，占政府采购支出总额的</w:t>
      </w:r>
      <w:r>
        <w:rPr>
          <w:rFonts w:hint="eastAsia" w:ascii="仿宋_GB2312" w:hAnsi="仿宋_GB2312" w:eastAsia="仿宋_GB2312" w:cs="仿宋_GB2312"/>
          <w:color w:val="000000"/>
          <w:kern w:val="0"/>
          <w:sz w:val="32"/>
          <w:szCs w:val="32"/>
        </w:rPr>
        <w:t>0%，</w:t>
      </w:r>
      <w:r>
        <w:rPr>
          <w:rFonts w:ascii="仿宋_GB2312" w:hAnsi="仿宋_GB2312" w:eastAsia="仿宋_GB2312" w:cs="仿宋_GB2312"/>
          <w:color w:val="000000"/>
          <w:kern w:val="0"/>
          <w:sz w:val="32"/>
          <w:szCs w:val="32"/>
        </w:rPr>
        <w:t>其中授予小微企业合同金额</w:t>
      </w:r>
      <w:r>
        <w:rPr>
          <w:rFonts w:hint="eastAsia" w:ascii="仿宋_GB2312" w:hAnsi="仿宋_GB2312" w:eastAsia="仿宋_GB2312" w:cs="仿宋_GB2312"/>
          <w:color w:val="000000"/>
          <w:kern w:val="0"/>
          <w:sz w:val="32"/>
          <w:szCs w:val="32"/>
        </w:rPr>
        <w:t>0</w:t>
      </w:r>
      <w:r>
        <w:rPr>
          <w:rFonts w:ascii="仿宋_GB2312" w:hAnsi="仿宋_GB2312" w:eastAsia="仿宋_GB2312" w:cs="仿宋_GB2312"/>
          <w:color w:val="000000"/>
          <w:kern w:val="0"/>
          <w:sz w:val="32"/>
          <w:szCs w:val="32"/>
        </w:rPr>
        <w:t xml:space="preserve">万元，占政府采购支出总额的 </w:t>
      </w:r>
      <w:r>
        <w:rPr>
          <w:rFonts w:hint="eastAsia" w:ascii="仿宋_GB2312" w:hAnsi="仿宋_GB2312" w:eastAsia="仿宋_GB2312" w:cs="仿宋_GB2312"/>
          <w:color w:val="000000"/>
          <w:kern w:val="0"/>
          <w:sz w:val="32"/>
          <w:szCs w:val="32"/>
        </w:rPr>
        <w:t>0</w:t>
      </w:r>
      <w:r>
        <w:rPr>
          <w:rFonts w:ascii="仿宋_GB2312" w:hAnsi="仿宋_GB2312" w:eastAsia="仿宋_GB2312" w:cs="仿宋_GB2312"/>
          <w:color w:val="000000"/>
          <w:kern w:val="0"/>
          <w:sz w:val="32"/>
          <w:szCs w:val="32"/>
        </w:rPr>
        <w:t>%。</w:t>
      </w:r>
    </w:p>
    <w:p>
      <w:pPr>
        <w:pStyle w:val="4"/>
        <w:spacing w:before="0" w:after="0" w:line="580" w:lineRule="exact"/>
        <w:ind w:firstLine="642" w:firstLineChars="200"/>
        <w:rPr>
          <w:rFonts w:ascii="楷体_GB2312" w:eastAsia="楷体_GB2312" w:cs="DengXian-Bold"/>
        </w:rPr>
      </w:pPr>
      <w:r>
        <w:rPr>
          <w:rFonts w:hint="eastAsia" w:ascii="楷体_GB2312" w:eastAsia="楷体_GB2312" w:cs="DengXian-Bold"/>
        </w:rPr>
        <w:t>（三）国有资产占用情况</w:t>
      </w:r>
    </w:p>
    <w:p>
      <w:pPr>
        <w:pStyle w:val="4"/>
        <w:spacing w:before="0" w:after="0" w:line="580" w:lineRule="exact"/>
        <w:ind w:firstLine="642" w:firstLineChars="200"/>
        <w:rPr>
          <w:rFonts w:ascii="仿宋_GB2312" w:eastAsia="仿宋_GB2312" w:cs="DengXian-Regular"/>
        </w:rPr>
      </w:pPr>
      <w:r>
        <w:rPr>
          <w:rFonts w:hint="eastAsia" w:ascii="仿宋_GB2312" w:eastAsia="仿宋_GB2312" w:cs="DengXian-Regular"/>
        </w:rPr>
        <w:t>截至2018年12月31日，本部门共有车辆1辆，比上年</w:t>
      </w:r>
      <w:r>
        <w:rPr>
          <w:rFonts w:hint="eastAsia" w:ascii="仿宋_GB2312" w:cs="DengXian-Regular" w:eastAsiaTheme="minorEastAsia"/>
        </w:rPr>
        <w:t>比较新调配一辆公车</w:t>
      </w:r>
      <w:r>
        <w:rPr>
          <w:rFonts w:hint="eastAsia" w:ascii="仿宋_GB2312" w:eastAsia="仿宋_GB2312" w:cs="DengXian-Regular"/>
        </w:rPr>
        <w:t>。其中，副部（省）级及以上领导用车0辆，主要领导干部用车0辆，机要通信用车0辆，应急保障用车1辆，执法执勤用车0辆，特种专业技术用车0辆，离退休干部用车0辆，其他用车0辆；单位价值</w:t>
      </w:r>
      <w:r>
        <w:rPr>
          <w:rFonts w:hint="eastAsia" w:ascii="仿宋_GB2312" w:hAnsi="TimesNewRomanPSMT" w:eastAsia="仿宋_GB2312" w:cs="TimesNewRomanPSMT"/>
        </w:rPr>
        <w:t>50</w:t>
      </w:r>
      <w:r>
        <w:rPr>
          <w:rFonts w:hint="eastAsia" w:ascii="仿宋_GB2312" w:eastAsia="仿宋_GB2312" w:cs="DengXian-Regular"/>
        </w:rPr>
        <w:t>万元以上通用设备0台（套），单位价值</w:t>
      </w:r>
      <w:r>
        <w:rPr>
          <w:rFonts w:hint="eastAsia" w:ascii="仿宋_GB2312" w:hAnsi="TimesNewRomanPSMT" w:eastAsia="仿宋_GB2312" w:cs="TimesNewRomanPSMT"/>
        </w:rPr>
        <w:t>100</w:t>
      </w:r>
      <w:r>
        <w:rPr>
          <w:rFonts w:hint="eastAsia" w:ascii="仿宋_GB2312" w:eastAsia="仿宋_GB2312" w:cs="DengXian-Regular"/>
        </w:rPr>
        <w:t>万元以上专用设备0台（套）。</w:t>
      </w:r>
    </w:p>
    <w:p>
      <w:pPr>
        <w:pStyle w:val="4"/>
        <w:spacing w:before="0" w:after="0" w:line="580" w:lineRule="exact"/>
        <w:ind w:firstLine="642" w:firstLineChars="200"/>
        <w:rPr>
          <w:rFonts w:ascii="楷体_GB2312" w:eastAsia="楷体_GB2312" w:cs="DengXian-Bold"/>
        </w:rPr>
      </w:pPr>
      <w:r>
        <w:rPr>
          <w:rFonts w:hint="eastAsia" w:ascii="楷体_GB2312" w:eastAsia="楷体_GB2312" w:cs="DengXian-Bold"/>
        </w:rPr>
        <w:t>（四）其他需要说明的情况</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1、本部门2018年度xxx无收支及结转结余情况，故xxx表以空表列示。</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2、由于决算公开表格中金额数值应当保留两位小数，公开数据为四舍五入计算结</w:t>
      </w:r>
      <w:r>
        <w:rPr>
          <w:sz w:val="44"/>
        </w:rPr>
        <w:pict>
          <v:group id="_x0000_s1037" o:spid="_x0000_s1037" o:spt="203" style="position:absolute;left:0pt;margin-left:-0.55pt;margin-top:29.3pt;height:43.95pt;width:301.85pt;mso-position-horizontal-relative:page;mso-position-vertical-relative:page;z-index:251709440;mso-width-relative:page;mso-height-relative:page;" coordorigin="4551,52615" coordsize="8546,1398203" o:gfxdata="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">
            <o:lock v:ext="edit"/>
            <v:rect id="矩形 13" o:spid="_x0000_s1039" o:spt="1" style="position:absolute;left:4551;top:52615;height:1175;width:8546;v-text-anchor:middle;" fillcolor="#B8B8B8" filled="t" stroked="f" coordsize="21600,21600" o:gfxdata="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Hbwu/r4A&#10;AADbAAAADwAAAAAAAAABACAAAAAiAAAAZHJzL2Rvd25yZXYueG1sUEsBAhQAFAAAAAgAh07iQDMv&#10;BZ47AAAAOQAAABAAAAAAAAAAAQAgAAAADQEAAGRycy9zaGFwZXhtbC54bWxQSwUGAAAAAAYABgBb&#10;AQAAtwMAAAAA&#10;">
              <v:path/>
              <v:fill on="t" focussize="0,0"/>
              <v:stroke on="f" weight="2pt"/>
              <v:imagedata o:title=""/>
              <o:lock v:ext="edit"/>
            </v:rect>
            <v:rect id="_x0000_s1038" o:spid="_x0000_s1038" o:spt="1" style="position:absolute;left:4577;top:52890;height:1123;width:8324;v-text-anchor:middle;" fillcolor="#AD002D" filled="t" stroked="t" coordsize="21600,21600" o:gfxdata="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jZVh3r4A&#10;AADbAAAADwAAAAAAAAABACAAAAAiAAAAZHJzL2Rvd25yZXYueG1sUEsBAhQAFAAAAAgAh07iQDMv&#10;BZ47AAAAOQAAABAAAAAAAAAAAQAgAAAADQEAAGRycy9zaGFwZXhtbC54bWxQSwUGAAAAAAYABgBb&#10;AQAAtwMAAAAA&#10;">
              <v:path/>
              <v:fill on="t" focussize="0,0"/>
              <v:stroke weight="2pt" color="#805514" joinstyle="round"/>
              <v:imagedata o:title=""/>
              <o:lock v:ext="edit"/>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2018年度部门决算☞部门决算情况说明</w:t>
                    </w:r>
                  </w:p>
                  <w:p>
                    <w:pPr>
                      <w:jc w:val="center"/>
                    </w:pPr>
                  </w:p>
                </w:txbxContent>
              </v:textbox>
            </v:rect>
            <w10:anchorlock/>
          </v:group>
        </w:pict>
      </w:r>
      <w:r>
        <w:rPr>
          <w:rFonts w:hint="eastAsia" w:ascii="仿宋_GB2312" w:eastAsia="仿宋_GB2312" w:cs="DengXian-Regular"/>
          <w:sz w:val="32"/>
          <w:szCs w:val="32"/>
        </w:rPr>
        <w:t>果，个别数据合计项与分项之和存在小数点后差额，特此说明。</w:t>
      </w:r>
    </w:p>
    <w:p>
      <w:pPr>
        <w:adjustRightInd w:val="0"/>
        <w:snapToGrid w:val="0"/>
        <w:spacing w:after="0" w:line="580" w:lineRule="exact"/>
        <w:ind w:firstLine="640" w:firstLineChars="200"/>
        <w:rPr>
          <w:rFonts w:ascii="仿宋_GB2312" w:eastAsia="仿宋_GB2312" w:cs="DengXian-Regular"/>
          <w:sz w:val="32"/>
          <w:szCs w:val="32"/>
        </w:rPr>
      </w:pPr>
    </w:p>
    <w:p>
      <w:pPr>
        <w:widowControl/>
        <w:spacing w:after="0" w:line="580" w:lineRule="exact"/>
        <w:ind w:firstLine="883" w:firstLineChars="200"/>
        <w:jc w:val="left"/>
        <w:rPr>
          <w:rFonts w:cs="MS-UIGothic,Bold" w:asciiTheme="majorEastAsia" w:hAnsiTheme="majorEastAsia" w:eastAsiaTheme="majorEastAsia"/>
          <w:b/>
          <w:bCs/>
          <w:kern w:val="0"/>
          <w:sz w:val="44"/>
          <w:szCs w:val="44"/>
        </w:rPr>
        <w:sectPr>
          <w:pgSz w:w="11906" w:h="16838"/>
          <w:pgMar w:top="2098" w:right="1474" w:bottom="1984" w:left="1588" w:header="851" w:footer="992" w:gutter="0"/>
          <w:cols w:space="0" w:num="1"/>
          <w:docGrid w:type="lines" w:linePitch="312" w:charSpace="0"/>
        </w:sectPr>
      </w:pPr>
    </w:p>
    <w:p>
      <w:pPr>
        <w:rPr>
          <w:rFonts w:ascii="宋体" w:hAnsi="宋体" w:cs="ArialUnicodeMS"/>
          <w:color w:val="000000"/>
          <w:kern w:val="0"/>
        </w:rPr>
        <w:sectPr>
          <w:pgSz w:w="11906" w:h="16838"/>
          <w:pgMar w:top="2098" w:right="1474" w:bottom="1984" w:left="1588" w:header="851" w:footer="992" w:gutter="0"/>
          <w:cols w:space="0" w:num="1"/>
          <w:docGrid w:type="lines" w:linePitch="312" w:charSpace="0"/>
        </w:sectPr>
      </w:pPr>
      <w:r>
        <w:rPr>
          <w:rFonts w:hint="eastAsia" w:ascii="宋体" w:hAnsi="宋体" w:cs="ArialUnicodeMS"/>
          <w:color w:val="000000"/>
          <w:kern w:val="0"/>
        </w:rPr>
        <w:drawing>
          <wp:anchor distT="0" distB="0" distL="114300" distR="114300" simplePos="0" relativeHeight="251646976" behindDoc="1" locked="0" layoutInCell="1" allowOverlap="1">
            <wp:simplePos x="0" y="0"/>
            <wp:positionH relativeFrom="column">
              <wp:posOffset>-1009015</wp:posOffset>
            </wp:positionH>
            <wp:positionV relativeFrom="paragraph">
              <wp:posOffset>-1337945</wp:posOffset>
            </wp:positionV>
            <wp:extent cx="7550150" cy="10680065"/>
            <wp:effectExtent l="0" t="0" r="12700" b="6985"/>
            <wp:wrapNone/>
            <wp:docPr id="21" name="图片 21" descr="2"/>
            <wp:cNvGraphicFramePr>
              <a:graphicFrameLocks xmlns:a="http://schemas.openxmlformats.org/drawingml/2006/main" noChangeAspect="true"/>
            </wp:cNvGraphicFramePr>
            <a:graphic xmlns:a="http://schemas.openxmlformats.org/drawingml/2006/main">
              <a:graphicData uri="http://schemas.openxmlformats.org/drawingml/2006/picture">
                <pic:pic xmlns:pic="http://schemas.openxmlformats.org/drawingml/2006/picture">
                  <pic:nvPicPr>
                    <pic:cNvPr id="21" name="图片 21" descr="2"/>
                    <pic:cNvPicPr>
                      <a:picLocks noChangeAspect="true"/>
                    </pic:cNvPicPr>
                  </pic:nvPicPr>
                  <pic:blipFill>
                    <a:blip r:embed="rId7" cstate="print"/>
                    <a:stretch>
                      <a:fillRect/>
                    </a:stretch>
                  </pic:blipFill>
                  <pic:spPr>
                    <a:xfrm>
                      <a:off x="0" y="0"/>
                      <a:ext cx="7550150" cy="10680065"/>
                    </a:xfrm>
                    <a:prstGeom prst="rect">
                      <a:avLst/>
                    </a:prstGeom>
                  </pic:spPr>
                </pic:pic>
              </a:graphicData>
            </a:graphic>
          </wp:anchor>
        </w:drawing>
      </w:r>
      <w:r>
        <w:rPr>
          <w:sz w:val="72"/>
        </w:rPr>
        <w:pict>
          <v:shape id="_x0000_s1036" o:spid="_x0000_s1036" o:spt="202" type="#_x0000_t202" style="position:absolute;left:0pt;margin-left:-78.7pt;margin-top:232.8pt;height:159.1pt;width:596.2pt;z-index:251645952;mso-width-relative:page;mso-height-relative:page;" filled="f" stroked="f" coordsize="21600,21600" o:gfxdata="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">
            <v:path/>
            <v:fill on="f" focussize="0,0"/>
            <v:stroke on="f" weight="0.5pt" joinstyle="miter"/>
            <v:imagedata o:title=""/>
            <o:lock v:ext="edit"/>
            <v:textbox>
              <w:txbxContent>
                <w:p>
                  <w:pPr>
                    <w:widowControl/>
                    <w:spacing w:line="1200" w:lineRule="exact"/>
                    <w:jc w:val="center"/>
                    <w:rPr>
                      <w:rFonts w:hAnsi="宋体" w:asciiTheme="minorEastAsia" w:eastAsiaTheme="minorEastAsia"/>
                      <w:color w:val="FDEFBE"/>
                      <w:sz w:val="96"/>
                      <w:szCs w:val="96"/>
                    </w:rPr>
                  </w:pPr>
                  <w:r>
                    <w:rPr>
                      <w:rFonts w:hint="eastAsia" w:hAnsi="宋体" w:asciiTheme="minorEastAsia" w:eastAsiaTheme="minorEastAsia"/>
                      <w:color w:val="FDEFBE"/>
                      <w:sz w:val="96"/>
                      <w:szCs w:val="96"/>
                    </w:rPr>
                    <w:t>第四部分</w:t>
                  </w:r>
                </w:p>
                <w:p>
                  <w:pPr>
                    <w:widowControl/>
                    <w:spacing w:line="1200" w:lineRule="exact"/>
                    <w:jc w:val="center"/>
                    <w:rPr>
                      <w:color w:val="FDEFBE"/>
                      <w:sz w:val="96"/>
                      <w:szCs w:val="96"/>
                    </w:rPr>
                  </w:pPr>
                  <w:r>
                    <w:rPr>
                      <w:rFonts w:hint="eastAsia" w:hAnsi="宋体" w:asciiTheme="minorEastAsia" w:eastAsiaTheme="minorEastAsia"/>
                      <w:color w:val="FDEFBE"/>
                      <w:sz w:val="96"/>
                      <w:szCs w:val="96"/>
                    </w:rPr>
                    <w:t>名词解释</w:t>
                  </w:r>
                </w:p>
              </w:txbxContent>
            </v:textbox>
          </v:shape>
        </w:pict>
      </w:r>
    </w:p>
    <w:p>
      <w:pPr>
        <w:widowControl/>
        <w:spacing w:after="0" w:line="560" w:lineRule="exact"/>
        <w:ind w:firstLine="642"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（一）财政拨款收入：</w:t>
      </w:r>
      <w:r>
        <w:rPr>
          <w:rFonts w:hint="eastAsia" w:ascii="仿宋_GB2312" w:eastAsia="仿宋_GB2312" w:hAnsiTheme="majorEastAsia"/>
          <w:color w:val="000000"/>
          <w:kern w:val="0"/>
          <w:sz w:val="32"/>
          <w:szCs w:val="32"/>
        </w:rPr>
        <w:t>本年度从本级财政部门取得的财政拨款，包括一般公共预算财政拨款和政府性基金预算财政拨款。</w:t>
      </w:r>
    </w:p>
    <w:p>
      <w:pPr>
        <w:widowControl/>
        <w:spacing w:after="0" w:line="560" w:lineRule="exact"/>
        <w:ind w:firstLine="642"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（二）事业收入：</w:t>
      </w:r>
      <w:r>
        <w:rPr>
          <w:rFonts w:hint="eastAsia" w:ascii="仿宋_GB2312" w:eastAsia="仿宋_GB2312" w:hAnsiTheme="majorEastAsia"/>
          <w:color w:val="000000"/>
          <w:kern w:val="0"/>
          <w:sz w:val="32"/>
          <w:szCs w:val="32"/>
        </w:rPr>
        <w:t>指事业单位开展专业业务活动及辅助活动所取得的收入。</w:t>
      </w:r>
    </w:p>
    <w:p>
      <w:pPr>
        <w:widowControl/>
        <w:spacing w:after="0" w:line="560" w:lineRule="exact"/>
        <w:ind w:firstLine="642"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（三）其他收入：</w:t>
      </w:r>
      <w:r>
        <w:rPr>
          <w:rFonts w:hint="eastAsia" w:ascii="仿宋_GB2312" w:eastAsia="仿宋_GB2312" w:hAnsiTheme="majorEastAsia"/>
          <w:color w:val="000000"/>
          <w:kern w:val="0"/>
          <w:sz w:val="32"/>
          <w:szCs w:val="32"/>
        </w:rPr>
        <w:t>指除上述“财政拨款收入”“事业收入”“经营收入”等以外的收入。</w:t>
      </w:r>
    </w:p>
    <w:p>
      <w:pPr>
        <w:widowControl/>
        <w:spacing w:after="0" w:line="560" w:lineRule="exact"/>
        <w:ind w:firstLine="642"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（四）用事业基金弥补收支差额：</w:t>
      </w:r>
      <w:r>
        <w:rPr>
          <w:rFonts w:hint="eastAsia" w:ascii="仿宋_GB2312" w:eastAsia="仿宋_GB2312" w:hAnsiTheme="majorEastAsia"/>
          <w:color w:val="000000"/>
          <w:kern w:val="0"/>
          <w:sz w:val="32"/>
          <w:szCs w:val="32"/>
        </w:rPr>
        <w:t>指事业单位在用当年的“财政拨款收入”“财政拨款结转和结余资金”“事业收入”“经营收入”“其他收入”不足以安排当年支出的情况下，使用以前年度积累的事业基金（事业单位当年收支相抵后按国家规定提取、用于弥补以后年度收支差额的基金）弥补本年度收支缺口的资金。</w:t>
      </w:r>
    </w:p>
    <w:p>
      <w:pPr>
        <w:widowControl/>
        <w:spacing w:after="0" w:line="560" w:lineRule="exact"/>
        <w:ind w:firstLine="642"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（五）年初结转和结余：</w:t>
      </w:r>
      <w:r>
        <w:rPr>
          <w:rFonts w:hint="eastAsia" w:ascii="仿宋_GB2312" w:eastAsia="仿宋_GB2312" w:hAnsiTheme="majorEastAsia"/>
          <w:color w:val="000000"/>
          <w:kern w:val="0"/>
          <w:sz w:val="32"/>
          <w:szCs w:val="32"/>
        </w:rPr>
        <w:t>指以前年度尚未完成、结转到本年仍按原规定用途继续使用的资金，或项目已完成等产生的结余资金。</w:t>
      </w:r>
    </w:p>
    <w:p>
      <w:pPr>
        <w:widowControl/>
        <w:spacing w:after="0" w:line="560" w:lineRule="exact"/>
        <w:ind w:firstLine="642"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（六）结余分配：</w:t>
      </w:r>
      <w:r>
        <w:rPr>
          <w:rFonts w:hint="eastAsia" w:ascii="仿宋_GB2312" w:eastAsia="仿宋_GB2312" w:hAnsiTheme="majorEastAsia"/>
          <w:color w:val="000000"/>
          <w:kern w:val="0"/>
          <w:sz w:val="32"/>
          <w:szCs w:val="32"/>
        </w:rPr>
        <w:t>指事业单位按照事业单位会计制度的规定从非财政补助结余中分配的事业基金和职工福利基金等。</w:t>
      </w:r>
    </w:p>
    <w:p>
      <w:pPr>
        <w:widowControl/>
        <w:spacing w:after="0" w:line="560" w:lineRule="exact"/>
        <w:ind w:firstLine="642"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（七）年末结转和结</w:t>
      </w:r>
      <w:r>
        <w:rPr>
          <w:rFonts w:ascii="仿宋_GB2312" w:eastAsia="仿宋_GB2312" w:hAnsiTheme="majorEastAsia"/>
          <w:b/>
          <w:bCs/>
          <w:color w:val="000000"/>
          <w:kern w:val="0"/>
          <w:sz w:val="32"/>
          <w:szCs w:val="32"/>
        </w:rPr>
        <w:pict>
          <v:group id="_x0000_s1033" o:spid="_x0000_s1033" o:spt="203" style="position:absolute;left:0pt;margin-left:-81.05pt;margin-top:39.65pt;height:43.95pt;width:264.85pt;mso-position-vertical-relative:page;z-index:251653120;mso-width-relative:page;mso-height-relative:page;" coordorigin="4551,52615" coordsize="8546,1398203" o:gfxdata="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">
            <o:lock v:ext="edit"/>
            <v:rect id="矩形 13" o:spid="_x0000_s1035" o:spt="1" style="position:absolute;left:4551;top:52615;height:1175;width:8546;v-text-anchor:middle;" fillcolor="#D9D9D9" filled="t" stroked="f" coordsize="21600,21600" o:gfxdata="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CkBhEG/&#10;AAAA3AAAAA8AAAAAAAAAAQAgAAAAIgAAAGRycy9kb3ducmV2LnhtbFBLAQIUABQAAAAIAIdO4kAz&#10;LwWeOwAAADkAAAAQAAAAAAAAAAEAIAAAAA4BAABkcnMvc2hhcGV4bWwueG1sUEsFBgAAAAAGAAYA&#10;WwEAALgDAAAAAA==&#10;">
              <v:path/>
              <v:fill on="t" focussize="0,0"/>
              <v:stroke on="f" weight="2pt"/>
              <v:imagedata o:title=""/>
              <o:lock v:ext="edit"/>
            </v:rect>
            <v:rect id="矩形 14" o:spid="_x0000_s1034" o:spt="1" style="position:absolute;left:4577;top:52890;height:1123;width:8324;v-text-anchor:middle;" fillcolor="#AD002D" filled="t" stroked="t" coordsize="21600,21600" o:gfxdata="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Gsyc065AAAA3AAA&#10;AA8AAAAAAAAAAQAgAAAAIgAAAGRycy9kb3ducmV2LnhtbFBLAQIUABQAAAAIAIdO4kAzLwWeOwAA&#10;ADkAAAAQAAAAAAAAAAEAIAAAAAgBAABkcnMvc2hhcGV4bWwueG1sUEsFBgAAAAAGAAYAWwEAALID&#10;AAAAAA==&#10;">
              <v:path/>
              <v:fill on="t" focussize="0,0"/>
              <v:stroke weight="2pt" color="#B0761F" joinstyle="round"/>
              <v:imagedata o:title=""/>
              <o:lock v:ext="edit"/>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2018年度部门决算☞名词解释</w:t>
                    </w:r>
                  </w:p>
                  <w:p>
                    <w:pPr>
                      <w:jc w:val="center"/>
                    </w:pPr>
                  </w:p>
                </w:txbxContent>
              </v:textbox>
            </v:rect>
            <w10:anchorlock/>
          </v:group>
        </w:pict>
      </w:r>
      <w:r>
        <w:rPr>
          <w:rFonts w:hint="eastAsia" w:ascii="仿宋_GB2312" w:eastAsia="仿宋_GB2312" w:hAnsiTheme="majorEastAsia"/>
          <w:b/>
          <w:bCs/>
          <w:color w:val="000000"/>
          <w:kern w:val="0"/>
          <w:sz w:val="32"/>
          <w:szCs w:val="32"/>
        </w:rPr>
        <w:t>余：</w:t>
      </w:r>
      <w:r>
        <w:rPr>
          <w:rFonts w:hint="eastAsia" w:ascii="仿宋_GB2312" w:eastAsia="仿宋_GB2312" w:hAnsiTheme="majorEastAsia"/>
          <w:color w:val="000000"/>
          <w:kern w:val="0"/>
          <w:sz w:val="32"/>
          <w:szCs w:val="32"/>
        </w:rPr>
        <w:t>指单位按有关规定结转到下年或以后年度继续使用的资金，或项目已完成等产生的结余资金。</w:t>
      </w:r>
    </w:p>
    <w:p>
      <w:pPr>
        <w:widowControl/>
        <w:spacing w:after="0" w:line="560" w:lineRule="exact"/>
        <w:ind w:firstLine="642"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（八）基本支出：</w:t>
      </w:r>
      <w:r>
        <w:rPr>
          <w:rFonts w:hint="eastAsia" w:ascii="仿宋_GB2312" w:eastAsia="仿宋_GB2312" w:hAnsiTheme="majorEastAsia"/>
          <w:color w:val="000000"/>
          <w:kern w:val="0"/>
          <w:sz w:val="32"/>
          <w:szCs w:val="32"/>
        </w:rPr>
        <w:t>填列单位为保障机构正常运转、完成日常工作任务而发生的各项支出。</w:t>
      </w:r>
    </w:p>
    <w:p>
      <w:pPr>
        <w:widowControl/>
        <w:spacing w:after="0" w:line="560" w:lineRule="exact"/>
        <w:ind w:firstLine="642"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（九）项目支出：</w:t>
      </w:r>
      <w:r>
        <w:rPr>
          <w:rFonts w:hint="eastAsia" w:ascii="仿宋_GB2312" w:eastAsia="仿宋_GB2312" w:hAnsiTheme="majorEastAsia"/>
          <w:color w:val="000000"/>
          <w:kern w:val="0"/>
          <w:sz w:val="32"/>
          <w:szCs w:val="32"/>
        </w:rPr>
        <w:t>填列单位为完成特定的行政工作任务或事业发展目标，在基本支出之外发生的各项支出</w:t>
      </w:r>
    </w:p>
    <w:p>
      <w:pPr>
        <w:widowControl/>
        <w:spacing w:after="0" w:line="560" w:lineRule="exact"/>
        <w:ind w:firstLine="642"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（十）资本性支出（基本建设）：</w:t>
      </w:r>
      <w:r>
        <w:rPr>
          <w:rFonts w:hint="eastAsia" w:ascii="仿宋_GB2312" w:eastAsia="仿宋_GB2312" w:hAnsiTheme="majorEastAsia"/>
          <w:color w:val="000000"/>
          <w:kern w:val="0"/>
          <w:sz w:val="32"/>
          <w:szCs w:val="32"/>
        </w:rPr>
        <w:t>填列切块由发展改革部门安排的基本建设支出，对企业补助支出不在此科目反映。</w:t>
      </w:r>
    </w:p>
    <w:p>
      <w:pPr>
        <w:widowControl/>
        <w:spacing w:after="0" w:line="560" w:lineRule="exact"/>
        <w:ind w:firstLine="642"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（十一）资本性支出：</w:t>
      </w:r>
      <w:r>
        <w:rPr>
          <w:rFonts w:hint="eastAsia" w:ascii="仿宋_GB2312" w:eastAsia="仿宋_GB2312" w:hAnsiTheme="majorEastAsia"/>
          <w:color w:val="000000"/>
          <w:kern w:val="0"/>
          <w:sz w:val="32"/>
          <w:szCs w:val="32"/>
        </w:rPr>
        <w:t>填列各单位安排的资本性支出。切块由发展改革部门安排的基本建设支出不在此科目反映。</w:t>
      </w:r>
    </w:p>
    <w:p>
      <w:pPr>
        <w:widowControl/>
        <w:spacing w:after="0" w:line="560" w:lineRule="exact"/>
        <w:ind w:firstLine="642"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（十二）“三公”经费：</w:t>
      </w:r>
      <w:r>
        <w:rPr>
          <w:rFonts w:hint="eastAsia" w:ascii="仿宋_GB2312" w:eastAsia="仿宋_GB2312" w:hAnsiTheme="majorEastAsia"/>
          <w:color w:val="000000"/>
          <w:kern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及租用费、燃料费、维修费、过路过桥费、保险费、安全奖励费用等支出；公务接</w:t>
      </w:r>
      <w:r>
        <w:rPr>
          <w:rFonts w:ascii="仿宋_GB2312" w:eastAsia="仿宋_GB2312" w:hAnsiTheme="majorEastAsia"/>
          <w:b/>
          <w:bCs/>
          <w:color w:val="000000"/>
          <w:kern w:val="0"/>
          <w:sz w:val="32"/>
          <w:szCs w:val="32"/>
        </w:rPr>
        <w:pict>
          <v:group id="_x0000_s1030" o:spid="_x0000_s1030" o:spt="203" style="position:absolute;left:0pt;margin-left:-81.05pt;margin-top:39.65pt;height:43.95pt;width:264.85pt;mso-position-vertical-relative:page;z-index:251674624;mso-width-relative:page;mso-height-relative:page;" coordorigin="4551,52615" coordsize="8546,1398203" o:gfxdata="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">
            <o:lock v:ext="edit"/>
            <v:rect id="矩形 13" o:spid="_x0000_s1032" o:spt="1" style="position:absolute;left:4551;top:52615;height:1175;width:8546;v-text-anchor:middle;" fillcolor="#D9D9D9" filled="t" stroked="f" coordsize="21600,21600" o:gfxdata="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Q6BTpvQAA&#10;ANsAAAAPAAAAAAAAAAEAIAAAACIAAABkcnMvZG93bnJldi54bWxQSwECFAAUAAAACACHTuJAMy8F&#10;njsAAAA5AAAAEAAAAAAAAAABACAAAAAMAQAAZHJzL3NoYXBleG1sLnhtbFBLBQYAAAAABgAGAFsB&#10;AAC2AwAAAAA=&#10;">
              <v:path/>
              <v:fill on="t" focussize="0,0"/>
              <v:stroke on="f" weight="2pt"/>
              <v:imagedata o:title=""/>
              <o:lock v:ext="edit"/>
            </v:rect>
            <v:rect id="矩形 14" o:spid="_x0000_s1031" o:spt="1" style="position:absolute;left:4577;top:52890;height:1123;width:8324;v-text-anchor:middle;" fillcolor="#AD002D" filled="t" stroked="t" coordsize="21600,21600" o:gfxdata="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6ZPOqLsAAADb&#10;AAAADwAAAAAAAAABACAAAAAiAAAAZHJzL2Rvd25yZXYueG1sUEsBAhQAFAAAAAgAh07iQDMvBZ47&#10;AAAAOQAAABAAAAAAAAAAAQAgAAAACgEAAGRycy9zaGFwZXhtbC54bWxQSwUGAAAAAAYABgBbAQAA&#10;tAMAAAAA&#10;">
              <v:path/>
              <v:fill on="t" focussize="0,0"/>
              <v:stroke weight="2pt" color="#B0761F" joinstyle="round"/>
              <v:imagedata o:title=""/>
              <o:lock v:ext="edit"/>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2018年度部门决算☞名词解释</w:t>
                    </w:r>
                  </w:p>
                  <w:p>
                    <w:pPr>
                      <w:jc w:val="center"/>
                    </w:pPr>
                  </w:p>
                </w:txbxContent>
              </v:textbox>
            </v:rect>
            <w10:anchorlock/>
          </v:group>
        </w:pict>
      </w:r>
      <w:r>
        <w:rPr>
          <w:rFonts w:hint="eastAsia" w:ascii="仿宋_GB2312" w:eastAsia="仿宋_GB2312" w:hAnsiTheme="majorEastAsia"/>
          <w:color w:val="000000"/>
          <w:kern w:val="0"/>
          <w:sz w:val="32"/>
          <w:szCs w:val="32"/>
        </w:rPr>
        <w:t>待费反映单位按规定开支的各类公务接待（含外宾接待）支出。</w:t>
      </w:r>
    </w:p>
    <w:p>
      <w:pPr>
        <w:widowControl/>
        <w:spacing w:after="0" w:line="560" w:lineRule="exact"/>
        <w:ind w:firstLine="642"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（十三）其</w:t>
      </w:r>
      <w:r>
        <w:rPr>
          <w:rFonts w:ascii="仿宋_GB2312" w:eastAsia="仿宋_GB2312" w:hAnsiTheme="majorEastAsia"/>
          <w:b/>
          <w:bCs/>
          <w:color w:val="000000"/>
          <w:kern w:val="0"/>
          <w:sz w:val="32"/>
          <w:szCs w:val="32"/>
        </w:rPr>
        <w:pict>
          <v:group id="_x0000_s1027" o:spid="_x0000_s1027" o:spt="203" style="position:absolute;left:0pt;margin-left:-81.05pt;margin-top:39.65pt;height:43.95pt;width:264.85pt;mso-position-vertical-relative:page;z-index:251675648;mso-width-relative:page;mso-height-relative:page;" coordorigin="4551,52615" coordsize="8546,1398203" o:gfxdata="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">
            <o:lock v:ext="edit"/>
            <v:rect id="矩形 13" o:spid="_x0000_s1029" o:spt="1" style="position:absolute;left:4551;top:52615;height:1175;width:8546;v-text-anchor:middle;" fillcolor="#D9D9D9" filled="t" stroked="f" coordsize="21600,21600" o:gfxdata="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B+6bt3ugAAANsA&#10;AAAPAAAAAAAAAAEAIAAAACIAAABkcnMvZG93bnJldi54bWxQSwECFAAUAAAACACHTuJAMy8FnjsA&#10;AAA5AAAAEAAAAAAAAAABACAAAAAJAQAAZHJzL3NoYXBleG1sLnhtbFBLBQYAAAAABgAGAFsBAACz&#10;AwAAAAA=&#10;">
              <v:path/>
              <v:fill on="t" focussize="0,0"/>
              <v:stroke on="f" weight="2pt"/>
              <v:imagedata o:title=""/>
              <o:lock v:ext="edit"/>
            </v:rect>
            <v:rect id="矩形 14" o:spid="_x0000_s1028" o:spt="1" style="position:absolute;left:4577;top:52890;height:1123;width:8324;v-text-anchor:middle;" fillcolor="#AD002D" filled="t" stroked="t" coordsize="21600,21600" o:gfxdata="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mAxa2rsAAADb&#10;AAAADwAAAAAAAAABACAAAAAiAAAAZHJzL2Rvd25yZXYueG1sUEsBAhQAFAAAAAgAh07iQDMvBZ47&#10;AAAAOQAAABAAAAAAAAAAAQAgAAAACgEAAGRycy9zaGFwZXhtbC54bWxQSwUGAAAAAAYABgBbAQAA&#10;tAMAAAAA&#10;">
              <v:path/>
              <v:fill on="t" focussize="0,0"/>
              <v:stroke weight="2pt" color="#B0761F" joinstyle="round"/>
              <v:imagedata o:title=""/>
              <o:lock v:ext="edit"/>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2018年度部门决算☞名词解释</w:t>
                    </w:r>
                  </w:p>
                  <w:p>
                    <w:pPr>
                      <w:jc w:val="center"/>
                    </w:pPr>
                  </w:p>
                </w:txbxContent>
              </v:textbox>
            </v:rect>
            <w10:anchorlock/>
          </v:group>
        </w:pict>
      </w:r>
      <w:r>
        <w:rPr>
          <w:rFonts w:hint="eastAsia" w:ascii="仿宋_GB2312" w:eastAsia="仿宋_GB2312" w:hAnsiTheme="majorEastAsia"/>
          <w:b/>
          <w:bCs/>
          <w:color w:val="000000"/>
          <w:kern w:val="0"/>
          <w:sz w:val="32"/>
          <w:szCs w:val="32"/>
        </w:rPr>
        <w:t>他交通费用：</w:t>
      </w:r>
      <w:r>
        <w:rPr>
          <w:rFonts w:hint="eastAsia" w:ascii="仿宋_GB2312" w:eastAsia="仿宋_GB2312" w:hAnsiTheme="majorEastAsia"/>
          <w:color w:val="000000"/>
          <w:kern w:val="0"/>
          <w:sz w:val="32"/>
          <w:szCs w:val="32"/>
        </w:rPr>
        <w:t>填列单位除公务用车运行维护费以外的其他交通费用。如公务交通补贴、租车费用、出租车费用、飞机、船舶等的燃料费、维修费、保险费等。</w:t>
      </w:r>
    </w:p>
    <w:p>
      <w:pPr>
        <w:widowControl/>
        <w:spacing w:after="0" w:line="560" w:lineRule="exact"/>
        <w:ind w:firstLine="642"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（十四）公务用车购置：</w:t>
      </w:r>
      <w:r>
        <w:rPr>
          <w:rFonts w:hint="eastAsia" w:ascii="仿宋_GB2312" w:eastAsia="仿宋_GB2312" w:hAnsiTheme="majorEastAsia"/>
          <w:color w:val="000000"/>
          <w:kern w:val="0"/>
          <w:sz w:val="32"/>
          <w:szCs w:val="32"/>
        </w:rPr>
        <w:t>填列单位公务用车购置支出（含车辆购置税、牌照费）。</w:t>
      </w:r>
    </w:p>
    <w:p>
      <w:pPr>
        <w:widowControl/>
        <w:spacing w:after="0" w:line="560" w:lineRule="exact"/>
        <w:ind w:firstLine="642"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（十五）其他交通工具购置：</w:t>
      </w:r>
      <w:r>
        <w:rPr>
          <w:rFonts w:hint="eastAsia" w:ascii="仿宋_GB2312" w:eastAsia="仿宋_GB2312" w:hAnsiTheme="majorEastAsia"/>
          <w:color w:val="000000"/>
          <w:kern w:val="0"/>
          <w:sz w:val="32"/>
          <w:szCs w:val="32"/>
        </w:rPr>
        <w:t>填列单位除公务用车外的其他各类交通工具（如船舶、飞机）购置支出（含车辆购置税、牌照费）。</w:t>
      </w:r>
    </w:p>
    <w:p>
      <w:pPr>
        <w:widowControl/>
        <w:spacing w:after="0" w:line="560" w:lineRule="exact"/>
        <w:ind w:firstLine="642"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（十六）机关运行经费：</w:t>
      </w:r>
      <w:r>
        <w:rPr>
          <w:rFonts w:hint="eastAsia" w:ascii="仿宋_GB2312" w:eastAsia="仿宋_GB2312" w:hAnsiTheme="majorEastAsia"/>
          <w:color w:val="000000"/>
          <w:kern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pPr>
        <w:widowControl/>
        <w:spacing w:after="0" w:line="560" w:lineRule="exact"/>
        <w:ind w:firstLine="642" w:firstLineChars="200"/>
        <w:rPr>
          <w:rFonts w:ascii="仿宋_GB2312" w:eastAsia="仿宋_GB2312" w:cs="ArialUnicodeMS" w:hAnsiTheme="minorHAnsi"/>
          <w:kern w:val="0"/>
          <w:sz w:val="32"/>
          <w:szCs w:val="32"/>
        </w:rPr>
        <w:sectPr>
          <w:pgSz w:w="11906" w:h="16838"/>
          <w:pgMar w:top="2098" w:right="1474" w:bottom="1985" w:left="1588" w:header="851" w:footer="992" w:gutter="0"/>
          <w:cols w:space="425" w:num="1"/>
          <w:docGrid w:type="lines" w:linePitch="312" w:charSpace="0"/>
        </w:sectPr>
      </w:pPr>
      <w:r>
        <w:rPr>
          <w:rFonts w:hint="eastAsia" w:ascii="仿宋_GB2312" w:eastAsia="仿宋_GB2312" w:hAnsiTheme="majorEastAsia"/>
          <w:b/>
          <w:bCs/>
          <w:color w:val="000000"/>
          <w:kern w:val="0"/>
          <w:sz w:val="32"/>
          <w:szCs w:val="32"/>
        </w:rPr>
        <w:t>（十七）经费形式:</w:t>
      </w:r>
      <w:r>
        <w:rPr>
          <w:rFonts w:hint="eastAsia" w:ascii="仿宋_GB2312" w:eastAsia="仿宋_GB2312" w:hAnsiTheme="majorEastAsia"/>
          <w:color w:val="000000"/>
          <w:kern w:val="0"/>
          <w:sz w:val="32"/>
          <w:szCs w:val="32"/>
        </w:rPr>
        <w:t>按照经费来源，</w:t>
      </w:r>
      <w:r>
        <w:rPr>
          <w:rFonts w:hint="eastAsia" w:ascii="仿宋_GB2312" w:eastAsia="仿宋_GB2312" w:cs="ArialUnicodeMS" w:hAnsiTheme="minorHAnsi"/>
          <w:kern w:val="0"/>
          <w:sz w:val="32"/>
          <w:szCs w:val="32"/>
        </w:rPr>
        <w:t>可分为财政拨款、财政性资金基本保证、财政性资金定额或定项补助、财政性资金零补助四类。</w:t>
      </w:r>
    </w:p>
    <w:p>
      <w:pPr>
        <w:widowControl/>
        <w:spacing w:after="0" w:line="560" w:lineRule="exact"/>
        <w:ind w:firstLine="640" w:firstLineChars="200"/>
        <w:rPr>
          <w:rFonts w:ascii="仿宋_GB2312" w:eastAsia="仿宋_GB2312" w:cs="ArialUnicodeMS" w:hAnsiTheme="minorHAnsi"/>
          <w:kern w:val="0"/>
          <w:sz w:val="32"/>
          <w:szCs w:val="32"/>
        </w:rPr>
      </w:pPr>
      <w:r>
        <w:rPr>
          <w:rFonts w:ascii="仿宋_GB2312" w:eastAsia="仿宋_GB2312" w:cs="ArialUnicodeMS" w:hAnsiTheme="minorHAnsi"/>
          <w:kern w:val="0"/>
          <w:sz w:val="32"/>
          <w:szCs w:val="32"/>
        </w:rPr>
        <w:drawing>
          <wp:anchor distT="0" distB="0" distL="114300" distR="114300" simplePos="0" relativeHeight="251651072" behindDoc="1" locked="0" layoutInCell="1" allowOverlap="1">
            <wp:simplePos x="0" y="0"/>
            <wp:positionH relativeFrom="column">
              <wp:posOffset>-990600</wp:posOffset>
            </wp:positionH>
            <wp:positionV relativeFrom="paragraph">
              <wp:posOffset>-1355090</wp:posOffset>
            </wp:positionV>
            <wp:extent cx="7590155" cy="10735945"/>
            <wp:effectExtent l="0" t="0" r="10795" b="8255"/>
            <wp:wrapNone/>
            <wp:docPr id="101" name="图片 101" descr="3"/>
            <wp:cNvGraphicFramePr>
              <a:graphicFrameLocks xmlns:a="http://schemas.openxmlformats.org/drawingml/2006/main" noChangeAspect="true"/>
            </wp:cNvGraphicFramePr>
            <a:graphic xmlns:a="http://schemas.openxmlformats.org/drawingml/2006/main">
              <a:graphicData uri="http://schemas.openxmlformats.org/drawingml/2006/picture">
                <pic:pic xmlns:pic="http://schemas.openxmlformats.org/drawingml/2006/picture">
                  <pic:nvPicPr>
                    <pic:cNvPr id="101" name="图片 101" descr="3"/>
                    <pic:cNvPicPr>
                      <a:picLocks noChangeAspect="true"/>
                    </pic:cNvPicPr>
                  </pic:nvPicPr>
                  <pic:blipFill>
                    <a:blip r:embed="rId12" cstate="print"/>
                    <a:stretch>
                      <a:fillRect/>
                    </a:stretch>
                  </pic:blipFill>
                  <pic:spPr>
                    <a:xfrm>
                      <a:off x="0" y="0"/>
                      <a:ext cx="7590155" cy="10735945"/>
                    </a:xfrm>
                    <a:prstGeom prst="rect">
                      <a:avLst/>
                    </a:prstGeom>
                  </pic:spPr>
                </pic:pic>
              </a:graphicData>
            </a:graphic>
          </wp:anchor>
        </w:drawing>
      </w:r>
    </w:p>
    <w:sectPr>
      <w:pgSz w:w="11906" w:h="16838"/>
      <w:pgMar w:top="2098" w:right="1474" w:bottom="1985" w:left="1588" w:header="851" w:footer="992" w:gutter="0"/>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2000609000000000000"/>
    <w:charset w:val="02"/>
    <w:family w:val="roman"/>
    <w:pitch w:val="default"/>
    <w:sig w:usb0="800000AF" w:usb1="4000204A" w:usb2="00000000" w:usb3="00000000" w:csb0="20000000" w:csb1="00000000"/>
  </w:font>
  <w:font w:name="Calibri">
    <w:altName w:val="DejaVu Sans"/>
    <w:panose1 w:val="020F0502020204030204"/>
    <w:charset w:val="00"/>
    <w:family w:val="swiss"/>
    <w:pitch w:val="default"/>
    <w:sig w:usb0="00000000" w:usb1="00000000" w:usb2="00000001" w:usb3="00000000" w:csb0="0000019F" w:csb1="00000000"/>
  </w:font>
  <w:font w:name="Cambria">
    <w:altName w:val="Noto Sans Syriac Eastern"/>
    <w:panose1 w:val="02040503050406030204"/>
    <w:charset w:val="00"/>
    <w:family w:val="roman"/>
    <w:pitch w:val="default"/>
    <w:sig w:usb0="00000000" w:usb1="00000000" w:usb2="00000000" w:usb3="00000000" w:csb0="0000019F" w:csb1="00000000"/>
  </w:font>
  <w:font w:name="楷体">
    <w:altName w:val="方正楷体_GBK"/>
    <w:panose1 w:val="02010609060101010101"/>
    <w:charset w:val="86"/>
    <w:family w:val="modern"/>
    <w:pitch w:val="default"/>
    <w:sig w:usb0="00000000" w:usb1="00000000" w:usb2="00000016" w:usb3="00000000" w:csb0="00040001" w:csb1="00000000"/>
  </w:font>
  <w:font w:name="楷体_GB2312">
    <w:panose1 w:val="02010609030101010101"/>
    <w:charset w:val="86"/>
    <w:family w:val="swiss"/>
    <w:pitch w:val="default"/>
    <w:sig w:usb0="00000001" w:usb1="080E0000" w:usb2="00000000" w:usb3="00000000" w:csb0="00040000" w:csb1="00000000"/>
  </w:font>
  <w:font w:name="仿宋_GB2312">
    <w:panose1 w:val="02010609030101010101"/>
    <w:charset w:val="86"/>
    <w:family w:val="swiss"/>
    <w:pitch w:val="default"/>
    <w:sig w:usb0="00000001" w:usb1="080E0000" w:usb2="00000000" w:usb3="00000000" w:csb0="00040000" w:csb1="00000000"/>
  </w:font>
  <w:font w:name="ArialUnicodeMS">
    <w:altName w:val="DejaVu Sans"/>
    <w:panose1 w:val="00000000000000000000"/>
    <w:charset w:val="81"/>
    <w:family w:val="auto"/>
    <w:pitch w:val="default"/>
    <w:sig w:usb0="00000000" w:usb1="00000000" w:usb2="00000010" w:usb3="00000000" w:csb0="00080001" w:csb1="00000000"/>
  </w:font>
  <w:font w:name="仿宋">
    <w:altName w:val="宋体"/>
    <w:panose1 w:val="02010609060101010101"/>
    <w:charset w:val="86"/>
    <w:family w:val="modern"/>
    <w:pitch w:val="default"/>
    <w:sig w:usb0="00000000" w:usb1="00000000" w:usb2="00000016" w:usb3="00000000" w:csb0="00040001" w:csb1="00000000"/>
  </w:font>
  <w:font w:name="MS-UIGothic,Bold">
    <w:altName w:val="黑体"/>
    <w:panose1 w:val="00000000000000000000"/>
    <w:charset w:val="81"/>
    <w:family w:val="auto"/>
    <w:pitch w:val="default"/>
    <w:sig w:usb0="00000000" w:usb1="00000000" w:usb2="00000010" w:usb3="00000000" w:csb0="00080000" w:csb1="00000000"/>
  </w:font>
  <w:font w:name="Arial">
    <w:altName w:val="DejaVu Sans"/>
    <w:panose1 w:val="020B0604020202020204"/>
    <w:charset w:val="00"/>
    <w:family w:val="swiss"/>
    <w:pitch w:val="default"/>
    <w:sig w:usb0="00000000" w:usb1="00000000" w:usb2="00000009" w:usb3="00000000" w:csb0="000001FF" w:csb1="00000000"/>
  </w:font>
  <w:font w:name="DengXian-Regular">
    <w:altName w:val="宋体"/>
    <w:panose1 w:val="00000000000000000000"/>
    <w:charset w:val="86"/>
    <w:family w:val="auto"/>
    <w:pitch w:val="default"/>
    <w:sig w:usb0="00000000" w:usb1="00000000" w:usb2="00000010" w:usb3="00000000" w:csb0="00040001" w:csb1="00000000"/>
  </w:font>
  <w:font w:name="DengXian-Bold">
    <w:altName w:val="宋体"/>
    <w:panose1 w:val="00000000000000000000"/>
    <w:charset w:val="86"/>
    <w:family w:val="auto"/>
    <w:pitch w:val="default"/>
    <w:sig w:usb0="00000000" w:usb1="00000000" w:usb2="00000010" w:usb3="00000000" w:csb0="00040001" w:csb1="00000000"/>
  </w:font>
  <w:font w:name="TimesNewRomanPSMT">
    <w:altName w:val="DejaVu Sans"/>
    <w:panose1 w:val="00000000000000000000"/>
    <w:charset w:val="00"/>
    <w:family w:val="decorative"/>
    <w:pitch w:val="default"/>
    <w:sig w:usb0="00000000" w:usb1="00000000" w:usb2="00000000" w:usb3="00000000" w:csb0="00000001" w:csb1="00000000"/>
  </w:font>
  <w:font w:name="DejaVu Sans">
    <w:panose1 w:val="020B0603030804020204"/>
    <w:charset w:val="00"/>
    <w:family w:val="auto"/>
    <w:pitch w:val="default"/>
    <w:sig w:usb0="E7006EFF" w:usb1="D200FDFF" w:usb2="0A246029" w:usb3="0400200C" w:csb0="600001FF" w:csb1="DFFF0000"/>
  </w:font>
  <w:font w:name="方正楷体_GBK">
    <w:panose1 w:val="02000000000000000000"/>
    <w:charset w:val="86"/>
    <w:family w:val="auto"/>
    <w:pitch w:val="default"/>
    <w:sig w:usb0="00000001" w:usb1="08000000" w:usb2="00000000" w:usb3="00000000" w:csb0="00040000" w:csb1="00000000"/>
  </w:font>
  <w:font w:name="文泉驿微米黑">
    <w:panose1 w:val="020B0606030804020204"/>
    <w:charset w:val="86"/>
    <w:family w:val="auto"/>
    <w:pitch w:val="default"/>
    <w:sig w:usb0="E10002EF" w:usb1="6BDFFCFB" w:usb2="00800036" w:usb3="00000000" w:csb0="603E019F" w:csb1="DFD70000"/>
  </w:font>
  <w:font w:name="Noto Sans Syriac Eastern">
    <w:panose1 w:val="02040503050306020203"/>
    <w:charset w:val="86"/>
    <w:family w:val="auto"/>
    <w:pitch w:val="default"/>
    <w:sig w:usb0="00000000" w:usb1="00000000" w:usb2="00000080" w:usb3="00000000" w:csb0="203E0161" w:csb1="D7FF0000"/>
  </w:font>
  <w:font w:name="方正宋体S-超大字符集">
    <w:panose1 w:val="02000000000000000000"/>
    <w:charset w:val="86"/>
    <w:family w:val="auto"/>
    <w:pitch w:val="default"/>
    <w:sig w:usb0="00000001" w:usb1="08000000" w:usb2="00000000" w:usb3="00000000" w:csb0="00040000"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pPr>
      <w:r>
        <w:separator/>
      </w:r>
    </w:p>
  </w:footnote>
  <w:footnote w:type="continuationSeparator" w:id="1">
    <w:p>
      <w:pPr>
        <w:spacing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45DB9A87"/>
    <w:multiLevelType w:val="singleLevel"/>
    <w:tmpl w:val="45DB9A87"/>
    <w:lvl w:ilvl="0" w:tentative="0">
      <w:start w:val="3"/>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TrueTypeFonts/>
  <w:saveSubsetFonts/>
  <w:bordersDoNotSurroundHeader w:val="true"/>
  <w:bordersDoNotSurroundFooter w:val="true"/>
  <w:documentProtection w:enforcement="0"/>
  <w:defaultTabStop w:val="420"/>
  <w:drawingGridHorizontalSpacing w:val="105"/>
  <w:drawingGridVerticalSpacing w:val="156"/>
  <w:noPunctuationKerning w:val="true"/>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rsids>
    <w:rsidRoot w:val="003C1413"/>
    <w:rsid w:val="00024E7F"/>
    <w:rsid w:val="000475A0"/>
    <w:rsid w:val="000838C3"/>
    <w:rsid w:val="000B2446"/>
    <w:rsid w:val="000D7C65"/>
    <w:rsid w:val="000E2F81"/>
    <w:rsid w:val="00117946"/>
    <w:rsid w:val="00117E2C"/>
    <w:rsid w:val="0013217B"/>
    <w:rsid w:val="00146C47"/>
    <w:rsid w:val="00152FB8"/>
    <w:rsid w:val="00176658"/>
    <w:rsid w:val="0018239E"/>
    <w:rsid w:val="001B3410"/>
    <w:rsid w:val="001C030D"/>
    <w:rsid w:val="001C4A84"/>
    <w:rsid w:val="001E5902"/>
    <w:rsid w:val="00205BEE"/>
    <w:rsid w:val="00233705"/>
    <w:rsid w:val="00275CA2"/>
    <w:rsid w:val="002A65A5"/>
    <w:rsid w:val="002C04C4"/>
    <w:rsid w:val="002D08B0"/>
    <w:rsid w:val="002D1AE3"/>
    <w:rsid w:val="002F27D5"/>
    <w:rsid w:val="002F2ECE"/>
    <w:rsid w:val="00341C8F"/>
    <w:rsid w:val="0035463A"/>
    <w:rsid w:val="00391D9D"/>
    <w:rsid w:val="00391E1D"/>
    <w:rsid w:val="003B6C51"/>
    <w:rsid w:val="003C1413"/>
    <w:rsid w:val="003C549F"/>
    <w:rsid w:val="003D5A16"/>
    <w:rsid w:val="003E7DB3"/>
    <w:rsid w:val="003F7EC9"/>
    <w:rsid w:val="00431175"/>
    <w:rsid w:val="004B6E37"/>
    <w:rsid w:val="004C32BA"/>
    <w:rsid w:val="00575922"/>
    <w:rsid w:val="005A6C90"/>
    <w:rsid w:val="005E3FB0"/>
    <w:rsid w:val="005F4B66"/>
    <w:rsid w:val="005F5208"/>
    <w:rsid w:val="00641318"/>
    <w:rsid w:val="0064405D"/>
    <w:rsid w:val="00685302"/>
    <w:rsid w:val="00695557"/>
    <w:rsid w:val="006D4EA7"/>
    <w:rsid w:val="0070012A"/>
    <w:rsid w:val="0070664B"/>
    <w:rsid w:val="007071B8"/>
    <w:rsid w:val="007414DE"/>
    <w:rsid w:val="007905A9"/>
    <w:rsid w:val="007E5500"/>
    <w:rsid w:val="007F055B"/>
    <w:rsid w:val="0080644C"/>
    <w:rsid w:val="00811C2F"/>
    <w:rsid w:val="00833D46"/>
    <w:rsid w:val="00840A97"/>
    <w:rsid w:val="008C0149"/>
    <w:rsid w:val="008D5DED"/>
    <w:rsid w:val="008E25CA"/>
    <w:rsid w:val="008F34FC"/>
    <w:rsid w:val="00944CD7"/>
    <w:rsid w:val="00957A9E"/>
    <w:rsid w:val="009831B2"/>
    <w:rsid w:val="009A1ABE"/>
    <w:rsid w:val="009D66C0"/>
    <w:rsid w:val="009E21A4"/>
    <w:rsid w:val="009F22C6"/>
    <w:rsid w:val="00A07E50"/>
    <w:rsid w:val="00A15397"/>
    <w:rsid w:val="00A35CE0"/>
    <w:rsid w:val="00A4462E"/>
    <w:rsid w:val="00A44AA4"/>
    <w:rsid w:val="00A61623"/>
    <w:rsid w:val="00A84687"/>
    <w:rsid w:val="00AB0A0E"/>
    <w:rsid w:val="00AD3B6E"/>
    <w:rsid w:val="00B1751F"/>
    <w:rsid w:val="00B56722"/>
    <w:rsid w:val="00B656EB"/>
    <w:rsid w:val="00B74D39"/>
    <w:rsid w:val="00B91DA4"/>
    <w:rsid w:val="00C12630"/>
    <w:rsid w:val="00C34562"/>
    <w:rsid w:val="00C3774E"/>
    <w:rsid w:val="00C57456"/>
    <w:rsid w:val="00C65387"/>
    <w:rsid w:val="00C87FAB"/>
    <w:rsid w:val="00C91FF7"/>
    <w:rsid w:val="00C94E53"/>
    <w:rsid w:val="00D0048E"/>
    <w:rsid w:val="00D23E7A"/>
    <w:rsid w:val="00D61063"/>
    <w:rsid w:val="00DB35AF"/>
    <w:rsid w:val="00DD72D7"/>
    <w:rsid w:val="00DF5B88"/>
    <w:rsid w:val="00E0589E"/>
    <w:rsid w:val="00E241FA"/>
    <w:rsid w:val="00E2595E"/>
    <w:rsid w:val="00E35374"/>
    <w:rsid w:val="00E50C19"/>
    <w:rsid w:val="00E64655"/>
    <w:rsid w:val="00E73081"/>
    <w:rsid w:val="00E856C9"/>
    <w:rsid w:val="00EB6A8B"/>
    <w:rsid w:val="00EF38C6"/>
    <w:rsid w:val="00F679C7"/>
    <w:rsid w:val="00F7711A"/>
    <w:rsid w:val="00FA0D58"/>
    <w:rsid w:val="00FA56F4"/>
    <w:rsid w:val="00FB4EDA"/>
    <w:rsid w:val="00FD3BD5"/>
    <w:rsid w:val="00FE3DC8"/>
    <w:rsid w:val="04073F84"/>
    <w:rsid w:val="09295896"/>
    <w:rsid w:val="0B60750A"/>
    <w:rsid w:val="10686488"/>
    <w:rsid w:val="10DF728A"/>
    <w:rsid w:val="1264200E"/>
    <w:rsid w:val="12767EEC"/>
    <w:rsid w:val="14183B16"/>
    <w:rsid w:val="141C5B77"/>
    <w:rsid w:val="18D8339D"/>
    <w:rsid w:val="1A21388F"/>
    <w:rsid w:val="1A570D2F"/>
    <w:rsid w:val="28FB0B8D"/>
    <w:rsid w:val="291101C0"/>
    <w:rsid w:val="2A9870FC"/>
    <w:rsid w:val="2D2B7942"/>
    <w:rsid w:val="2D46481D"/>
    <w:rsid w:val="2E733B28"/>
    <w:rsid w:val="31852B5A"/>
    <w:rsid w:val="32D01238"/>
    <w:rsid w:val="37C65E27"/>
    <w:rsid w:val="3DFC59A8"/>
    <w:rsid w:val="3ECF245E"/>
    <w:rsid w:val="3FB96314"/>
    <w:rsid w:val="472521DC"/>
    <w:rsid w:val="4AA11B8C"/>
    <w:rsid w:val="53A44FAF"/>
    <w:rsid w:val="594329EC"/>
    <w:rsid w:val="5BEE1540"/>
    <w:rsid w:val="5DE61A5D"/>
    <w:rsid w:val="63C04243"/>
    <w:rsid w:val="649C01C7"/>
    <w:rsid w:val="699A3F60"/>
    <w:rsid w:val="72902E62"/>
    <w:rsid w:val="73C61104"/>
    <w:rsid w:val="776452EA"/>
    <w:rsid w:val="7DC663B9"/>
    <w:rsid w:val="7E7F06AD"/>
    <w:rsid w:val="7FD2103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semiHidden="0"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iPriority="99" w:semiHidden="0"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semiHidden="0" w:name="Balloon Text"/>
    <w:lsdException w:qFormat="1" w:unhideWhenUsed="0" w:uiPriority="1"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spacing w:after="160" w:line="480" w:lineRule="auto"/>
      <w:jc w:val="both"/>
    </w:pPr>
    <w:rPr>
      <w:rFonts w:ascii="Times New Roman" w:hAnsi="Times New Roman" w:eastAsia="宋体" w:cs="Times New Roman"/>
      <w:kern w:val="2"/>
      <w:sz w:val="21"/>
      <w:szCs w:val="24"/>
      <w:lang w:val="en-US" w:eastAsia="zh-CN" w:bidi="ar-SA"/>
    </w:rPr>
  </w:style>
  <w:style w:type="paragraph" w:styleId="2">
    <w:name w:val="heading 1"/>
    <w:basedOn w:val="1"/>
    <w:next w:val="1"/>
    <w:link w:val="27"/>
    <w:qFormat/>
    <w:uiPriority w:val="9"/>
    <w:pPr>
      <w:keepNext/>
      <w:keepLines/>
      <w:spacing w:before="340" w:after="330" w:line="578" w:lineRule="auto"/>
      <w:outlineLvl w:val="0"/>
    </w:pPr>
    <w:rPr>
      <w:b/>
      <w:bCs/>
      <w:kern w:val="44"/>
      <w:sz w:val="44"/>
      <w:szCs w:val="44"/>
    </w:rPr>
  </w:style>
  <w:style w:type="paragraph" w:styleId="3">
    <w:name w:val="heading 2"/>
    <w:basedOn w:val="1"/>
    <w:next w:val="1"/>
    <w:link w:val="28"/>
    <w:unhideWhenUsed/>
    <w:qFormat/>
    <w:uiPriority w:val="9"/>
    <w:pPr>
      <w:keepNext/>
      <w:keepLines/>
      <w:spacing w:before="260" w:after="260" w:line="416" w:lineRule="auto"/>
      <w:outlineLvl w:val="1"/>
    </w:pPr>
    <w:rPr>
      <w:rFonts w:asciiTheme="majorHAnsi" w:hAnsiTheme="majorHAnsi" w:eastAsiaTheme="majorEastAsia" w:cstheme="majorBidi"/>
      <w:b/>
      <w:bCs/>
      <w:sz w:val="32"/>
      <w:szCs w:val="32"/>
    </w:rPr>
  </w:style>
  <w:style w:type="paragraph" w:styleId="4">
    <w:name w:val="heading 3"/>
    <w:basedOn w:val="1"/>
    <w:next w:val="1"/>
    <w:link w:val="29"/>
    <w:unhideWhenUsed/>
    <w:qFormat/>
    <w:uiPriority w:val="9"/>
    <w:pPr>
      <w:keepNext/>
      <w:keepLines/>
      <w:spacing w:before="260" w:after="260" w:line="416" w:lineRule="auto"/>
      <w:outlineLvl w:val="2"/>
    </w:pPr>
    <w:rPr>
      <w:b/>
      <w:bCs/>
      <w:sz w:val="32"/>
      <w:szCs w:val="32"/>
    </w:rPr>
  </w:style>
  <w:style w:type="paragraph" w:styleId="5">
    <w:name w:val="heading 4"/>
    <w:basedOn w:val="1"/>
    <w:next w:val="1"/>
    <w:link w:val="30"/>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character" w:default="1" w:styleId="14">
    <w:name w:val="Default Paragraph Font"/>
    <w:semiHidden/>
    <w:unhideWhenUsed/>
    <w:qFormat/>
    <w:uiPriority w:val="1"/>
  </w:style>
  <w:style w:type="table" w:default="1" w:styleId="12">
    <w:name w:val="Normal Table"/>
    <w:semiHidden/>
    <w:unhideWhenUsed/>
    <w:qFormat/>
    <w:uiPriority w:val="99"/>
    <w:tblPr>
      <w:tblCellMar>
        <w:top w:w="0" w:type="dxa"/>
        <w:left w:w="108" w:type="dxa"/>
        <w:bottom w:w="0" w:type="dxa"/>
        <w:right w:w="108" w:type="dxa"/>
      </w:tblCellMar>
    </w:tblPr>
  </w:style>
  <w:style w:type="paragraph" w:styleId="6">
    <w:name w:val="Date"/>
    <w:basedOn w:val="1"/>
    <w:next w:val="1"/>
    <w:link w:val="31"/>
    <w:unhideWhenUsed/>
    <w:qFormat/>
    <w:uiPriority w:val="99"/>
    <w:pPr>
      <w:ind w:left="100" w:leftChars="2500"/>
    </w:pPr>
  </w:style>
  <w:style w:type="paragraph" w:styleId="7">
    <w:name w:val="Balloon Text"/>
    <w:basedOn w:val="1"/>
    <w:link w:val="19"/>
    <w:unhideWhenUsed/>
    <w:qFormat/>
    <w:uiPriority w:val="99"/>
    <w:rPr>
      <w:sz w:val="18"/>
      <w:szCs w:val="18"/>
    </w:rPr>
  </w:style>
  <w:style w:type="paragraph" w:styleId="8">
    <w:name w:val="footer"/>
    <w:basedOn w:val="1"/>
    <w:link w:val="16"/>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9">
    <w:name w:val="header"/>
    <w:basedOn w:val="1"/>
    <w:link w:val="15"/>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0">
    <w:name w:val="Subtitle"/>
    <w:basedOn w:val="1"/>
    <w:next w:val="1"/>
    <w:link w:val="21"/>
    <w:qFormat/>
    <w:uiPriority w:val="11"/>
    <w:pPr>
      <w:widowControl/>
      <w:spacing w:after="200" w:line="276" w:lineRule="auto"/>
      <w:jc w:val="left"/>
    </w:pPr>
    <w:rPr>
      <w:rFonts w:asciiTheme="majorHAnsi" w:hAnsiTheme="majorHAnsi" w:eastAsiaTheme="majorEastAsia" w:cstheme="majorBidi"/>
      <w:i/>
      <w:iCs/>
      <w:color w:val="F0A22E" w:themeColor="accent1"/>
      <w:spacing w:val="15"/>
      <w:kern w:val="0"/>
      <w:sz w:val="24"/>
    </w:rPr>
  </w:style>
  <w:style w:type="paragraph" w:styleId="11">
    <w:name w:val="Title"/>
    <w:basedOn w:val="1"/>
    <w:next w:val="1"/>
    <w:link w:val="20"/>
    <w:qFormat/>
    <w:uiPriority w:val="10"/>
    <w:pPr>
      <w:widowControl/>
      <w:pBdr>
        <w:bottom w:val="single" w:color="F0A22E" w:themeColor="accent1" w:sz="8" w:space="4"/>
      </w:pBdr>
      <w:spacing w:after="300"/>
      <w:contextualSpacing/>
      <w:jc w:val="left"/>
    </w:pPr>
    <w:rPr>
      <w:rFonts w:asciiTheme="majorHAnsi" w:hAnsiTheme="majorHAnsi" w:eastAsiaTheme="majorEastAsia" w:cstheme="majorBidi"/>
      <w:color w:val="3A2C23" w:themeColor="text2" w:themeShade="BF"/>
      <w:spacing w:val="5"/>
      <w:kern w:val="28"/>
      <w:sz w:val="52"/>
      <w:szCs w:val="52"/>
    </w:rPr>
  </w:style>
  <w:style w:type="table" w:styleId="13">
    <w:name w:val="Table Grid"/>
    <w:basedOn w:val="12"/>
    <w:qFormat/>
    <w:uiPriority w:val="1"/>
    <w:rPr>
      <w:sz w:val="22"/>
    </w:rPr>
    <w:tblPr>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
  </w:style>
  <w:style w:type="character" w:customStyle="1" w:styleId="15">
    <w:name w:val="页眉 Char"/>
    <w:basedOn w:val="14"/>
    <w:link w:val="9"/>
    <w:qFormat/>
    <w:uiPriority w:val="99"/>
    <w:rPr>
      <w:sz w:val="18"/>
      <w:szCs w:val="18"/>
    </w:rPr>
  </w:style>
  <w:style w:type="character" w:customStyle="1" w:styleId="16">
    <w:name w:val="页脚 Char"/>
    <w:basedOn w:val="14"/>
    <w:link w:val="8"/>
    <w:qFormat/>
    <w:uiPriority w:val="99"/>
    <w:rPr>
      <w:sz w:val="18"/>
      <w:szCs w:val="18"/>
    </w:rPr>
  </w:style>
  <w:style w:type="paragraph" w:customStyle="1" w:styleId="17">
    <w:name w:val="无间隔1"/>
    <w:link w:val="18"/>
    <w:qFormat/>
    <w:uiPriority w:val="1"/>
    <w:pPr>
      <w:spacing w:after="160" w:line="480" w:lineRule="auto"/>
    </w:pPr>
    <w:rPr>
      <w:rFonts w:asciiTheme="minorHAnsi" w:hAnsiTheme="minorHAnsi" w:eastAsiaTheme="minorEastAsia" w:cstheme="minorBidi"/>
      <w:sz w:val="22"/>
      <w:szCs w:val="22"/>
      <w:lang w:val="en-US" w:eastAsia="zh-CN" w:bidi="ar-SA"/>
    </w:rPr>
  </w:style>
  <w:style w:type="character" w:customStyle="1" w:styleId="18">
    <w:name w:val="无间隔 Char"/>
    <w:basedOn w:val="14"/>
    <w:link w:val="17"/>
    <w:qFormat/>
    <w:uiPriority w:val="1"/>
    <w:rPr>
      <w:kern w:val="0"/>
      <w:sz w:val="22"/>
    </w:rPr>
  </w:style>
  <w:style w:type="character" w:customStyle="1" w:styleId="19">
    <w:name w:val="批注框文本 Char"/>
    <w:basedOn w:val="14"/>
    <w:link w:val="7"/>
    <w:semiHidden/>
    <w:qFormat/>
    <w:uiPriority w:val="99"/>
    <w:rPr>
      <w:rFonts w:ascii="Times New Roman" w:hAnsi="Times New Roman" w:eastAsia="宋体" w:cs="Times New Roman"/>
      <w:sz w:val="18"/>
      <w:szCs w:val="18"/>
    </w:rPr>
  </w:style>
  <w:style w:type="character" w:customStyle="1" w:styleId="20">
    <w:name w:val="标题 Char"/>
    <w:basedOn w:val="14"/>
    <w:link w:val="11"/>
    <w:qFormat/>
    <w:uiPriority w:val="10"/>
    <w:rPr>
      <w:rFonts w:asciiTheme="majorHAnsi" w:hAnsiTheme="majorHAnsi" w:eastAsiaTheme="majorEastAsia" w:cstheme="majorBidi"/>
      <w:color w:val="3A2C23" w:themeColor="text2" w:themeShade="BF"/>
      <w:spacing w:val="5"/>
      <w:kern w:val="28"/>
      <w:sz w:val="52"/>
      <w:szCs w:val="52"/>
    </w:rPr>
  </w:style>
  <w:style w:type="character" w:customStyle="1" w:styleId="21">
    <w:name w:val="副标题 Char"/>
    <w:basedOn w:val="14"/>
    <w:link w:val="10"/>
    <w:qFormat/>
    <w:uiPriority w:val="11"/>
    <w:rPr>
      <w:rFonts w:asciiTheme="majorHAnsi" w:hAnsiTheme="majorHAnsi" w:eastAsiaTheme="majorEastAsia" w:cstheme="majorBidi"/>
      <w:i/>
      <w:iCs/>
      <w:color w:val="F0A22E" w:themeColor="accent1"/>
      <w:spacing w:val="15"/>
      <w:kern w:val="0"/>
      <w:sz w:val="24"/>
      <w:szCs w:val="24"/>
    </w:rPr>
  </w:style>
  <w:style w:type="character" w:customStyle="1" w:styleId="22">
    <w:name w:val="Style1"/>
    <w:basedOn w:val="14"/>
    <w:qFormat/>
    <w:uiPriority w:val="1"/>
    <w:rPr>
      <w:rFonts w:asciiTheme="minorHAnsi" w:hAnsiTheme="minorEastAsia" w:eastAsiaTheme="minorEastAsia" w:cstheme="minorBidi"/>
      <w:sz w:val="22"/>
      <w:szCs w:val="22"/>
      <w:lang w:eastAsia="zh-CN"/>
    </w:rPr>
  </w:style>
  <w:style w:type="character" w:customStyle="1" w:styleId="23">
    <w:name w:val="Style2"/>
    <w:basedOn w:val="14"/>
    <w:qFormat/>
    <w:uiPriority w:val="1"/>
    <w:rPr>
      <w:rFonts w:asciiTheme="minorHAnsi" w:hAnsiTheme="minorEastAsia" w:eastAsiaTheme="minorEastAsia" w:cstheme="minorBidi"/>
      <w:sz w:val="22"/>
      <w:szCs w:val="22"/>
      <w:lang w:eastAsia="zh-CN"/>
    </w:rPr>
  </w:style>
  <w:style w:type="character" w:customStyle="1" w:styleId="24">
    <w:name w:val="Style3"/>
    <w:basedOn w:val="14"/>
    <w:qFormat/>
    <w:uiPriority w:val="1"/>
    <w:rPr>
      <w:rFonts w:asciiTheme="minorHAnsi" w:hAnsiTheme="minorEastAsia" w:eastAsiaTheme="minorEastAsia" w:cstheme="minorBidi"/>
      <w:szCs w:val="22"/>
      <w:lang w:eastAsia="zh-CN"/>
    </w:rPr>
  </w:style>
  <w:style w:type="character" w:customStyle="1" w:styleId="25">
    <w:name w:val="Style4"/>
    <w:basedOn w:val="14"/>
    <w:qFormat/>
    <w:uiPriority w:val="1"/>
    <w:rPr>
      <w:rFonts w:asciiTheme="minorHAnsi" w:hAnsiTheme="minorEastAsia" w:eastAsiaTheme="minorEastAsia" w:cstheme="minorBidi"/>
      <w:szCs w:val="22"/>
      <w:lang w:eastAsia="zh-CN"/>
    </w:rPr>
  </w:style>
  <w:style w:type="character" w:customStyle="1" w:styleId="26">
    <w:name w:val="Style5"/>
    <w:basedOn w:val="14"/>
    <w:qFormat/>
    <w:uiPriority w:val="1"/>
    <w:rPr>
      <w:rFonts w:asciiTheme="minorHAnsi" w:hAnsiTheme="minorEastAsia" w:eastAsiaTheme="minorEastAsia" w:cstheme="minorBidi"/>
      <w:sz w:val="22"/>
      <w:szCs w:val="22"/>
      <w:lang w:eastAsia="zh-CN"/>
    </w:rPr>
  </w:style>
  <w:style w:type="character" w:customStyle="1" w:styleId="27">
    <w:name w:val="标题 1 Char"/>
    <w:basedOn w:val="14"/>
    <w:link w:val="2"/>
    <w:qFormat/>
    <w:uiPriority w:val="9"/>
    <w:rPr>
      <w:rFonts w:ascii="Times New Roman" w:hAnsi="Times New Roman" w:eastAsia="宋体" w:cs="Times New Roman"/>
      <w:b/>
      <w:bCs/>
      <w:kern w:val="44"/>
      <w:sz w:val="44"/>
      <w:szCs w:val="44"/>
    </w:rPr>
  </w:style>
  <w:style w:type="character" w:customStyle="1" w:styleId="28">
    <w:name w:val="标题 2 Char"/>
    <w:basedOn w:val="14"/>
    <w:link w:val="3"/>
    <w:qFormat/>
    <w:uiPriority w:val="9"/>
    <w:rPr>
      <w:rFonts w:asciiTheme="majorHAnsi" w:hAnsiTheme="majorHAnsi" w:eastAsiaTheme="majorEastAsia" w:cstheme="majorBidi"/>
      <w:b/>
      <w:bCs/>
      <w:sz w:val="32"/>
      <w:szCs w:val="32"/>
    </w:rPr>
  </w:style>
  <w:style w:type="character" w:customStyle="1" w:styleId="29">
    <w:name w:val="标题 3 Char"/>
    <w:basedOn w:val="14"/>
    <w:link w:val="4"/>
    <w:qFormat/>
    <w:uiPriority w:val="9"/>
    <w:rPr>
      <w:rFonts w:ascii="Times New Roman" w:hAnsi="Times New Roman" w:eastAsia="宋体" w:cs="Times New Roman"/>
      <w:b/>
      <w:bCs/>
      <w:sz w:val="32"/>
      <w:szCs w:val="32"/>
    </w:rPr>
  </w:style>
  <w:style w:type="character" w:customStyle="1" w:styleId="30">
    <w:name w:val="标题 4 Char"/>
    <w:basedOn w:val="14"/>
    <w:link w:val="5"/>
    <w:qFormat/>
    <w:uiPriority w:val="9"/>
    <w:rPr>
      <w:rFonts w:asciiTheme="majorHAnsi" w:hAnsiTheme="majorHAnsi" w:eastAsiaTheme="majorEastAsia" w:cstheme="majorBidi"/>
      <w:b/>
      <w:bCs/>
      <w:sz w:val="28"/>
      <w:szCs w:val="28"/>
    </w:rPr>
  </w:style>
  <w:style w:type="character" w:customStyle="1" w:styleId="31">
    <w:name w:val="日期 Char"/>
    <w:basedOn w:val="14"/>
    <w:link w:val="6"/>
    <w:semiHidden/>
    <w:qFormat/>
    <w:uiPriority w:val="99"/>
    <w:rPr>
      <w:rFonts w:ascii="Times New Roman" w:hAnsi="Times New Roman" w:eastAsia="宋体" w:cs="Times New Roman"/>
      <w:szCs w:val="24"/>
    </w:rPr>
  </w:style>
  <w:style w:type="paragraph" w:customStyle="1" w:styleId="32">
    <w:name w:val="列出段落1"/>
    <w:basedOn w:val="1"/>
    <w:unhideWhenUsed/>
    <w:qFormat/>
    <w:uiPriority w:val="99"/>
    <w:pPr>
      <w:ind w:firstLine="420" w:firstLineChars="200"/>
    </w:pPr>
  </w:style>
</w:styles>
</file>

<file path=word/_rels/document.xml.rels><?xml version="1.0" encoding="UTF-8" standalone="yes"?>
<Relationships xmlns="http://schemas.openxmlformats.org/package/2006/relationships"><Relationship Id="rId9" Type="http://schemas.openxmlformats.org/officeDocument/2006/relationships/chart" Target="charts/chart2.xml"/><Relationship Id="rId8" Type="http://schemas.openxmlformats.org/officeDocument/2006/relationships/chart" Target="charts/chart1.xml"/><Relationship Id="rId7" Type="http://schemas.openxmlformats.org/officeDocument/2006/relationships/image" Target="media/image2.jpeg"/><Relationship Id="rId6" Type="http://schemas.openxmlformats.org/officeDocument/2006/relationships/image" Target="media/image1.jpeg"/><Relationship Id="rId5" Type="http://schemas.openxmlformats.org/officeDocument/2006/relationships/theme" Target="theme/theme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5" Type="http://schemas.openxmlformats.org/officeDocument/2006/relationships/fontTable" Target="fontTable.xml"/><Relationship Id="rId14" Type="http://schemas.openxmlformats.org/officeDocument/2006/relationships/numbering" Target="numbering.xml"/><Relationship Id="rId13" Type="http://schemas.openxmlformats.org/officeDocument/2006/relationships/customXml" Target="../customXml/item1.xml"/><Relationship Id="rId12" Type="http://schemas.openxmlformats.org/officeDocument/2006/relationships/image" Target="media/image3.jpeg"/><Relationship Id="rId11" Type="http://schemas.openxmlformats.org/officeDocument/2006/relationships/chart" Target="charts/chart4.xml"/><Relationship Id="rId10" Type="http://schemas.openxmlformats.org/officeDocument/2006/relationships/chart" Target="charts/chart3.xml"/><Relationship Id="rId1" Type="http://schemas.openxmlformats.org/officeDocument/2006/relationships/styles" Target="styles.xml"/></Relationships>
</file>

<file path=word/charts/_rels/chart1.xml.rels><?xml version="1.0" encoding="UTF-8" standalone="yes"?>
<Relationships xmlns="http://schemas.openxmlformats.org/package/2006/relationships"><Relationship Id="rId1" Type="http://schemas.openxmlformats.org/officeDocument/2006/relationships/package" Target="../embeddings/Workbook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Workbook4.xlsx"/></Relationships>
</file>

<file path=word/charts/_rels/chart3.xml.rels><?xml version="1.0" encoding="UTF-8" standalone="yes"?>
<Relationships xmlns="http://schemas.openxmlformats.org/package/2006/relationships"><Relationship Id="rId1" Type="http://schemas.openxmlformats.org/officeDocument/2006/relationships/package" Target="../embeddings/Workbook3.xlsx"/></Relationships>
</file>

<file path=word/charts/_rels/chart4.xml.rels><?xml version="1.0" encoding="UTF-8" standalone="yes"?>
<Relationships xmlns="http://schemas.openxmlformats.org/package/2006/relationships"><Relationship Id="rId1" Type="http://schemas.openxmlformats.org/officeDocument/2006/relationships/package" Target="../embeddings/Workbook2.xlsx"/></Relationships>
</file>

<file path=word/charts/chart1.xml><?xml version="1.0" encoding="utf-8"?>
<c:chartSpace xmlns:c="http://schemas.openxmlformats.org/drawingml/2006/chart" xmlns:a="http://schemas.openxmlformats.org/drawingml/2006/main" xmlns:r="http://schemas.openxmlformats.org/officeDocument/2006/relationships">
  <c:date1904 val="false"/>
  <c:lang val="zh-CN"/>
  <c:roundedCorners val="false"/>
  <mc:AlternateContent xmlns:mc="http://schemas.openxmlformats.org/markup-compatibility/2006">
    <mc:Choice xmlns:c14="http://schemas.microsoft.com/office/drawing/2007/8/2/chart" Requires="c14">
      <c14:style val="102"/>
    </mc:Choice>
    <mc:Fallback>
      <c:style val="2"/>
    </mc:Fallback>
  </mc:AlternateContent>
  <c:chart>
    <c:title>
      <c:layout/>
      <c:overlay val="false"/>
      <c:spPr>
        <a:noFill/>
        <a:ln>
          <a:noFill/>
        </a:ln>
        <a:effectLst/>
      </c:spPr>
      <c:txPr>
        <a:bodyPr rot="0" spcFirstLastPara="0" vertOverflow="ellipsis" vert="horz" wrap="square" anchor="ctr" anchorCtr="true"/>
        <a:lstStyle/>
        <a:p>
          <a:pPr>
            <a:defRPr lang="zh-CN" sz="1800" b="1" i="0" u="none" strike="noStrike" kern="1200" baseline="0">
              <a:solidFill>
                <a:schemeClr val="dk1">
                  <a:lumMod val="75000"/>
                  <a:lumOff val="25000"/>
                </a:schemeClr>
              </a:solidFill>
              <a:latin typeface="+mn-lt"/>
              <a:ea typeface="+mn-ea"/>
              <a:cs typeface="+mn-cs"/>
            </a:defRPr>
          </a:pPr>
        </a:p>
      </c:txPr>
    </c:title>
    <c:autoTitleDeleted val="false"/>
    <c:plotArea>
      <c:layout/>
      <c:pieChart>
        <c:varyColors val="true"/>
        <c:ser>
          <c:idx val="0"/>
          <c:order val="0"/>
          <c:tx>
            <c:strRef>
              <c:f>Sheet1!$B$1</c:f>
              <c:strCache>
                <c:ptCount val="1"/>
                <c:pt idx="0">
                  <c:v>收入情况说明</c:v>
                </c:pt>
              </c:strCache>
            </c:strRef>
          </c:tx>
          <c:explosion val="0"/>
          <c:dPt>
            <c:idx val="0"/>
            <c:bubble3D val="false"/>
            <c:spPr>
              <a:solidFill>
                <a:schemeClr val="accent1"/>
              </a:solidFill>
              <a:ln>
                <a:noFill/>
              </a:ln>
              <a:effectLst>
                <a:outerShdw blurRad="254000" sx="102000" sy="102000" algn="ctr" rotWithShape="0">
                  <a:prstClr val="black">
                    <a:alpha val="20000"/>
                  </a:prstClr>
                </a:outerShdw>
              </a:effectLst>
            </c:spPr>
          </c:dPt>
          <c:dPt>
            <c:idx val="1"/>
            <c:bubble3D val="false"/>
            <c:spPr>
              <a:solidFill>
                <a:schemeClr val="accent2"/>
              </a:solidFill>
              <a:ln>
                <a:noFill/>
              </a:ln>
              <a:effectLst>
                <a:outerShdw blurRad="254000" sx="102000" sy="102000" algn="ctr" rotWithShape="0">
                  <a:prstClr val="black">
                    <a:alpha val="20000"/>
                  </a:prstClr>
                </a:outerShdw>
              </a:effectLst>
            </c:spPr>
          </c:dPt>
          <c:dPt>
            <c:idx val="2"/>
            <c:bubble3D val="false"/>
            <c:spPr>
              <a:solidFill>
                <a:schemeClr val="accent3"/>
              </a:solidFill>
              <a:ln>
                <a:noFill/>
              </a:ln>
              <a:effectLst>
                <a:outerShdw blurRad="254000" sx="102000" sy="102000" algn="ctr" rotWithShape="0">
                  <a:prstClr val="black">
                    <a:alpha val="20000"/>
                  </a:prstClr>
                </a:outerShdw>
              </a:effectLst>
            </c:spPr>
          </c:dPt>
          <c:dPt>
            <c:idx val="3"/>
            <c:bubble3D val="false"/>
            <c:spPr>
              <a:solidFill>
                <a:schemeClr val="accent4"/>
              </a:solidFill>
              <a:ln>
                <a:noFill/>
              </a:ln>
              <a:effectLst>
                <a:outerShdw blurRad="254000" sx="102000" sy="102000" algn="ctr" rotWithShape="0">
                  <a:prstClr val="black">
                    <a:alpha val="20000"/>
                  </a:prstClr>
                </a:outerShdw>
              </a:effectLst>
            </c:spPr>
          </c:dPt>
          <c:dLbls>
            <c:dLbl>
              <c:idx val="0"/>
              <c:layout/>
              <c:tx>
                <c:rich>
                  <a:bodyPr rot="0" spcFirstLastPara="0" vertOverflow="ellipsis" vert="horz" wrap="square" lIns="38100" tIns="19050" rIns="38100" bIns="19050" anchor="ctr" anchorCtr="true"/>
                  <a:lstStyle/>
                  <a:p>
                    <a:pPr>
                      <a:defRPr lang="zh-CN" sz="1000" b="1" i="0" u="none" strike="noStrike" kern="1200" baseline="0">
                        <a:solidFill>
                          <a:schemeClr val="lt1"/>
                        </a:solidFill>
                        <a:latin typeface="+mn-lt"/>
                        <a:ea typeface="+mn-ea"/>
                        <a:cs typeface="+mn-cs"/>
                      </a:defRPr>
                    </a:pPr>
                    <a:r>
                      <a:t>9</a:t>
                    </a:r>
                    <a:r>
                      <a:rPr lang="en-US" altLang="zh-CN"/>
                      <a:t>9.04</a:t>
                    </a:r>
                    <a:r>
                      <a:t>%</a:t>
                    </a:r>
                  </a:p>
                </c:rich>
              </c:tx>
              <c:dLblPos val="ctr"/>
              <c:showLegendKey val="false"/>
              <c:showVal val="false"/>
              <c:showCatName val="false"/>
              <c:showSerName val="false"/>
              <c:showPercent val="true"/>
              <c:showBubbleSize val="false"/>
              <c:extLst>
                <c:ext xmlns:c15="http://schemas.microsoft.com/office/drawing/2012/chart" uri="{CE6537A1-D6FC-4f65-9D91-7224C49458BB}"/>
              </c:extLst>
            </c:dLbl>
            <c:dLbl>
              <c:idx val="1"/>
              <c:layout/>
              <c:tx>
                <c:rich>
                  <a:bodyPr rot="0" spcFirstLastPara="0" vertOverflow="ellipsis" vert="horz" wrap="square" lIns="38100" tIns="19050" rIns="38100" bIns="19050" anchor="ctr" anchorCtr="true"/>
                  <a:lstStyle/>
                  <a:p>
                    <a:pPr>
                      <a:defRPr lang="zh-CN" sz="1000" b="1" i="0" u="none" strike="noStrike" kern="1200" baseline="0">
                        <a:solidFill>
                          <a:schemeClr val="lt1"/>
                        </a:solidFill>
                        <a:latin typeface="+mn-lt"/>
                        <a:ea typeface="+mn-ea"/>
                        <a:cs typeface="+mn-cs"/>
                      </a:defRPr>
                    </a:pPr>
                    <a:r>
                      <a:rPr lang="en-US" altLang="zh-CN"/>
                      <a:t>0.96</a:t>
                    </a:r>
                    <a:r>
                      <a:t>%</a:t>
                    </a:r>
                  </a:p>
                </c:rich>
              </c:tx>
              <c:dLblPos val="ctr"/>
              <c:showLegendKey val="false"/>
              <c:showVal val="false"/>
              <c:showCatName val="false"/>
              <c:showSerName val="false"/>
              <c:showPercent val="true"/>
              <c:showBubbleSize val="false"/>
              <c:extLst>
                <c:ext xmlns:c15="http://schemas.microsoft.com/office/drawing/2012/chart" uri="{CE6537A1-D6FC-4f65-9D91-7224C49458BB}"/>
              </c:extLst>
            </c:dLbl>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0" vertOverflow="ellipsis" vert="horz" wrap="square" lIns="38100" tIns="19050" rIns="38100" bIns="19050" anchor="ctr" anchorCtr="true"/>
              <a:lstStyle/>
              <a:p>
                <a:pPr>
                  <a:defRPr lang="zh-CN" sz="1000" b="1" i="0" u="none" strike="noStrike" kern="1200" baseline="0">
                    <a:solidFill>
                      <a:schemeClr val="lt1"/>
                    </a:solidFill>
                    <a:latin typeface="+mn-lt"/>
                    <a:ea typeface="+mn-ea"/>
                    <a:cs typeface="+mn-cs"/>
                  </a:defRPr>
                </a:pPr>
              </a:p>
            </c:txPr>
            <c:dLblPos val="ctr"/>
            <c:showLegendKey val="false"/>
            <c:showVal val="false"/>
            <c:showCatName val="false"/>
            <c:showSerName val="false"/>
            <c:showPercent val="true"/>
            <c:showBubbleSize val="false"/>
            <c:showLeaderLines val="true"/>
            <c:extLst>
              <c:ext xmlns:c15="http://schemas.microsoft.com/office/drawing/2012/chart" uri="{CE6537A1-D6FC-4f65-9D91-7224C49458BB}">
                <c15:layout/>
                <c15:showLeaderLines val="true"/>
                <c15:leaderLines>
                  <c:spPr>
                    <a:ln w="9525" cap="flat" cmpd="sng" algn="ctr">
                      <a:solidFill>
                        <a:schemeClr val="dk1">
                          <a:lumMod val="50000"/>
                          <a:lumOff val="50000"/>
                        </a:schemeClr>
                      </a:solidFill>
                      <a:prstDash val="solid"/>
                      <a:round/>
                    </a:ln>
                    <a:effectLst/>
                  </c:spPr>
                </c15:leaderLines>
              </c:ext>
            </c:extLst>
          </c:dLbls>
          <c:cat>
            <c:strRef>
              <c:f>Sheet1!$A$2:$A$5</c:f>
              <c:strCache>
                <c:ptCount val="4"/>
                <c:pt idx="0">
                  <c:v>财政拨款收入</c:v>
                </c:pt>
                <c:pt idx="1">
                  <c:v>其他收入</c:v>
                </c:pt>
              </c:strCache>
            </c:strRef>
          </c:cat>
          <c:val>
            <c:numRef>
              <c:f>Sheet1!$B$2:$B$5</c:f>
              <c:numCache>
                <c:formatCode>General</c:formatCode>
                <c:ptCount val="4"/>
                <c:pt idx="0">
                  <c:v>170.85</c:v>
                </c:pt>
                <c:pt idx="1">
                  <c:v>1.6</c:v>
                </c:pt>
              </c:numCache>
            </c:numRef>
          </c:val>
        </c:ser>
        <c:dLbls>
          <c:showLegendKey val="false"/>
          <c:showVal val="false"/>
          <c:showCatName val="false"/>
          <c:showSerName val="false"/>
          <c:showPercent val="true"/>
          <c:showBubbleSize val="false"/>
          <c:showLeaderLines val="true"/>
        </c:dLbls>
        <c:firstSliceAng val="0"/>
      </c:pieChart>
      <c:spPr>
        <a:noFill/>
        <a:ln>
          <a:noFill/>
        </a:ln>
        <a:effectLst/>
      </c:spPr>
    </c:plotArea>
    <c:legend>
      <c:legendPos val="r"/>
      <c:layout/>
      <c:overlay val="false"/>
      <c:spPr>
        <a:solidFill>
          <a:schemeClr val="lt1">
            <a:lumMod val="95000"/>
            <a:alpha val="39000"/>
          </a:schemeClr>
        </a:solidFill>
        <a:ln>
          <a:noFill/>
        </a:ln>
        <a:effectLst/>
      </c:spPr>
      <c:txPr>
        <a:bodyPr rot="0" spcFirstLastPara="0" vertOverflow="ellipsis" vert="horz" wrap="square" anchor="ctr" anchorCtr="true"/>
        <a:lstStyle/>
        <a:p>
          <a:pPr>
            <a:defRPr lang="zh-CN" sz="900" b="0" i="0" u="none" strike="noStrike" kern="1200" baseline="0">
              <a:solidFill>
                <a:schemeClr val="dk1">
                  <a:lumMod val="75000"/>
                  <a:lumOff val="25000"/>
                </a:schemeClr>
              </a:solidFill>
              <a:latin typeface="+mn-lt"/>
              <a:ea typeface="+mn-ea"/>
              <a:cs typeface="+mn-cs"/>
            </a:defRPr>
          </a:pPr>
        </a:p>
      </c:txPr>
    </c:legend>
    <c:plotVisOnly val="true"/>
    <c:dispBlanksAs val="zero"/>
    <c:showDLblsOverMax val="false"/>
  </c:chart>
  <c:spPr>
    <a:gradFill flip="none" rotWithShape="true">
      <a:gsLst>
        <a:gs pos="0">
          <a:schemeClr val="lt1"/>
        </a:gs>
        <a:gs pos="39000">
          <a:schemeClr val="lt1"/>
        </a:gs>
        <a:gs pos="100000">
          <a:schemeClr val="lt1">
            <a:lumMod val="75000"/>
          </a:schemeClr>
        </a:gs>
      </a:gsLst>
      <a:path path="circle">
        <a:fillToRect l="50000" t="-80000" r="50000" b="180000"/>
      </a:path>
    </a:gradFill>
    <a:ln w="9525" cap="flat" cmpd="sng" algn="ctr">
      <a:solidFill>
        <a:schemeClr val="dk1">
          <a:lumMod val="25000"/>
          <a:lumOff val="75000"/>
        </a:schemeClr>
      </a:solidFill>
      <a:prstDash val="solid"/>
      <a:round/>
    </a:ln>
    <a:effectLst/>
  </c:spPr>
  <c:txPr>
    <a:bodyPr/>
    <a:lstStyle/>
    <a:p>
      <a:pPr>
        <a:defRPr lang="zh-CN"/>
      </a:pPr>
    </a:p>
  </c:txPr>
  <c:externalData r:id="rId1">
    <c:autoUpdate val="false"/>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false"/>
  <c:lang val="zh-CN"/>
  <c:roundedCorners val="false"/>
  <mc:AlternateContent xmlns:mc="http://schemas.openxmlformats.org/markup-compatibility/2006">
    <mc:Choice xmlns:c14="http://schemas.microsoft.com/office/drawing/2007/8/2/chart" Requires="c14">
      <c14:style val="102"/>
    </mc:Choice>
    <mc:Fallback>
      <c:style val="2"/>
    </mc:Fallback>
  </mc:AlternateContent>
  <c:chart>
    <c:title>
      <c:layout/>
      <c:overlay val="false"/>
      <c:spPr>
        <a:noFill/>
        <a:ln>
          <a:noFill/>
        </a:ln>
        <a:effectLst/>
      </c:spPr>
      <c:tx>
        <c:rich>
          <a:bodyPr/>
          <a:lstStyle/>
          <a:p>
            <a:pPr>
              <a:defRPr/>
            </a:pPr>
          </a:p>
        </c:rich>
      </c:tx>
    </c:title>
    <c:autoTitleDeleted val="false"/>
    <c:plotArea>
      <c:layout/>
      <c:pieChart>
        <c:varyColors val="true"/>
        <c:ser>
          <c:idx val="0"/>
          <c:order val="0"/>
          <c:tx>
            <c:strRef>
              <c:f>Sheet1!$B$1</c:f>
              <c:strCache>
                <c:ptCount val="1"/>
                <c:pt idx="0">
                  <c:v>销售额</c:v>
                </c:pt>
              </c:strCache>
            </c:strRef>
          </c:tx>
          <c:explosion val="0"/>
          <c:dPt>
            <c:idx val="0"/>
            <c:bubble3D val="false"/>
            <c:spPr>
              <a:solidFill>
                <a:schemeClr val="accent1"/>
              </a:solidFill>
              <a:ln>
                <a:noFill/>
              </a:ln>
              <a:effectLst>
                <a:outerShdw blurRad="254000" sx="102000" sy="102000" algn="ctr" rotWithShape="0">
                  <a:prstClr val="black">
                    <a:alpha val="20000"/>
                  </a:prstClr>
                </a:outerShdw>
              </a:effectLst>
            </c:spPr>
          </c:dPt>
          <c:dPt>
            <c:idx val="1"/>
            <c:bubble3D val="false"/>
            <c:spPr>
              <a:solidFill>
                <a:schemeClr val="accent2"/>
              </a:solidFill>
              <a:ln>
                <a:noFill/>
              </a:ln>
              <a:effectLst>
                <a:outerShdw blurRad="254000" sx="102000" sy="102000" algn="ctr" rotWithShape="0">
                  <a:prstClr val="black">
                    <a:alpha val="20000"/>
                  </a:prstClr>
                </a:outerShdw>
              </a:effectLst>
            </c:spPr>
          </c:dPt>
          <c:dLbls>
            <c:dLbl>
              <c:idx val="0"/>
              <c:layout/>
              <c:tx>
                <c:rich>
                  <a:bodyPr rot="0" spcFirstLastPara="0" vertOverflow="ellipsis" vert="horz" wrap="square" lIns="38100" tIns="19050" rIns="38100" bIns="19050" anchor="ctr" anchorCtr="true"/>
                  <a:lstStyle/>
                  <a:p>
                    <a:pPr>
                      <a:defRPr lang="zh-CN" sz="1000" b="1" i="0" u="none" strike="noStrike" kern="1200" baseline="0">
                        <a:solidFill>
                          <a:schemeClr val="lt1"/>
                        </a:solidFill>
                        <a:latin typeface="+mn-lt"/>
                        <a:ea typeface="+mn-ea"/>
                        <a:cs typeface="+mn-cs"/>
                      </a:defRPr>
                    </a:pPr>
                    <a:r>
                      <a:rPr lang="en-US" altLang="zh-CN"/>
                      <a:t>96.36</a:t>
                    </a:r>
                    <a:r>
                      <a:t>%</a:t>
                    </a:r>
                  </a:p>
                </c:rich>
              </c:tx>
              <c:dLblPos val="ctr"/>
              <c:showLegendKey val="false"/>
              <c:showVal val="false"/>
              <c:showCatName val="false"/>
              <c:showSerName val="false"/>
              <c:showPercent val="true"/>
              <c:showBubbleSize val="false"/>
              <c:extLst>
                <c:ext xmlns:c15="http://schemas.microsoft.com/office/drawing/2012/chart" uri="{CE6537A1-D6FC-4f65-9D91-7224C49458BB}"/>
              </c:extLst>
            </c:dLbl>
            <c:dLbl>
              <c:idx val="1"/>
              <c:layout/>
              <c:tx>
                <c:rich>
                  <a:bodyPr rot="0" spcFirstLastPara="0" vertOverflow="ellipsis" vert="horz" wrap="square" lIns="38100" tIns="19050" rIns="38100" bIns="19050" anchor="ctr" anchorCtr="true"/>
                  <a:lstStyle/>
                  <a:p>
                    <a:pPr>
                      <a:defRPr lang="zh-CN" sz="1000" b="1" i="0" u="none" strike="noStrike" kern="1200" baseline="0">
                        <a:solidFill>
                          <a:schemeClr val="lt1"/>
                        </a:solidFill>
                        <a:latin typeface="+mn-lt"/>
                        <a:ea typeface="+mn-ea"/>
                        <a:cs typeface="+mn-cs"/>
                      </a:defRPr>
                    </a:pPr>
                    <a:r>
                      <a:rPr lang="en-US" altLang="zh-CN"/>
                      <a:t>3.64</a:t>
                    </a:r>
                    <a:r>
                      <a:t>%</a:t>
                    </a:r>
                  </a:p>
                </c:rich>
              </c:tx>
              <c:dLblPos val="ctr"/>
              <c:showLegendKey val="false"/>
              <c:showVal val="false"/>
              <c:showCatName val="false"/>
              <c:showSerName val="false"/>
              <c:showPercent val="true"/>
              <c:showBubbleSize val="false"/>
              <c:extLst>
                <c:ext xmlns:c15="http://schemas.microsoft.com/office/drawing/2012/chart" uri="{CE6537A1-D6FC-4f65-9D91-7224C49458BB}"/>
              </c:extLst>
            </c:dLbl>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0" vertOverflow="ellipsis" vert="horz" wrap="square" lIns="38100" tIns="19050" rIns="38100" bIns="19050" anchor="ctr" anchorCtr="true"/>
              <a:lstStyle/>
              <a:p>
                <a:pPr>
                  <a:defRPr lang="zh-CN" sz="1000" b="1" i="0" u="none" strike="noStrike" kern="1200" baseline="0">
                    <a:solidFill>
                      <a:schemeClr val="lt1"/>
                    </a:solidFill>
                    <a:latin typeface="+mn-lt"/>
                    <a:ea typeface="+mn-ea"/>
                    <a:cs typeface="+mn-cs"/>
                  </a:defRPr>
                </a:pPr>
              </a:p>
            </c:txPr>
            <c:dLblPos val="ctr"/>
            <c:showLegendKey val="false"/>
            <c:showVal val="false"/>
            <c:showCatName val="false"/>
            <c:showSerName val="false"/>
            <c:showPercent val="true"/>
            <c:showBubbleSize val="false"/>
            <c:showLeaderLines val="true"/>
            <c:extLst>
              <c:ext xmlns:c15="http://schemas.microsoft.com/office/drawing/2012/chart" uri="{CE6537A1-D6FC-4f65-9D91-7224C49458BB}">
                <c15:layout/>
                <c15:showLeaderLines val="true"/>
                <c15:leaderLines>
                  <c:spPr>
                    <a:ln w="9525" cap="flat" cmpd="sng" algn="ctr">
                      <a:solidFill>
                        <a:schemeClr val="dk1">
                          <a:lumMod val="50000"/>
                          <a:lumOff val="50000"/>
                        </a:schemeClr>
                      </a:solidFill>
                      <a:prstDash val="solid"/>
                      <a:round/>
                    </a:ln>
                    <a:effectLst/>
                  </c:spPr>
                </c15:leaderLines>
              </c:ext>
            </c:extLst>
          </c:dLbls>
          <c:cat>
            <c:strRef>
              <c:f>Sheet1!$A$2:$A$3</c:f>
              <c:strCache>
                <c:ptCount val="2"/>
                <c:pt idx="0">
                  <c:v>基本支出</c:v>
                </c:pt>
                <c:pt idx="1">
                  <c:v>项目支出</c:v>
                </c:pt>
              </c:strCache>
            </c:strRef>
          </c:cat>
          <c:val>
            <c:numRef>
              <c:f>Sheet1!$B$2:$B$3</c:f>
              <c:numCache>
                <c:formatCode>General</c:formatCode>
                <c:ptCount val="2"/>
                <c:pt idx="0">
                  <c:v>96.36</c:v>
                </c:pt>
                <c:pt idx="1">
                  <c:v>3.64</c:v>
                </c:pt>
              </c:numCache>
            </c:numRef>
          </c:val>
        </c:ser>
        <c:dLbls>
          <c:showLegendKey val="false"/>
          <c:showVal val="false"/>
          <c:showCatName val="false"/>
          <c:showSerName val="false"/>
          <c:showPercent val="true"/>
          <c:showBubbleSize val="false"/>
          <c:showLeaderLines val="true"/>
        </c:dLbls>
        <c:firstSliceAng val="0"/>
      </c:pieChart>
      <c:spPr>
        <a:noFill/>
        <a:ln>
          <a:noFill/>
        </a:ln>
        <a:effectLst/>
      </c:spPr>
    </c:plotArea>
    <c:legend>
      <c:legendPos val="r"/>
      <c:layout/>
      <c:overlay val="false"/>
      <c:spPr>
        <a:solidFill>
          <a:schemeClr val="lt1">
            <a:lumMod val="95000"/>
            <a:alpha val="39000"/>
          </a:schemeClr>
        </a:solidFill>
        <a:ln>
          <a:noFill/>
        </a:ln>
        <a:effectLst/>
      </c:spPr>
      <c:txPr>
        <a:bodyPr rot="0" spcFirstLastPara="0" vertOverflow="ellipsis" vert="horz" wrap="square" anchor="ctr" anchorCtr="true"/>
        <a:lstStyle/>
        <a:p>
          <a:pPr>
            <a:defRPr lang="zh-CN" sz="900" b="0" i="0" u="none" strike="noStrike" kern="1200" baseline="0">
              <a:solidFill>
                <a:schemeClr val="dk1">
                  <a:lumMod val="75000"/>
                  <a:lumOff val="25000"/>
                </a:schemeClr>
              </a:solidFill>
              <a:latin typeface="+mn-lt"/>
              <a:ea typeface="+mn-ea"/>
              <a:cs typeface="+mn-cs"/>
            </a:defRPr>
          </a:pPr>
        </a:p>
      </c:txPr>
    </c:legend>
    <c:plotVisOnly val="true"/>
    <c:dispBlanksAs val="zero"/>
    <c:showDLblsOverMax val="false"/>
  </c:chart>
  <c:spPr>
    <a:gradFill flip="none" rotWithShape="true">
      <a:gsLst>
        <a:gs pos="0">
          <a:schemeClr val="lt1"/>
        </a:gs>
        <a:gs pos="39000">
          <a:schemeClr val="lt1"/>
        </a:gs>
        <a:gs pos="100000">
          <a:schemeClr val="lt1">
            <a:lumMod val="75000"/>
          </a:schemeClr>
        </a:gs>
      </a:gsLst>
      <a:path path="circle">
        <a:fillToRect l="50000" t="-80000" r="50000" b="180000"/>
      </a:path>
    </a:gradFill>
    <a:ln w="9525" cap="flat" cmpd="sng" algn="ctr">
      <a:solidFill>
        <a:schemeClr val="dk1">
          <a:lumMod val="25000"/>
          <a:lumOff val="75000"/>
        </a:schemeClr>
      </a:solidFill>
      <a:prstDash val="solid"/>
      <a:round/>
    </a:ln>
    <a:effectLst/>
  </c:spPr>
  <c:txPr>
    <a:bodyPr/>
    <a:lstStyle/>
    <a:p>
      <a:pPr>
        <a:defRPr lang="zh-CN"/>
      </a:pPr>
    </a:p>
  </c:txPr>
  <c:externalData r:id="rId1">
    <c:autoUpdate val="false"/>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false"/>
  <c:lang val="zh-CN"/>
  <c:roundedCorners val="false"/>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true"/>
          <a:lstStyle/>
          <a:p>
            <a:pPr defTabSz="914400">
              <a:defRPr lang="zh-CN" sz="1400" b="0" i="0" u="none" strike="noStrike" kern="1200" spc="0" baseline="0">
                <a:solidFill>
                  <a:schemeClr val="tx1">
                    <a:lumMod val="65000"/>
                    <a:lumOff val="35000"/>
                  </a:schemeClr>
                </a:solidFill>
                <a:latin typeface="+mn-lt"/>
                <a:ea typeface="+mn-ea"/>
                <a:cs typeface="+mn-cs"/>
              </a:defRPr>
            </a:pPr>
            <a:r>
              <a:rPr lang="en-US" altLang="zh-CN"/>
              <a:t>2017-2018</a:t>
            </a:r>
            <a:r>
              <a:rPr altLang="en-US"/>
              <a:t>年财政拨款收支情况</a:t>
            </a:r>
            <a:endParaRPr altLang="en-US"/>
          </a:p>
        </c:rich>
      </c:tx>
      <c:layout/>
      <c:overlay val="false"/>
      <c:spPr>
        <a:noFill/>
        <a:ln>
          <a:noFill/>
        </a:ln>
        <a:effectLst/>
      </c:spPr>
    </c:title>
    <c:autoTitleDeleted val="false"/>
    <c:plotArea>
      <c:layout>
        <c:manualLayout>
          <c:layoutTarget val="inner"/>
          <c:xMode val="edge"/>
          <c:yMode val="edge"/>
          <c:x val="0.0528270042194093"/>
          <c:y val="0.277975484381178"/>
          <c:w val="0.889507735583685"/>
          <c:h val="0.66437327006722"/>
        </c:manualLayout>
      </c:layout>
      <c:barChart>
        <c:barDir val="col"/>
        <c:grouping val="clustered"/>
        <c:varyColors val="false"/>
        <c:ser>
          <c:idx val="0"/>
          <c:order val="0"/>
          <c:tx>
            <c:strRef>
              <c:f>Sheet1!$B$1</c:f>
              <c:strCache>
                <c:ptCount val="1"/>
                <c:pt idx="0">
                  <c:v>2018年</c:v>
                </c:pt>
              </c:strCache>
            </c:strRef>
          </c:tx>
          <c:spPr>
            <a:solidFill>
              <a:schemeClr val="accent1">
                <a:tint val="100000"/>
                <a:shade val="100000"/>
                <a:hueMod val="100000"/>
                <a:satMod val="100000"/>
              </a:schemeClr>
            </a:solidFill>
            <a:ln>
              <a:noFill/>
            </a:ln>
            <a:effectLst/>
          </c:spPr>
          <c:invertIfNegative val="false"/>
          <c:dLbls>
            <c:delete val="true"/>
          </c:dLbls>
          <c:cat>
            <c:strRef>
              <c:f>Sheet1!$A$2:$A$3</c:f>
              <c:strCache>
                <c:ptCount val="2"/>
                <c:pt idx="0">
                  <c:v>2018年度收入  2017年度收入</c:v>
                </c:pt>
                <c:pt idx="1">
                  <c:v>2018年度支出  2017年度支出</c:v>
                </c:pt>
              </c:strCache>
            </c:strRef>
          </c:cat>
          <c:val>
            <c:numRef>
              <c:f>Sheet1!$B$2:$B$3</c:f>
              <c:numCache>
                <c:formatCode>General</c:formatCode>
                <c:ptCount val="2"/>
                <c:pt idx="0">
                  <c:v>170.85</c:v>
                </c:pt>
                <c:pt idx="1">
                  <c:v>168.32</c:v>
                </c:pt>
              </c:numCache>
            </c:numRef>
          </c:val>
        </c:ser>
        <c:ser>
          <c:idx val="1"/>
          <c:order val="1"/>
          <c:tx>
            <c:strRef>
              <c:f>Sheet1!$C$1</c:f>
              <c:strCache>
                <c:ptCount val="1"/>
                <c:pt idx="0">
                  <c:v>2017年</c:v>
                </c:pt>
              </c:strCache>
            </c:strRef>
          </c:tx>
          <c:spPr>
            <a:solidFill>
              <a:schemeClr val="accent2">
                <a:tint val="100000"/>
                <a:shade val="100000"/>
                <a:hueMod val="100000"/>
                <a:satMod val="100000"/>
              </a:schemeClr>
            </a:solidFill>
            <a:ln>
              <a:noFill/>
            </a:ln>
            <a:effectLst/>
          </c:spPr>
          <c:invertIfNegative val="false"/>
          <c:dLbls>
            <c:delete val="true"/>
          </c:dLbls>
          <c:cat>
            <c:strRef>
              <c:f>Sheet1!$A$2:$A$3</c:f>
              <c:strCache>
                <c:ptCount val="2"/>
                <c:pt idx="0">
                  <c:v>2018年度收入  2017年度收入</c:v>
                </c:pt>
                <c:pt idx="1">
                  <c:v>2018年度支出  2017年度支出</c:v>
                </c:pt>
              </c:strCache>
            </c:strRef>
          </c:cat>
          <c:val>
            <c:numRef>
              <c:f>Sheet1!$C$2:$C$3</c:f>
              <c:numCache>
                <c:formatCode>General</c:formatCode>
                <c:ptCount val="2"/>
                <c:pt idx="0">
                  <c:v>154.44</c:v>
                </c:pt>
                <c:pt idx="1">
                  <c:v>159.54</c:v>
                </c:pt>
              </c:numCache>
            </c:numRef>
          </c:val>
        </c:ser>
        <c:dLbls>
          <c:showLegendKey val="false"/>
          <c:showVal val="false"/>
          <c:showCatName val="false"/>
          <c:showSerName val="false"/>
          <c:showPercent val="false"/>
          <c:showBubbleSize val="false"/>
        </c:dLbls>
        <c:gapWidth val="219"/>
        <c:overlap val="-27"/>
        <c:axId val="72276992"/>
        <c:axId val="72524928"/>
      </c:barChart>
      <c:catAx>
        <c:axId val="72276992"/>
        <c:scaling>
          <c:orientation val="minMax"/>
        </c:scaling>
        <c:delete val="false"/>
        <c:axPos val="b"/>
        <c:majorTickMark val="none"/>
        <c:minorTickMark val="none"/>
        <c:tickLblPos val="nextTo"/>
        <c:spPr>
          <a:noFill/>
          <a:ln w="9525" cap="flat" cmpd="sng" algn="ctr">
            <a:solidFill>
              <a:schemeClr val="tx1">
                <a:lumMod val="15000"/>
                <a:lumOff val="85000"/>
              </a:schemeClr>
            </a:solidFill>
            <a:prstDash val="solid"/>
            <a:round/>
          </a:ln>
          <a:effectLst/>
        </c:spPr>
        <c:txPr>
          <a:bodyPr rot="-60000000" spcFirstLastPara="0" vertOverflow="ellipsis" vert="horz" wrap="square" anchor="ctr" anchorCtr="true"/>
          <a:lstStyle/>
          <a:p>
            <a:pPr>
              <a:defRPr lang="zh-CN" sz="900" b="0" i="0" u="none" strike="noStrike" kern="1200" baseline="0">
                <a:solidFill>
                  <a:schemeClr val="tx1">
                    <a:lumMod val="65000"/>
                    <a:lumOff val="35000"/>
                  </a:schemeClr>
                </a:solidFill>
                <a:latin typeface="+mn-lt"/>
                <a:ea typeface="+mn-ea"/>
                <a:cs typeface="+mn-cs"/>
              </a:defRPr>
            </a:pPr>
          </a:p>
        </c:txPr>
        <c:crossAx val="72524928"/>
        <c:crosses val="autoZero"/>
        <c:auto val="true"/>
        <c:lblAlgn val="ctr"/>
        <c:lblOffset val="100"/>
        <c:noMultiLvlLbl val="false"/>
      </c:catAx>
      <c:valAx>
        <c:axId val="72524928"/>
        <c:scaling>
          <c:orientation val="minMax"/>
        </c:scaling>
        <c:delete val="false"/>
        <c:axPos val="l"/>
        <c:majorGridlines>
          <c:spPr>
            <a:ln w="9525" cap="flat" cmpd="sng" algn="ctr">
              <a:solidFill>
                <a:schemeClr val="tx1">
                  <a:lumMod val="15000"/>
                  <a:lumOff val="85000"/>
                </a:schemeClr>
              </a:solidFill>
              <a:prstDash val="solid"/>
              <a:round/>
            </a:ln>
            <a:effectLst/>
          </c:spPr>
        </c:majorGridlines>
        <c:numFmt formatCode="General" sourceLinked="true"/>
        <c:majorTickMark val="none"/>
        <c:minorTickMark val="none"/>
        <c:tickLblPos val="nextTo"/>
        <c:spPr>
          <a:noFill/>
          <a:ln w="12700" cap="flat" cmpd="sng" algn="ctr">
            <a:noFill/>
            <a:prstDash val="solid"/>
            <a:round/>
          </a:ln>
          <a:effectLst/>
        </c:spPr>
        <c:txPr>
          <a:bodyPr rot="-60000000" spcFirstLastPara="0" vertOverflow="ellipsis" vert="horz" wrap="square" anchor="ctr" anchorCtr="true"/>
          <a:lstStyle/>
          <a:p>
            <a:pPr>
              <a:defRPr lang="zh-CN" sz="900" b="0" i="0" u="none" strike="noStrike" kern="1200" baseline="0">
                <a:solidFill>
                  <a:schemeClr val="tx1">
                    <a:lumMod val="65000"/>
                    <a:lumOff val="35000"/>
                  </a:schemeClr>
                </a:solidFill>
                <a:latin typeface="+mn-lt"/>
                <a:ea typeface="+mn-ea"/>
                <a:cs typeface="+mn-cs"/>
              </a:defRPr>
            </a:pPr>
          </a:p>
        </c:txPr>
        <c:crossAx val="72276992"/>
        <c:crosses val="autoZero"/>
        <c:crossBetween val="between"/>
      </c:valAx>
      <c:spPr>
        <a:noFill/>
        <a:ln>
          <a:noFill/>
        </a:ln>
        <a:effectLst/>
      </c:spPr>
    </c:plotArea>
    <c:legend>
      <c:legendPos val="b"/>
      <c:layout>
        <c:manualLayout>
          <c:xMode val="edge"/>
          <c:yMode val="edge"/>
          <c:x val="0.791813007145452"/>
          <c:y val="0.131213771298085"/>
        </c:manualLayout>
      </c:layout>
      <c:overlay val="false"/>
      <c:spPr>
        <a:noFill/>
        <a:ln>
          <a:noFill/>
        </a:ln>
        <a:effectLst/>
      </c:spPr>
      <c:txPr>
        <a:bodyPr rot="0" spcFirstLastPara="0" vertOverflow="ellipsis" vert="horz" wrap="square" anchor="ctr" anchorCtr="true"/>
        <a:lstStyle/>
        <a:p>
          <a:pPr>
            <a:defRPr lang="zh-CN" sz="900" b="0" i="0" u="none" strike="noStrike" kern="1200" baseline="0">
              <a:solidFill>
                <a:schemeClr val="tx1">
                  <a:lumMod val="65000"/>
                  <a:lumOff val="35000"/>
                </a:schemeClr>
              </a:solidFill>
              <a:latin typeface="+mn-lt"/>
              <a:ea typeface="+mn-ea"/>
              <a:cs typeface="+mn-cs"/>
            </a:defRPr>
          </a:pPr>
        </a:p>
      </c:txPr>
    </c:legend>
    <c:plotVisOnly val="true"/>
    <c:dispBlanksAs val="gap"/>
    <c:showDLblsOverMax val="false"/>
  </c:chart>
  <c:spPr>
    <a:solidFill>
      <a:schemeClr val="bg1"/>
    </a:solidFill>
    <a:ln w="9525" cap="flat" cmpd="sng" algn="ctr">
      <a:solidFill>
        <a:schemeClr val="tx1">
          <a:lumMod val="15000"/>
          <a:lumOff val="85000"/>
        </a:schemeClr>
      </a:solidFill>
      <a:prstDash val="solid"/>
      <a:round/>
    </a:ln>
    <a:effectLst/>
  </c:spPr>
  <c:txPr>
    <a:bodyPr/>
    <a:lstStyle/>
    <a:p>
      <a:pPr>
        <a:defRPr lang="zh-CN"/>
      </a:pPr>
    </a:p>
  </c:txPr>
  <c:externalData r:id="rId1">
    <c:autoUpdate val="false"/>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false"/>
  <c:lang val="zh-CN"/>
  <c:roundedCorners val="false"/>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true"/>
          <a:lstStyle/>
          <a:p>
            <a:pPr defTabSz="914400">
              <a:defRPr lang="zh-CN" sz="1400" b="0" i="0" u="none" strike="noStrike" kern="1200" spc="0" baseline="0">
                <a:solidFill>
                  <a:schemeClr val="tx1">
                    <a:lumMod val="65000"/>
                    <a:lumOff val="35000"/>
                  </a:schemeClr>
                </a:solidFill>
                <a:latin typeface="+mn-lt"/>
                <a:ea typeface="+mn-ea"/>
                <a:cs typeface="+mn-cs"/>
              </a:defRPr>
            </a:pPr>
            <a:r>
              <a:t>财政拨款收支预决算对比情况</a:t>
            </a:r>
          </a:p>
        </c:rich>
      </c:tx>
      <c:layout/>
      <c:overlay val="false"/>
      <c:spPr>
        <a:noFill/>
        <a:ln>
          <a:noFill/>
        </a:ln>
        <a:effectLst/>
      </c:spPr>
    </c:title>
    <c:autoTitleDeleted val="false"/>
    <c:plotArea>
      <c:layout/>
      <c:barChart>
        <c:barDir val="col"/>
        <c:grouping val="clustered"/>
        <c:varyColors val="false"/>
        <c:ser>
          <c:idx val="0"/>
          <c:order val="0"/>
          <c:tx>
            <c:strRef>
              <c:f>Sheet1!$B$1</c:f>
              <c:strCache>
                <c:ptCount val="1"/>
                <c:pt idx="0">
                  <c:v>预算数</c:v>
                </c:pt>
              </c:strCache>
            </c:strRef>
          </c:tx>
          <c:spPr>
            <a:solidFill>
              <a:schemeClr val="accent1">
                <a:tint val="100000"/>
                <a:shade val="100000"/>
                <a:hueMod val="100000"/>
                <a:satMod val="100000"/>
              </a:schemeClr>
            </a:solidFill>
            <a:ln>
              <a:noFill/>
            </a:ln>
            <a:effectLst/>
          </c:spPr>
          <c:invertIfNegative val="false"/>
          <c:dLbls>
            <c:delete val="true"/>
          </c:dLbls>
          <c:cat>
            <c:strRef>
              <c:f>Sheet1!$A$2:$A$3</c:f>
              <c:strCache>
                <c:ptCount val="2"/>
                <c:pt idx="0">
                  <c:v>收入预算数   收入决算数</c:v>
                </c:pt>
                <c:pt idx="1">
                  <c:v>支出预算数   支出决算数</c:v>
                </c:pt>
              </c:strCache>
            </c:strRef>
          </c:cat>
          <c:val>
            <c:numRef>
              <c:f>Sheet1!$B$2:$B$3</c:f>
              <c:numCache>
                <c:formatCode>General</c:formatCode>
                <c:ptCount val="2"/>
                <c:pt idx="0">
                  <c:v>138.51</c:v>
                </c:pt>
                <c:pt idx="1">
                  <c:v>138.51</c:v>
                </c:pt>
              </c:numCache>
            </c:numRef>
          </c:val>
        </c:ser>
        <c:ser>
          <c:idx val="1"/>
          <c:order val="1"/>
          <c:tx>
            <c:strRef>
              <c:f>Sheet1!$C$1</c:f>
              <c:strCache>
                <c:ptCount val="1"/>
                <c:pt idx="0">
                  <c:v>支出数</c:v>
                </c:pt>
              </c:strCache>
            </c:strRef>
          </c:tx>
          <c:spPr>
            <a:solidFill>
              <a:schemeClr val="accent2">
                <a:tint val="100000"/>
                <a:shade val="100000"/>
                <a:hueMod val="100000"/>
                <a:satMod val="100000"/>
              </a:schemeClr>
            </a:solidFill>
            <a:ln>
              <a:noFill/>
            </a:ln>
            <a:effectLst/>
          </c:spPr>
          <c:invertIfNegative val="false"/>
          <c:dLbls>
            <c:delete val="true"/>
          </c:dLbls>
          <c:cat>
            <c:strRef>
              <c:f>Sheet1!$A$2:$A$3</c:f>
              <c:strCache>
                <c:ptCount val="2"/>
                <c:pt idx="0">
                  <c:v>收入预算数   收入决算数</c:v>
                </c:pt>
                <c:pt idx="1">
                  <c:v>支出预算数   支出决算数</c:v>
                </c:pt>
              </c:strCache>
            </c:strRef>
          </c:cat>
          <c:val>
            <c:numRef>
              <c:f>Sheet1!$C$2:$C$3</c:f>
              <c:numCache>
                <c:formatCode>General</c:formatCode>
                <c:ptCount val="2"/>
                <c:pt idx="0">
                  <c:v>170.85</c:v>
                </c:pt>
                <c:pt idx="1">
                  <c:v>168.32</c:v>
                </c:pt>
              </c:numCache>
            </c:numRef>
          </c:val>
        </c:ser>
        <c:dLbls>
          <c:showLegendKey val="false"/>
          <c:showVal val="false"/>
          <c:showCatName val="false"/>
          <c:showSerName val="false"/>
          <c:showPercent val="false"/>
          <c:showBubbleSize val="false"/>
        </c:dLbls>
        <c:gapWidth val="219"/>
        <c:overlap val="-27"/>
        <c:axId val="97809536"/>
        <c:axId val="97811456"/>
      </c:barChart>
      <c:catAx>
        <c:axId val="97809536"/>
        <c:scaling>
          <c:orientation val="minMax"/>
        </c:scaling>
        <c:delete val="false"/>
        <c:axPos val="b"/>
        <c:majorTickMark val="none"/>
        <c:minorTickMark val="none"/>
        <c:tickLblPos val="nextTo"/>
        <c:spPr>
          <a:noFill/>
          <a:ln w="9525" cap="flat" cmpd="sng" algn="ctr">
            <a:solidFill>
              <a:schemeClr val="tx1">
                <a:lumMod val="15000"/>
                <a:lumOff val="85000"/>
              </a:schemeClr>
            </a:solidFill>
            <a:prstDash val="solid"/>
            <a:round/>
          </a:ln>
          <a:effectLst/>
        </c:spPr>
        <c:txPr>
          <a:bodyPr rot="-60000000" spcFirstLastPara="0" vertOverflow="ellipsis" vert="horz" wrap="square" anchor="ctr" anchorCtr="true"/>
          <a:lstStyle/>
          <a:p>
            <a:pPr>
              <a:defRPr lang="zh-CN" sz="900" b="0" i="0" u="none" strike="noStrike" kern="1200" baseline="0">
                <a:solidFill>
                  <a:schemeClr val="tx1">
                    <a:lumMod val="65000"/>
                    <a:lumOff val="35000"/>
                  </a:schemeClr>
                </a:solidFill>
                <a:latin typeface="+mn-lt"/>
                <a:ea typeface="+mn-ea"/>
                <a:cs typeface="+mn-cs"/>
              </a:defRPr>
            </a:pPr>
          </a:p>
        </c:txPr>
        <c:crossAx val="97811456"/>
        <c:crosses val="autoZero"/>
        <c:auto val="true"/>
        <c:lblAlgn val="ctr"/>
        <c:lblOffset val="100"/>
        <c:noMultiLvlLbl val="false"/>
      </c:catAx>
      <c:valAx>
        <c:axId val="97811456"/>
        <c:scaling>
          <c:orientation val="minMax"/>
        </c:scaling>
        <c:delete val="false"/>
        <c:axPos val="l"/>
        <c:majorGridlines>
          <c:spPr>
            <a:ln w="9525" cap="flat" cmpd="sng" algn="ctr">
              <a:solidFill>
                <a:schemeClr val="tx1">
                  <a:lumMod val="15000"/>
                  <a:lumOff val="85000"/>
                </a:schemeClr>
              </a:solidFill>
              <a:prstDash val="solid"/>
              <a:round/>
            </a:ln>
            <a:effectLst/>
          </c:spPr>
        </c:majorGridlines>
        <c:numFmt formatCode="General" sourceLinked="true"/>
        <c:majorTickMark val="none"/>
        <c:minorTickMark val="none"/>
        <c:tickLblPos val="nextTo"/>
        <c:spPr>
          <a:noFill/>
          <a:ln w="12700" cap="flat" cmpd="sng" algn="ctr">
            <a:noFill/>
            <a:prstDash val="solid"/>
            <a:round/>
          </a:ln>
          <a:effectLst/>
        </c:spPr>
        <c:txPr>
          <a:bodyPr rot="-60000000" spcFirstLastPara="0" vertOverflow="ellipsis" vert="horz" wrap="square" anchor="ctr" anchorCtr="true"/>
          <a:lstStyle/>
          <a:p>
            <a:pPr>
              <a:defRPr lang="zh-CN" sz="900" b="0" i="0" u="none" strike="noStrike" kern="1200" baseline="0">
                <a:solidFill>
                  <a:schemeClr val="tx1">
                    <a:lumMod val="65000"/>
                    <a:lumOff val="35000"/>
                  </a:schemeClr>
                </a:solidFill>
                <a:latin typeface="+mn-lt"/>
                <a:ea typeface="+mn-ea"/>
                <a:cs typeface="+mn-cs"/>
              </a:defRPr>
            </a:pPr>
          </a:p>
        </c:txPr>
        <c:crossAx val="97809536"/>
        <c:crosses val="autoZero"/>
        <c:crossBetween val="between"/>
      </c:valAx>
      <c:spPr>
        <a:noFill/>
        <a:ln>
          <a:noFill/>
        </a:ln>
        <a:effectLst/>
      </c:spPr>
    </c:plotArea>
    <c:legend>
      <c:legendPos val="b"/>
      <c:layout/>
      <c:overlay val="false"/>
      <c:spPr>
        <a:noFill/>
        <a:ln>
          <a:noFill/>
        </a:ln>
        <a:effectLst/>
      </c:spPr>
      <c:txPr>
        <a:bodyPr rot="0" spcFirstLastPara="0" vertOverflow="ellipsis" vert="horz" wrap="square" anchor="ctr" anchorCtr="true"/>
        <a:lstStyle/>
        <a:p>
          <a:pPr>
            <a:defRPr lang="zh-CN" sz="900" b="0" i="0" u="none" strike="noStrike" kern="1200" baseline="0">
              <a:solidFill>
                <a:schemeClr val="tx1">
                  <a:lumMod val="65000"/>
                  <a:lumOff val="35000"/>
                </a:schemeClr>
              </a:solidFill>
              <a:latin typeface="+mn-lt"/>
              <a:ea typeface="+mn-ea"/>
              <a:cs typeface="+mn-cs"/>
            </a:defRPr>
          </a:pPr>
        </a:p>
      </c:txPr>
    </c:legend>
    <c:plotVisOnly val="true"/>
    <c:dispBlanksAs val="gap"/>
    <c:showDLblsOverMax val="false"/>
  </c:chart>
  <c:spPr>
    <a:solidFill>
      <a:schemeClr val="bg1"/>
    </a:solidFill>
    <a:ln w="9525" cap="flat" cmpd="sng" algn="ctr">
      <a:solidFill>
        <a:schemeClr val="tx1">
          <a:lumMod val="15000"/>
          <a:lumOff val="85000"/>
        </a:schemeClr>
      </a:solidFill>
      <a:prstDash val="solid"/>
      <a:round/>
    </a:ln>
    <a:effectLst/>
  </c:spPr>
  <c:txPr>
    <a:bodyPr/>
    <a:lstStyle/>
    <a:p>
      <a:pPr>
        <a:defRPr lang="zh-CN"/>
      </a:pPr>
    </a:p>
  </c:txPr>
  <c:externalData r:id="rId1">
    <c:autoUpdate val="false"/>
  </c:externalData>
</c:chartSpace>
</file>

<file path=word/theme/theme1.xml><?xml version="1.0" encoding="utf-8"?>
<a:theme xmlns:a="http://schemas.openxmlformats.org/drawingml/2006/main" name="Office 主题​​">
  <a:themeElements>
    <a:clrScheme name="跋涉">
      <a:dk1>
        <a:sysClr val="windowText" lastClr="000000"/>
      </a:dk1>
      <a:lt1>
        <a:sysClr val="window" lastClr="FFFFFF"/>
      </a:lt1>
      <a:dk2>
        <a:srgbClr val="4E3B30"/>
      </a:dk2>
      <a:lt2>
        <a:srgbClr val="FBEEC9"/>
      </a:lt2>
      <a:accent1>
        <a:srgbClr val="F0A22E"/>
      </a:accent1>
      <a:accent2>
        <a:srgbClr val="A5644E"/>
      </a:accent2>
      <a:accent3>
        <a:srgbClr val="B58B80"/>
      </a:accent3>
      <a:accent4>
        <a:srgbClr val="C3986D"/>
      </a:accent4>
      <a:accent5>
        <a:srgbClr val="A19574"/>
      </a:accent5>
      <a:accent6>
        <a:srgbClr val="C17529"/>
      </a:accent6>
      <a:hlink>
        <a:srgbClr val="AD1F1F"/>
      </a:hlink>
      <a:folHlink>
        <a:srgbClr val="FFC42F"/>
      </a:folHlink>
    </a:clrScheme>
    <a:fontScheme name="Office 2">
      <a:majorFont>
        <a:latin typeface="Calibri"/>
        <a:ea typeface=""/>
        <a:cs typeface=""/>
        <a:font script="Jpan" typeface="HGｺﾞｼｯｸM"/>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ahoma"/>
        <a:font script="Uigh" typeface="Microsoft Uighur"/>
        <a:font script="Geor" typeface="Sylfaen"/>
      </a:majorFont>
      <a:minorFont>
        <a:latin typeface="Cambria"/>
        <a:ea typeface=""/>
        <a:cs typeface=""/>
        <a:font script="Jpan" typeface="HG明朝B"/>
        <a:font script="Hang" typeface="맑은 고딕"/>
        <a:font script="Hans" typeface="黑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inorFont>
    </a:fontScheme>
    <a:fmtScheme name="凤舞九天">
      <a:fillStyleLst>
        <a:solidFill>
          <a:schemeClr val="phClr">
            <a:tint val="100000"/>
            <a:shade val="100000"/>
            <a:hueMod val="100000"/>
            <a:satMod val="100000"/>
          </a:schemeClr>
        </a:solidFill>
        <a:gradFill rotWithShape="true">
          <a:gsLst>
            <a:gs pos="0">
              <a:schemeClr val="phClr">
                <a:tint val="65000"/>
                <a:satMod val="180000"/>
              </a:schemeClr>
            </a:gs>
            <a:gs pos="50000">
              <a:schemeClr val="phClr">
                <a:tint val="40000"/>
                <a:satMod val="175000"/>
              </a:schemeClr>
            </a:gs>
            <a:gs pos="100000">
              <a:schemeClr val="phClr">
                <a:tint val="65000"/>
                <a:satMod val="180000"/>
              </a:schemeClr>
            </a:gs>
          </a:gsLst>
          <a:lin ang="0" scaled="true"/>
        </a:gradFill>
        <a:gradFill rotWithShape="true">
          <a:gsLst>
            <a:gs pos="0">
              <a:schemeClr val="phClr">
                <a:shade val="38000"/>
                <a:satMod val="150000"/>
              </a:schemeClr>
            </a:gs>
            <a:gs pos="50000">
              <a:schemeClr val="phClr">
                <a:shade val="100000"/>
                <a:satMod val="100000"/>
              </a:schemeClr>
            </a:gs>
            <a:gs pos="100000">
              <a:schemeClr val="phClr">
                <a:shade val="38000"/>
                <a:satMod val="150000"/>
              </a:schemeClr>
            </a:gs>
          </a:gsLst>
          <a:lin ang="0" scaled="true"/>
        </a:gradFill>
      </a:fillStyleLst>
      <a:lnStyleLst>
        <a:ln w="12700" cap="flat" cmpd="sng" algn="ctr">
          <a:solidFill>
            <a:schemeClr val="phClr"/>
          </a:solidFill>
          <a:prstDash val="solid"/>
        </a:ln>
        <a:ln w="25400" cap="flat" cmpd="sng" algn="ctr">
          <a:solidFill>
            <a:schemeClr val="phClr"/>
          </a:solidFill>
          <a:prstDash val="solid"/>
        </a:ln>
        <a:ln w="38100" cap="flat" cmpd="dbl" algn="ctr">
          <a:solidFill>
            <a:schemeClr val="phClr"/>
          </a:solidFill>
          <a:prstDash val="solid"/>
        </a:ln>
      </a:lnStyleLst>
      <a:effectStyleLst>
        <a:effectStyle>
          <a:effectLst>
            <a:outerShdw blurRad="190500" dist="78600" dir="2700000" rotWithShape="0">
              <a:srgbClr val="000000">
                <a:alpha val="35500"/>
              </a:srgbClr>
            </a:outerShdw>
          </a:effectLst>
        </a:effectStyle>
        <a:effectStyle>
          <a:effectLst>
            <a:outerShdw blurRad="190500" dist="78600" dir="2700000" rotWithShape="0">
              <a:srgbClr val="000000">
                <a:alpha val="35500"/>
              </a:srgbClr>
            </a:outerShdw>
          </a:effectLst>
        </a:effectStyle>
        <a:effectStyle>
          <a:effectLst>
            <a:outerShdw blurRad="190500" dist="78600" dir="2700000" rotWithShape="0">
              <a:srgbClr val="000000">
                <a:alpha val="35500"/>
              </a:srgbClr>
            </a:outerShdw>
          </a:effectLst>
          <a:scene3d>
            <a:camera prst="orthographicFront" fov="0">
              <a:rot lat="0" lon="0" rev="0"/>
            </a:camera>
            <a:lightRig rig="soft" dir="tl">
              <a:rot lat="0" lon="0" rev="20100000"/>
            </a:lightRig>
          </a:scene3d>
          <a:sp3d>
            <a:bevelT w="50800" h="50800"/>
          </a:sp3d>
        </a:effectStyle>
      </a:effectStyleLst>
      <a:bgFillStyleLst>
        <a:solidFill>
          <a:schemeClr val="phClr"/>
        </a:solidFill>
        <a:gradFill rotWithShape="true">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true">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1026"/>
    <customShpInfo spid="_x0000_s1097"/>
    <customShpInfo spid="_x0000_s1096"/>
    <customShpInfo spid="_x0000_s1095"/>
    <customShpInfo spid="_x0000_s1094"/>
    <customShpInfo spid="_x0000_s1093"/>
    <customShpInfo spid="_x0000_s1092"/>
    <customShpInfo spid="_x0000_s1091"/>
    <customShpInfo spid="_x0000_s1090"/>
    <customShpInfo spid="_x0000_s1089"/>
    <customShpInfo spid="_x0000_s1088"/>
    <customShpInfo spid="_x0000_s1087"/>
    <customShpInfo spid="_x0000_s1086"/>
    <customShpInfo spid="_x0000_s1085"/>
    <customShpInfo spid="_x0000_s1084"/>
    <customShpInfo spid="_x0000_s1083"/>
    <customShpInfo spid="_x0000_s1082"/>
    <customShpInfo spid="_x0000_s1081"/>
    <customShpInfo spid="_x0000_s1080"/>
    <customShpInfo spid="_x0000_s1079"/>
    <customShpInfo spid="_x0000_s1078"/>
    <customShpInfo spid="_x0000_s1077"/>
    <customShpInfo spid="_x0000_s1076"/>
    <customShpInfo spid="_x0000_s1075"/>
    <customShpInfo spid="_x0000_s1074"/>
    <customShpInfo spid="_x0000_s1073"/>
    <customShpInfo spid="_x0000_s1072"/>
    <customShpInfo spid="_x0000_s1071"/>
    <customShpInfo spid="_x0000_s1070"/>
    <customShpInfo spid="_x0000_s1069"/>
    <customShpInfo spid="_x0000_s1068"/>
    <customShpInfo spid="_x0000_s1067"/>
    <customShpInfo spid="_x0000_s1066"/>
    <customShpInfo spid="_x0000_s1065"/>
    <customShpInfo spid="_x0000_s1064"/>
    <customShpInfo spid="_x0000_s1063"/>
    <customShpInfo spid="_x0000_s1062"/>
    <customShpInfo spid="_x0000_s1061"/>
    <customShpInfo spid="_x0000_s1060"/>
    <customShpInfo spid="_x0000_s1059"/>
    <customShpInfo spid="_x0000_s1058"/>
    <customShpInfo spid="_x0000_s1057"/>
    <customShpInfo spid="_x0000_s1056"/>
    <customShpInfo spid="_x0000_s1055"/>
    <customShpInfo spid="_x0000_s1054"/>
    <customShpInfo spid="_x0000_s1053"/>
    <customShpInfo spid="_x0000_s1052"/>
    <customShpInfo spid="_x0000_s1051"/>
    <customShpInfo spid="_x0000_s1050"/>
    <customShpInfo spid="_x0000_s1049"/>
    <customShpInfo spid="_x0000_s1048"/>
    <customShpInfo spid="_x0000_s1047"/>
    <customShpInfo spid="_x0000_s1046"/>
    <customShpInfo spid="_x0000_s1045"/>
    <customShpInfo spid="_x0000_s1044"/>
    <customShpInfo spid="_x0000_s1043"/>
    <customShpInfo spid="_x0000_s1042"/>
    <customShpInfo spid="_x0000_s1041"/>
    <customShpInfo spid="_x0000_s1040"/>
    <customShpInfo spid="_x0000_s1039"/>
    <customShpInfo spid="_x0000_s1038"/>
    <customShpInfo spid="_x0000_s1037"/>
    <customShpInfo spid="_x0000_s1036"/>
    <customShpInfo spid="_x0000_s1035"/>
    <customShpInfo spid="_x0000_s1034"/>
    <customShpInfo spid="_x0000_s1033"/>
    <customShpInfo spid="_x0000_s1032"/>
    <customShpInfo spid="_x0000_s1031"/>
    <customShpInfo spid="_x0000_s1030"/>
    <customShpInfo spid="_x0000_s1029"/>
    <customShpInfo spid="_x0000_s1028"/>
    <customShpInfo spid="_x0000_s1027"/>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Microsoft</Company>
  <Pages>38</Pages>
  <Words>1665</Words>
  <Characters>9494</Characters>
  <Lines>79</Lines>
  <Paragraphs>22</Paragraphs>
  <TotalTime>5</TotalTime>
  <ScaleCrop>false</ScaleCrop>
  <LinksUpToDate>false</LinksUpToDate>
  <CharactersWithSpaces>11137</CharactersWithSpaces>
  <Application>WPS Office_11.8.2.10195_F1E327BC-269C-435d-A152-05C5408002CA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2019-08-28T16:40:00Z</dcterms:created>
  <dc:creator>User</dc:creator>
  <cp:lastModifiedBy>uos</cp:lastModifiedBy>
  <cp:lastPrinted>2019-08-02T09:01:00Z</cp:lastPrinted>
  <dcterms:modified xsi:type="dcterms:W3CDTF">2024-02-22T16:48:30Z</dcterms:modified>
  <dc:subject>石家庄市xxx部门</dc:subject>
  <dc:title>2017年度部门决算</dc:title>
  <cp:revision>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2052-11.8.2.10195</vt:lpwstr>
  </property>
</Properties>
</file>