
<file path=[Content_Types].xml><?xml version="1.0" encoding="utf-8"?>
<Types xmlns="http://schemas.openxmlformats.org/package/2006/content-types">
  <Default Extension="xml" ContentType="application/xml"/>
  <Default Extension="emf" ContentType="image/x-emf"/>
  <Default Extension="png" ContentType="image/png"/>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745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872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7769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540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9744"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36736;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drawing>
          <wp:inline distT="0" distB="0" distL="114300" distR="114300">
            <wp:extent cx="6066790" cy="7960995"/>
            <wp:effectExtent l="0" t="0" r="3810" b="1905"/>
            <wp:docPr id="28" name="图片 28" descr="16239784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descr="1623978433(1)"/>
                    <pic:cNvPicPr>
                      <a:picLocks noChangeAspect="1"/>
                    </pic:cNvPicPr>
                  </pic:nvPicPr>
                  <pic:blipFill>
                    <a:blip r:embed="rId28"/>
                    <a:stretch>
                      <a:fillRect/>
                    </a:stretch>
                  </pic:blipFill>
                  <pic:spPr>
                    <a:xfrm>
                      <a:off x="0" y="0"/>
                      <a:ext cx="6066790" cy="7960995"/>
                    </a:xfrm>
                    <a:prstGeom prst="rect">
                      <a:avLst/>
                    </a:prstGeom>
                  </pic:spPr>
                </pic:pic>
              </a:graphicData>
            </a:graphic>
          </wp:inline>
        </w:drawing>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75449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75449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29"/>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1．机关事务管理。负责乡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统计、审计工作；负责社会治安综合治理和司法工作；做好宗教工作，打击邪教；调处矛盾纠纷；做好群众来信来访、社会稳定等工作。负责精神文明和新农村建设，以及与各部门社会事务工作的指导服务和协调。</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2．农业综合服务。</w:t>
      </w:r>
      <w:bookmarkStart w:id="0" w:name="_GoBack"/>
      <w:bookmarkEnd w:id="0"/>
      <w:r>
        <w:rPr>
          <w:rFonts w:hint="eastAsia" w:ascii="仿宋_GB2312" w:eastAsia="仿宋_GB2312" w:cs="ArialUnicodeMS"/>
          <w:kern w:val="0"/>
          <w:sz w:val="32"/>
          <w:szCs w:val="32"/>
          <w:highlight w:val="none"/>
          <w:lang w:eastAsia="zh-CN"/>
        </w:rPr>
        <w:t>负责</w:t>
      </w:r>
      <w:r>
        <w:rPr>
          <w:rFonts w:hint="eastAsia" w:ascii="仿宋_GB2312" w:eastAsia="仿宋_GB2312" w:cs="ArialUnicodeMS"/>
          <w:kern w:val="0"/>
          <w:sz w:val="32"/>
          <w:szCs w:val="32"/>
          <w:highlight w:val="none"/>
        </w:rPr>
        <w:t>配合农口部门(农、林、牧、水)做好农业技术服务和技术推广工作，动物防疫工作；加强农田水利基本建设，增强农业抗御自然灾害的能力，做好防火工作，做好农村一事一议项目管理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3．卫生计生服务。配合食品药品监督管理的协调、督导，做好新型农村合作医疗等卫生方面工作，</w:t>
      </w:r>
      <w:r>
        <w:rPr>
          <w:rFonts w:hint="eastAsia" w:ascii="仿宋_GB2312" w:eastAsia="仿宋_GB2312" w:cs="ArialUnicodeMS"/>
          <w:kern w:val="0"/>
          <w:sz w:val="32"/>
          <w:szCs w:val="32"/>
          <w:highlight w:val="none"/>
          <w:lang w:eastAsia="zh-CN"/>
        </w:rPr>
        <w:t>负责</w:t>
      </w:r>
      <w:r>
        <w:rPr>
          <w:rFonts w:hint="eastAsia" w:ascii="仿宋_GB2312" w:eastAsia="仿宋_GB2312" w:cs="ArialUnicodeMS"/>
          <w:kern w:val="0"/>
          <w:sz w:val="32"/>
          <w:szCs w:val="32"/>
          <w:highlight w:val="none"/>
        </w:rPr>
        <w:t>计划生育技术服务及人口生育管理，</w:t>
      </w:r>
      <w:r>
        <w:rPr>
          <w:rFonts w:hint="eastAsia" w:ascii="仿宋_GB2312" w:eastAsia="仿宋_GB2312" w:cs="ArialUnicodeMS"/>
          <w:kern w:val="0"/>
          <w:sz w:val="32"/>
          <w:szCs w:val="32"/>
          <w:highlight w:val="none"/>
          <w:lang w:eastAsia="zh-CN"/>
        </w:rPr>
        <w:t>负责</w:t>
      </w:r>
      <w:r>
        <w:rPr>
          <w:rFonts w:hint="eastAsia" w:ascii="仿宋_GB2312" w:eastAsia="仿宋_GB2312" w:cs="ArialUnicodeMS"/>
          <w:kern w:val="0"/>
          <w:sz w:val="32"/>
          <w:szCs w:val="32"/>
          <w:highlight w:val="none"/>
        </w:rPr>
        <w:t>育龄妇女普查、妇女病防治、四术及协会等项工作。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4．文化综治服务。负责精神文明和新农村建设，做好群众文化娱乐、体育活动、广播电视村村通等工作。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仿宋_GB2312" w:hAnsi="Calibri" w:eastAsia="仿宋_GB2312" w:cs="ArialUnicodeMS"/>
          <w:kern w:val="0"/>
          <w:sz w:val="32"/>
          <w:szCs w:val="32"/>
        </w:rPr>
      </w:pPr>
      <w:r>
        <w:rPr>
          <w:rFonts w:hint="eastAsia" w:ascii="仿宋_GB2312" w:eastAsia="仿宋_GB2312" w:cs="ArialUnicodeMS"/>
          <w:kern w:val="0"/>
          <w:sz w:val="32"/>
          <w:szCs w:val="32"/>
          <w:highlight w:val="none"/>
        </w:rPr>
        <w:t>5．社会保障服务。配合劳动保障部门做好劳动法的宣传贯彻、劳动就业、社会保障等工作。配合安全生产监督管理部门做好安全生产监督管理等工作。改善农村环境，做好公益事业，防治大气污染，做好交通运输工作，负责危房改造工作以及与各部门社会事务工作的指导服务和协调，做好群众来信来访、社会稳定等工作。</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石家庄市鹿泉区上寨乡人民政府</w:t>
            </w:r>
          </w:p>
        </w:tc>
        <w:tc>
          <w:tcPr>
            <w:tcW w:w="2445" w:type="dxa"/>
          </w:tcPr>
          <w:p>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85280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8528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43727974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43727974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29"/>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2483</w:t>
      </w:r>
      <w:r>
        <w:rPr>
          <w:rFonts w:hint="eastAsia" w:ascii="仿宋_GB2312" w:hAnsi="Times New Roman" w:eastAsia="仿宋_GB2312" w:cs="DengXian-Regular"/>
          <w:sz w:val="32"/>
          <w:szCs w:val="32"/>
        </w:rPr>
        <w:t>万元。与2018年度决算相比，收支各减少</w:t>
      </w:r>
      <w:r>
        <w:rPr>
          <w:rFonts w:hint="eastAsia" w:ascii="仿宋_GB2312" w:hAnsi="Times New Roman" w:eastAsia="仿宋_GB2312" w:cs="DengXian-Regular"/>
          <w:sz w:val="32"/>
          <w:szCs w:val="32"/>
          <w:lang w:val="en-US" w:eastAsia="zh-CN"/>
        </w:rPr>
        <w:t>2273.8</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47.8</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项目减少，项目收入和支出减少</w:t>
      </w:r>
      <w:r>
        <w:rPr>
          <w:rFonts w:hint="eastAsia" w:ascii="仿宋_GB2312" w:hAnsi="Times New Roman" w:eastAsia="仿宋_GB2312" w:cs="DengXian-Regular"/>
          <w:sz w:val="32"/>
          <w:szCs w:val="32"/>
        </w:rPr>
        <w:t>。</w:t>
      </w:r>
    </w:p>
    <w:p>
      <w:pPr>
        <w:keepNext/>
        <w:keepLines/>
        <w:snapToGrid w:val="0"/>
        <w:spacing w:line="580" w:lineRule="exact"/>
        <w:ind w:firstLine="420" w:firstLineChars="200"/>
        <w:outlineLvl w:val="1"/>
        <w:rPr>
          <w:rFonts w:hint="eastAsia" w:ascii="黑体" w:hAnsi="Calibri" w:eastAsia="黑体" w:cs="Times New Roman"/>
          <w:sz w:val="32"/>
          <w:szCs w:val="32"/>
        </w:rPr>
      </w:pPr>
      <w:r>
        <w:drawing>
          <wp:anchor distT="0" distB="0" distL="114300" distR="114300" simplePos="0" relativeHeight="437283840" behindDoc="0" locked="0" layoutInCell="1" allowOverlap="1">
            <wp:simplePos x="0" y="0"/>
            <wp:positionH relativeFrom="column">
              <wp:posOffset>752475</wp:posOffset>
            </wp:positionH>
            <wp:positionV relativeFrom="paragraph">
              <wp:posOffset>330200</wp:posOffset>
            </wp:positionV>
            <wp:extent cx="3914775" cy="2005330"/>
            <wp:effectExtent l="4445" t="4445" r="5080" b="9525"/>
            <wp:wrapTopAndBottom/>
            <wp:docPr id="31"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2483</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2451.94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98.8</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其他收入31.06万元，</w:t>
      </w:r>
      <w:r>
        <w:rPr>
          <w:rFonts w:hint="eastAsia" w:ascii="仿宋_GB2312" w:hAnsi="Times New Roman" w:eastAsia="仿宋_GB2312" w:cs="DengXian-Regular"/>
          <w:sz w:val="32"/>
          <w:szCs w:val="32"/>
        </w:rPr>
        <w:t>占</w:t>
      </w:r>
      <w:r>
        <w:rPr>
          <w:rFonts w:hint="eastAsia" w:ascii="仿宋_GB2312" w:hAnsi="Times New Roman" w:eastAsia="仿宋_GB2312" w:cs="DengXian-Regular"/>
          <w:sz w:val="32"/>
          <w:szCs w:val="32"/>
          <w:lang w:val="en-US" w:eastAsia="zh-CN"/>
        </w:rPr>
        <w:t>1.2</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2287</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1092.56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47.8</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1194.44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52.2</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2451.94</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1012.85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29.2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项目减少，项目收入减少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2255.94</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1208.85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34.9</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项目支出减少和项目结余</w:t>
      </w:r>
      <w:r>
        <w:rPr>
          <w:rFonts w:hint="eastAsia" w:ascii="仿宋_GB2312" w:hAnsi="Times New Roman" w:eastAsia="仿宋_GB2312" w:cs="DengXian-Regular"/>
          <w:sz w:val="32"/>
          <w:szCs w:val="32"/>
        </w:rPr>
        <w:t>。具体情况如下：</w:t>
      </w:r>
    </w:p>
    <w:p>
      <w:pPr>
        <w:adjustRightInd w:val="0"/>
        <w:snapToGrid w:val="0"/>
        <w:spacing w:line="580" w:lineRule="exact"/>
        <w:rPr>
          <w:rFonts w:hint="eastAsia" w:ascii="仿宋_GB2312" w:hAnsi="Times New Roman" w:eastAsia="仿宋_GB2312" w:cs="DengXian-Regular"/>
          <w:sz w:val="32"/>
          <w:szCs w:val="32"/>
        </w:rPr>
      </w:pPr>
      <w:r>
        <w:drawing>
          <wp:anchor distT="0" distB="0" distL="114300" distR="114300" simplePos="0" relativeHeight="437284864" behindDoc="0" locked="0" layoutInCell="1" allowOverlap="1">
            <wp:simplePos x="0" y="0"/>
            <wp:positionH relativeFrom="column">
              <wp:posOffset>803910</wp:posOffset>
            </wp:positionH>
            <wp:positionV relativeFrom="paragraph">
              <wp:posOffset>235585</wp:posOffset>
            </wp:positionV>
            <wp:extent cx="3910965" cy="2185035"/>
            <wp:effectExtent l="4445" t="4445" r="8890" b="7620"/>
            <wp:wrapTopAndBottom/>
            <wp:docPr id="3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hint="eastAsia" w:ascii="仿宋_GB2312" w:hAnsi="Times New Roman" w:eastAsia="仿宋_GB2312" w:cs="DengXian-Regular"/>
          <w:sz w:val="32"/>
          <w:szCs w:val="32"/>
          <w:lang w:val="en-US" w:eastAsia="zh-CN"/>
        </w:rPr>
        <w:t>1381.35</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166.56</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val="en-US" w:eastAsia="zh-CN"/>
        </w:rPr>
        <w:t>城乡社区和农林水收入增加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1381.35</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166.56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13.7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一般公共预算资金城乡社区和农林水支出增加</w:t>
      </w:r>
      <w:r>
        <w:rPr>
          <w:rFonts w:hint="eastAsia" w:ascii="仿宋_GB2312" w:hAnsi="Times New Roman" w:eastAsia="仿宋_GB2312" w:cs="DengXian-Regular"/>
          <w:sz w:val="32"/>
          <w:szCs w:val="32"/>
        </w:rPr>
        <w:t>。</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w:t>
      </w:r>
      <w:r>
        <w:rPr>
          <w:rFonts w:hint="eastAsia" w:ascii="仿宋_GB2312" w:hAnsi="Times New Roman" w:eastAsia="仿宋_GB2312" w:cs="DengXian-Regular"/>
          <w:sz w:val="32"/>
          <w:szCs w:val="32"/>
          <w:lang w:val="en-US" w:eastAsia="zh-CN"/>
        </w:rPr>
        <w:t>1070.59</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1179.41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52.4</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政府性基金项目收入减少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874.59</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1375.41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61.1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政府性基金项目支出减少</w:t>
      </w:r>
      <w:r>
        <w:rPr>
          <w:rFonts w:hint="eastAsia" w:ascii="仿宋_GB2312" w:hAnsi="Times New Roman" w:eastAsia="仿宋_GB2312" w:cs="DengXian-Regular"/>
          <w:sz w:val="32"/>
          <w:szCs w:val="32"/>
        </w:rPr>
        <w:t>。</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2451.94</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99.6</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8.83</w:t>
      </w:r>
      <w:r>
        <w:rPr>
          <w:rFonts w:hint="eastAsia" w:ascii="仿宋_GB2312" w:hAnsi="Times New Roman" w:eastAsia="仿宋_GB2312" w:cs="DengXian-Regular"/>
          <w:sz w:val="32"/>
          <w:szCs w:val="32"/>
        </w:rPr>
        <w:t>万元；本年支出</w:t>
      </w:r>
      <w:r>
        <w:rPr>
          <w:rFonts w:hint="eastAsia" w:ascii="仿宋_GB2312" w:hAnsi="Times New Roman" w:eastAsia="仿宋_GB2312" w:cs="DengXian-Regular"/>
          <w:sz w:val="32"/>
          <w:szCs w:val="32"/>
          <w:lang w:val="en-US" w:eastAsia="zh-CN"/>
        </w:rPr>
        <w:t>2255.94</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91.7</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204.83</w:t>
      </w:r>
      <w:r>
        <w:rPr>
          <w:rFonts w:hint="eastAsia" w:ascii="仿宋_GB2312" w:hAnsi="Times New Roman" w:eastAsia="仿宋_GB2312" w:cs="DengXian-Regular"/>
          <w:sz w:val="32"/>
          <w:szCs w:val="32"/>
        </w:rPr>
        <w:t>万元，决算数小于预算数主要原因是主要是</w:t>
      </w:r>
      <w:r>
        <w:rPr>
          <w:rFonts w:hint="eastAsia" w:ascii="仿宋_GB2312" w:hAnsi="Times New Roman" w:eastAsia="仿宋_GB2312" w:cs="DengXian-Regular"/>
          <w:sz w:val="32"/>
          <w:szCs w:val="32"/>
          <w:lang w:val="en-US" w:eastAsia="zh-CN"/>
        </w:rPr>
        <w:t>项目支出结余</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333.38</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val="en-US" w:eastAsia="zh-CN"/>
        </w:rPr>
        <w:t>一般公共财政支出增加</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333.38</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val="en-US" w:eastAsia="zh-CN"/>
        </w:rPr>
        <w:t>一般公共财政项目增加</w:t>
      </w:r>
      <w:r>
        <w:rPr>
          <w:rFonts w:hint="eastAsia" w:ascii="仿宋_GB2312" w:hAnsi="Times New Roman" w:eastAsia="仿宋_GB2312" w:cs="DengXian-Regular"/>
          <w:sz w:val="32"/>
          <w:szCs w:val="32"/>
        </w:rPr>
        <w:t>。</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政府性基金预算财政拨款本年收入完成年初预算</w:t>
      </w:r>
      <w:r>
        <w:rPr>
          <w:rFonts w:hint="eastAsia" w:ascii="仿宋_GB2312" w:hAnsi="Times New Roman" w:eastAsia="仿宋_GB2312" w:cs="DengXian-Regular"/>
          <w:sz w:val="32"/>
          <w:szCs w:val="32"/>
          <w:lang w:val="en-US" w:eastAsia="zh-CN"/>
        </w:rPr>
        <w:t>75.8</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342.21</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val="en-US" w:eastAsia="zh-CN"/>
        </w:rPr>
        <w:t>政府性基金支出减少</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61.9</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538.21</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val="en-US" w:eastAsia="zh-CN"/>
        </w:rPr>
        <w:t>政府性基金项目减少及项目资金结余</w:t>
      </w:r>
      <w:r>
        <w:rPr>
          <w:rFonts w:hint="eastAsia" w:ascii="仿宋_GB2312" w:hAnsi="Times New Roman" w:eastAsia="仿宋_GB2312" w:cs="DengXian-Regular"/>
          <w:sz w:val="32"/>
          <w:szCs w:val="32"/>
        </w:rPr>
        <w:t>。</w:t>
      </w: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2255.94</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556.46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24.7</w:t>
      </w:r>
      <w:r>
        <w:rPr>
          <w:rFonts w:hint="eastAsia" w:ascii="仿宋_GB2312" w:hAnsi="Times New Roman" w:eastAsia="仿宋_GB2312" w:cs="DengXian-Regular"/>
          <w:sz w:val="32"/>
          <w:szCs w:val="32"/>
        </w:rPr>
        <w:t>%，；公共安全类支出</w:t>
      </w:r>
      <w:r>
        <w:rPr>
          <w:rFonts w:hint="eastAsia" w:ascii="仿宋_GB2312" w:hAnsi="Times New Roman" w:eastAsia="仿宋_GB2312" w:cs="DengXian-Regular"/>
          <w:sz w:val="32"/>
          <w:szCs w:val="32"/>
          <w:lang w:val="en-US" w:eastAsia="zh-CN"/>
        </w:rPr>
        <w:t>5.09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0.2</w:t>
      </w:r>
      <w:r>
        <w:rPr>
          <w:rFonts w:hint="eastAsia" w:ascii="仿宋_GB2312" w:hAnsi="Times New Roman" w:eastAsia="仿宋_GB2312" w:cs="DengXian-Regular"/>
          <w:sz w:val="32"/>
          <w:szCs w:val="32"/>
        </w:rPr>
        <w:t>%；教育（类）支出</w:t>
      </w:r>
      <w:r>
        <w:rPr>
          <w:rFonts w:hint="eastAsia" w:ascii="仿宋_GB2312" w:hAnsi="Times New Roman" w:eastAsia="仿宋_GB2312" w:cs="DengXian-Regular"/>
          <w:sz w:val="32"/>
          <w:szCs w:val="32"/>
          <w:lang w:val="en-US" w:eastAsia="zh-CN"/>
        </w:rPr>
        <w:t>63.2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2.8</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文化旅游与传媒支出49.24万元，占2.2</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社会保障和就业（类）支出</w:t>
      </w:r>
      <w:r>
        <w:rPr>
          <w:rFonts w:hint="eastAsia" w:ascii="仿宋_GB2312" w:hAnsi="Times New Roman" w:eastAsia="仿宋_GB2312" w:cs="DengXian-Regular"/>
          <w:sz w:val="32"/>
          <w:szCs w:val="32"/>
          <w:lang w:val="en-US" w:eastAsia="zh-CN"/>
        </w:rPr>
        <w:t>50.73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2.2</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城乡社区</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1324.23</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58.7</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农林水支出144.68万元，占6.4%</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420" w:firstLineChars="200"/>
        <w:rPr>
          <w:rFonts w:hint="eastAsia" w:ascii="仿宋_GB2312" w:hAnsi="Times New Roman" w:eastAsia="仿宋_GB2312" w:cs="DengXian-Regular"/>
          <w:sz w:val="32"/>
          <w:szCs w:val="32"/>
        </w:rPr>
      </w:pPr>
      <w:r>
        <w:drawing>
          <wp:anchor distT="0" distB="0" distL="114300" distR="114300" simplePos="0" relativeHeight="437285888" behindDoc="0" locked="0" layoutInCell="1" allowOverlap="1">
            <wp:simplePos x="0" y="0"/>
            <wp:positionH relativeFrom="column">
              <wp:posOffset>688340</wp:posOffset>
            </wp:positionH>
            <wp:positionV relativeFrom="page">
              <wp:posOffset>1755775</wp:posOffset>
            </wp:positionV>
            <wp:extent cx="4038600" cy="2603500"/>
            <wp:effectExtent l="4445" t="4445" r="8255" b="8255"/>
            <wp:wrapTopAndBottom/>
            <wp:docPr id="3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left="420" w:left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1092.56</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442.2</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650.36</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仿宋_GB2312" w:hAnsi="Times New Roman" w:eastAsia="仿宋_GB2312" w:cs="DengXian-Regular"/>
          <w:sz w:val="32"/>
          <w:szCs w:val="32"/>
          <w:highlight w:val="yellow"/>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5.36</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65.4</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2.84</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val="en-US" w:eastAsia="zh-CN"/>
        </w:rPr>
        <w:t>严格控制“三公”经费，无公务接待费支出</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0.01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严格控制“三公”经费，无公务接待费支出，公车运行维护费减少</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w:t>
      </w:r>
      <w:r>
        <w:rPr>
          <w:rFonts w:hint="eastAsia" w:ascii="仿宋_GB2312" w:hAnsi="Times New Roman" w:eastAsia="仿宋_GB2312" w:cs="DengXian-Regular"/>
          <w:sz w:val="32"/>
          <w:szCs w:val="32"/>
          <w:lang w:val="en-US" w:eastAsia="zh-CN"/>
        </w:rPr>
        <w:t>因公出国（境）0人次，未产生</w:t>
      </w:r>
      <w:r>
        <w:rPr>
          <w:rFonts w:hint="eastAsia" w:ascii="仿宋_GB2312" w:hAnsi="Times New Roman" w:eastAsia="仿宋_GB2312" w:cs="DengXian-Regular"/>
          <w:sz w:val="32"/>
          <w:szCs w:val="32"/>
        </w:rPr>
        <w:t>因公出国（境）费</w:t>
      </w:r>
      <w:r>
        <w:rPr>
          <w:rFonts w:hint="eastAsia" w:ascii="仿宋_GB2312" w:hAnsi="Times New Roman" w:eastAsia="仿宋_GB2312" w:cs="DengXian-Regular"/>
          <w:sz w:val="32"/>
          <w:szCs w:val="32"/>
          <w:lang w:val="en-US" w:eastAsia="zh-CN"/>
        </w:rPr>
        <w:t>用</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与2018年决算支出持平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5.36</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0.04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控制公车运行维护费用，公车运行维护费用减少</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公车运行维护费减少</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 2019 年度</w:t>
      </w:r>
      <w:r>
        <w:rPr>
          <w:rFonts w:hint="eastAsia" w:ascii="仿宋_GB2312" w:hAnsi="Times New Roman" w:eastAsia="仿宋_GB2312" w:cs="DengXian-Regular"/>
          <w:sz w:val="32"/>
          <w:szCs w:val="32"/>
          <w:lang w:val="en-US" w:eastAsia="zh-CN"/>
        </w:rPr>
        <w:t>公务用车购置数量为0，</w:t>
      </w:r>
      <w:r>
        <w:rPr>
          <w:rFonts w:hint="eastAsia" w:ascii="仿宋_GB2312" w:hAnsi="Times New Roman" w:eastAsia="仿宋_GB2312" w:cs="DengXian-Regular"/>
          <w:sz w:val="32"/>
          <w:szCs w:val="32"/>
        </w:rPr>
        <w:t>未发生“公务用车购置”经费支出</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与2018年决算支出持平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0.04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控制公车运行维护费用，公车运行维护费用减少</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公车运行维护费减少</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w:t>
      </w:r>
      <w:r>
        <w:rPr>
          <w:rFonts w:hint="eastAsia" w:ascii="仿宋_GB2312" w:hAnsi="Times New Roman" w:eastAsia="仿宋_GB2312" w:cs="DengXian-Regular"/>
          <w:sz w:val="32"/>
          <w:szCs w:val="32"/>
          <w:lang w:val="en-US" w:eastAsia="zh-CN"/>
        </w:rPr>
        <w:t>公务接待0人、0批次，无</w:t>
      </w:r>
      <w:r>
        <w:rPr>
          <w:rFonts w:hint="eastAsia" w:ascii="仿宋_GB2312" w:hAnsi="Times New Roman" w:eastAsia="仿宋_GB2312" w:cs="DengXian-Regular"/>
          <w:sz w:val="32"/>
          <w:szCs w:val="32"/>
        </w:rPr>
        <w:t>公务接待</w:t>
      </w:r>
      <w:r>
        <w:rPr>
          <w:rFonts w:hint="eastAsia" w:ascii="仿宋_GB2312" w:hAnsi="Times New Roman" w:eastAsia="仿宋_GB2312" w:cs="DengXian-Regular"/>
          <w:sz w:val="32"/>
          <w:szCs w:val="32"/>
          <w:lang w:val="en-US" w:eastAsia="zh-CN"/>
        </w:rPr>
        <w:t>费用支出，与2018年决算支出持平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288.8</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。组织对2019年度</w:t>
      </w:r>
      <w:r>
        <w:rPr>
          <w:rFonts w:hint="eastAsia" w:ascii="仿宋_GB2312" w:hAnsi="仿宋_GB2312" w:eastAsia="仿宋_GB2312" w:cs="仿宋_GB2312"/>
          <w:sz w:val="32"/>
          <w:szCs w:val="32"/>
          <w:lang w:val="en-US" w:eastAsia="zh-CN"/>
        </w:rPr>
        <w:t>山前大道改建给水、污水工程及春节灯笼和景观树营造气氛工程2</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874.59</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val="en-US" w:eastAsia="zh-CN"/>
        </w:rPr>
        <w:t>辖区山场护林防火</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春节灯笼和景观树营造气氛</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24.21</w:t>
      </w:r>
      <w:r>
        <w:rPr>
          <w:rFonts w:hint="eastAsia" w:ascii="仿宋_GB2312" w:hAnsi="仿宋_GB2312" w:eastAsia="仿宋_GB2312" w:cs="仿宋_GB2312"/>
          <w:sz w:val="32"/>
          <w:szCs w:val="32"/>
        </w:rPr>
        <w:t>万元。从评价情况来看， 通过全面评价 2019 年</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 xml:space="preserve"> 个资金项目，形成真实、准确、清晰的绩效评价结论，为后期强化预算绩效管理提供重要依据，根据项目执行情况和项目绩效情况，本部门</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 xml:space="preserve"> 个项目绩效等级均为优秀。</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val="en-US" w:eastAsia="zh-CN"/>
        </w:rPr>
        <w:t>辖区山场护林防火</w:t>
      </w:r>
      <w:r>
        <w:rPr>
          <w:rFonts w:hint="eastAsia" w:ascii="仿宋_GB2312" w:hAnsi="仿宋_GB2312" w:eastAsia="仿宋_GB2312" w:cs="仿宋_GB2312"/>
          <w:sz w:val="32"/>
          <w:szCs w:val="32"/>
        </w:rPr>
        <w:t>项目及</w:t>
      </w:r>
      <w:r>
        <w:rPr>
          <w:rFonts w:hint="eastAsia" w:ascii="仿宋_GB2312" w:hAnsi="仿宋_GB2312" w:eastAsia="仿宋_GB2312" w:cs="仿宋_GB2312"/>
          <w:sz w:val="32"/>
          <w:szCs w:val="32"/>
          <w:lang w:val="en-US" w:eastAsia="zh-CN"/>
        </w:rPr>
        <w:t>春节灯笼和景观树营造气氛</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个项目绩效自评结果。</w:t>
      </w:r>
    </w:p>
    <w:p>
      <w:pPr>
        <w:numPr>
          <w:ilvl w:val="0"/>
          <w:numId w:val="4"/>
        </w:numPr>
        <w:adjustRightInd w:val="0"/>
        <w:snapToGrid w:val="0"/>
        <w:spacing w:line="580" w:lineRule="exact"/>
        <w:ind w:left="-10" w:leftChars="0" w:firstLine="640"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辖区山场护林防火</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辖区山场护林防火</w:t>
      </w:r>
      <w:r>
        <w:rPr>
          <w:rFonts w:hint="eastAsia" w:ascii="仿宋_GB2312" w:hAnsi="仿宋_GB2312" w:eastAsia="仿宋_GB2312" w:cs="仿宋_GB2312"/>
          <w:sz w:val="32"/>
          <w:szCs w:val="32"/>
        </w:rPr>
        <w:t>项目绩效自评得分为96 分。全年预算数为 8 万元，执行数为 8 万元，完成预算的 100%。项目绩效目标完成情况：</w:t>
      </w:r>
      <w:r>
        <w:rPr>
          <w:rFonts w:hint="eastAsia" w:ascii="仿宋_GB2312" w:hAnsi="仿宋_GB2312" w:eastAsia="仿宋_GB2312" w:cs="仿宋_GB2312"/>
          <w:sz w:val="32"/>
          <w:szCs w:val="32"/>
          <w:lang w:val="en-US" w:eastAsia="zh-CN"/>
        </w:rPr>
        <w:t>上寨乡</w:t>
      </w:r>
      <w:r>
        <w:rPr>
          <w:rFonts w:hint="eastAsia" w:ascii="仿宋_GB2312" w:hAnsi="仿宋_GB2312" w:eastAsia="仿宋_GB2312" w:cs="仿宋_GB2312"/>
          <w:sz w:val="32"/>
          <w:szCs w:val="32"/>
        </w:rPr>
        <w:t>加大封山防火宣传力度；</w:t>
      </w:r>
      <w:r>
        <w:rPr>
          <w:rFonts w:hint="eastAsia" w:ascii="仿宋_GB2312" w:hAnsi="仿宋_GB2312" w:eastAsia="仿宋_GB2312" w:cs="仿宋_GB2312"/>
          <w:sz w:val="32"/>
          <w:szCs w:val="32"/>
          <w:lang w:val="en-US" w:eastAsia="zh-CN"/>
        </w:rPr>
        <w:t>辖区内各村均安排</w:t>
      </w:r>
      <w:r>
        <w:rPr>
          <w:rFonts w:hint="eastAsia" w:ascii="仿宋_GB2312" w:hAnsi="仿宋_GB2312" w:eastAsia="仿宋_GB2312" w:cs="仿宋_GB2312"/>
          <w:sz w:val="32"/>
          <w:szCs w:val="32"/>
        </w:rPr>
        <w:t>村级防火人员 24 小时在岗在位，把守重点路口尤其是上山口，严格执行封山防火工作要求；备齐防火、救火工具、帐篷等物资；加强防火巡视、巡逻；引导、监督上坟人员文明祭扫。</w:t>
      </w:r>
    </w:p>
    <w:p>
      <w:pPr>
        <w:numPr>
          <w:ilvl w:val="0"/>
          <w:numId w:val="4"/>
        </w:numPr>
        <w:adjustRightInd w:val="0"/>
        <w:snapToGrid w:val="0"/>
        <w:spacing w:line="580" w:lineRule="exact"/>
        <w:ind w:left="-10" w:leftChars="0" w:firstLine="640"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辖区山场护林防火</w:t>
      </w:r>
      <w:r>
        <w:rPr>
          <w:rFonts w:hint="eastAsia" w:ascii="仿宋_GB2312" w:hAnsi="仿宋_GB2312" w:eastAsia="仿宋_GB2312" w:cs="仿宋_GB2312"/>
          <w:sz w:val="32"/>
          <w:szCs w:val="32"/>
        </w:rPr>
        <w:t>项目绩效自评综述：根据项目执行</w:t>
      </w:r>
    </w:p>
    <w:p>
      <w:pPr>
        <w:numPr>
          <w:ilvl w:val="0"/>
          <w:numId w:val="0"/>
        </w:numPr>
        <w:adjustRightInd w:val="0"/>
        <w:snapToGrid w:val="0"/>
        <w:spacing w:line="58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情况和项目绩效情况，给出总得分，指标体系设定满分 100 分，</w:t>
      </w:r>
    </w:p>
    <w:p>
      <w:pPr>
        <w:numPr>
          <w:ilvl w:val="0"/>
          <w:numId w:val="0"/>
        </w:numPr>
        <w:adjustRightInd w:val="0"/>
        <w:snapToGrid w:val="0"/>
        <w:spacing w:line="58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得出综合评价结论和项目综合绩效评价等级。项目综合绩效评价 分为 4 个等级：得分≥85 分为优秀；75≤得分＜85 分为良好；60≤得分＜75 分为一般；得分＜60 分为较差。</w:t>
      </w:r>
      <w:r>
        <w:rPr>
          <w:rFonts w:hint="eastAsia" w:ascii="仿宋_GB2312" w:hAnsi="仿宋_GB2312" w:eastAsia="仿宋_GB2312" w:cs="仿宋_GB2312"/>
          <w:sz w:val="32"/>
          <w:szCs w:val="32"/>
          <w:lang w:val="en-US" w:eastAsia="zh-CN"/>
        </w:rPr>
        <w:t>上寨乡辖区山场护林防火</w:t>
      </w:r>
      <w:r>
        <w:rPr>
          <w:rFonts w:hint="eastAsia" w:ascii="仿宋_GB2312" w:hAnsi="仿宋_GB2312" w:eastAsia="仿宋_GB2312" w:cs="仿宋_GB2312"/>
          <w:sz w:val="32"/>
          <w:szCs w:val="32"/>
        </w:rPr>
        <w:t>项目最终得分 96 分，等级为优秀。</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7"/>
        <w:gridCol w:w="1375"/>
        <w:gridCol w:w="1715"/>
        <w:gridCol w:w="3247"/>
        <w:gridCol w:w="6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一级</w:t>
            </w:r>
          </w:p>
          <w:p>
            <w:pPr>
              <w:spacing w:line="400" w:lineRule="exact"/>
              <w:jc w:val="center"/>
              <w:rPr>
                <w:rFonts w:ascii="仿宋" w:hAnsi="仿宋" w:eastAsia="仿宋" w:cs="仿宋_GB2312"/>
                <w:szCs w:val="21"/>
              </w:rPr>
            </w:pPr>
            <w:r>
              <w:rPr>
                <w:rFonts w:hint="eastAsia" w:ascii="仿宋" w:hAnsi="仿宋" w:eastAsia="仿宋" w:cs="仿宋_GB2312"/>
                <w:szCs w:val="21"/>
              </w:rPr>
              <w:t>指标</w:t>
            </w:r>
          </w:p>
        </w:tc>
        <w:tc>
          <w:tcPr>
            <w:tcW w:w="1375"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二级指标</w:t>
            </w:r>
          </w:p>
        </w:tc>
        <w:tc>
          <w:tcPr>
            <w:tcW w:w="1715"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三级</w:t>
            </w:r>
          </w:p>
          <w:p>
            <w:pPr>
              <w:spacing w:line="400" w:lineRule="exact"/>
              <w:jc w:val="center"/>
              <w:rPr>
                <w:rFonts w:ascii="仿宋" w:hAnsi="仿宋" w:eastAsia="仿宋" w:cs="仿宋_GB2312"/>
                <w:szCs w:val="21"/>
              </w:rPr>
            </w:pPr>
            <w:r>
              <w:rPr>
                <w:rFonts w:hint="eastAsia" w:ascii="仿宋" w:hAnsi="仿宋" w:eastAsia="仿宋" w:cs="仿宋_GB2312"/>
                <w:szCs w:val="21"/>
              </w:rPr>
              <w:t>指标</w:t>
            </w:r>
          </w:p>
        </w:tc>
        <w:tc>
          <w:tcPr>
            <w:tcW w:w="3247"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指标解释</w:t>
            </w:r>
          </w:p>
        </w:tc>
        <w:tc>
          <w:tcPr>
            <w:tcW w:w="693"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restart"/>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投入</w:t>
            </w:r>
          </w:p>
        </w:tc>
        <w:tc>
          <w:tcPr>
            <w:tcW w:w="1375" w:type="dxa"/>
            <w:vMerge w:val="restart"/>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项目立项</w:t>
            </w:r>
          </w:p>
        </w:tc>
        <w:tc>
          <w:tcPr>
            <w:tcW w:w="1715"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项目立项规范性</w:t>
            </w:r>
          </w:p>
        </w:tc>
        <w:tc>
          <w:tcPr>
            <w:tcW w:w="3247" w:type="dxa"/>
            <w:vAlign w:val="center"/>
          </w:tcPr>
          <w:p>
            <w:pPr>
              <w:spacing w:line="400" w:lineRule="exact"/>
              <w:ind w:firstLine="420" w:firstLineChars="200"/>
              <w:rPr>
                <w:rFonts w:ascii="仿宋" w:hAnsi="仿宋" w:eastAsia="仿宋" w:cs="仿宋_GB2312"/>
                <w:szCs w:val="21"/>
              </w:rPr>
            </w:pPr>
            <w:r>
              <w:rPr>
                <w:rFonts w:hint="eastAsia" w:ascii="仿宋" w:hAnsi="仿宋" w:eastAsia="仿宋" w:cs="仿宋_GB2312"/>
                <w:szCs w:val="21"/>
              </w:rPr>
              <w:t>项目的申请设立过程是否符合相关的要求。</w:t>
            </w:r>
          </w:p>
        </w:tc>
        <w:tc>
          <w:tcPr>
            <w:tcW w:w="693"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spacing w:line="400" w:lineRule="exact"/>
              <w:jc w:val="center"/>
              <w:rPr>
                <w:rFonts w:ascii="仿宋" w:hAnsi="仿宋" w:eastAsia="仿宋" w:cs="仿宋_GB2312"/>
                <w:szCs w:val="21"/>
              </w:rPr>
            </w:pPr>
          </w:p>
        </w:tc>
        <w:tc>
          <w:tcPr>
            <w:tcW w:w="1375" w:type="dxa"/>
            <w:vMerge w:val="continue"/>
            <w:vAlign w:val="center"/>
          </w:tcPr>
          <w:p>
            <w:pPr>
              <w:spacing w:line="400" w:lineRule="exact"/>
              <w:jc w:val="center"/>
              <w:rPr>
                <w:rFonts w:ascii="仿宋" w:hAnsi="仿宋" w:eastAsia="仿宋" w:cs="仿宋_GB2312"/>
                <w:szCs w:val="21"/>
              </w:rPr>
            </w:pPr>
          </w:p>
        </w:tc>
        <w:tc>
          <w:tcPr>
            <w:tcW w:w="1715"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绩效目标合理性</w:t>
            </w:r>
          </w:p>
        </w:tc>
        <w:tc>
          <w:tcPr>
            <w:tcW w:w="3247" w:type="dxa"/>
            <w:vAlign w:val="center"/>
          </w:tcPr>
          <w:p>
            <w:pPr>
              <w:spacing w:line="400" w:lineRule="exact"/>
              <w:ind w:firstLine="420" w:firstLineChars="200"/>
              <w:rPr>
                <w:rFonts w:ascii="仿宋" w:hAnsi="仿宋" w:eastAsia="仿宋" w:cs="仿宋_GB2312"/>
                <w:szCs w:val="21"/>
              </w:rPr>
            </w:pPr>
            <w:r>
              <w:rPr>
                <w:rFonts w:hint="eastAsia" w:ascii="仿宋" w:hAnsi="仿宋" w:eastAsia="仿宋" w:cs="仿宋_GB2312"/>
                <w:szCs w:val="21"/>
              </w:rPr>
              <w:t>项目设定的绩效目标是否依据充分、符合客观实际。</w:t>
            </w:r>
          </w:p>
        </w:tc>
        <w:tc>
          <w:tcPr>
            <w:tcW w:w="693"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spacing w:line="400" w:lineRule="exact"/>
              <w:jc w:val="center"/>
              <w:rPr>
                <w:rFonts w:ascii="仿宋" w:hAnsi="仿宋" w:eastAsia="仿宋" w:cs="仿宋_GB2312"/>
                <w:szCs w:val="21"/>
              </w:rPr>
            </w:pPr>
          </w:p>
        </w:tc>
        <w:tc>
          <w:tcPr>
            <w:tcW w:w="1375" w:type="dxa"/>
            <w:vMerge w:val="continue"/>
            <w:vAlign w:val="center"/>
          </w:tcPr>
          <w:p>
            <w:pPr>
              <w:spacing w:line="400" w:lineRule="exact"/>
              <w:jc w:val="center"/>
              <w:rPr>
                <w:rFonts w:ascii="仿宋" w:hAnsi="仿宋" w:eastAsia="仿宋" w:cs="仿宋_GB2312"/>
                <w:szCs w:val="21"/>
              </w:rPr>
            </w:pPr>
          </w:p>
        </w:tc>
        <w:tc>
          <w:tcPr>
            <w:tcW w:w="1715"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绩效目标明确性</w:t>
            </w:r>
          </w:p>
        </w:tc>
        <w:tc>
          <w:tcPr>
            <w:tcW w:w="3247" w:type="dxa"/>
            <w:vAlign w:val="center"/>
          </w:tcPr>
          <w:p>
            <w:pPr>
              <w:spacing w:line="400" w:lineRule="exact"/>
              <w:ind w:firstLine="420" w:firstLineChars="200"/>
              <w:rPr>
                <w:rFonts w:ascii="仿宋" w:hAnsi="仿宋" w:eastAsia="仿宋" w:cs="仿宋_GB2312"/>
                <w:szCs w:val="21"/>
              </w:rPr>
            </w:pPr>
            <w:r>
              <w:rPr>
                <w:rFonts w:hint="eastAsia" w:ascii="仿宋" w:hAnsi="仿宋" w:eastAsia="仿宋" w:cs="仿宋_GB2312"/>
                <w:szCs w:val="21"/>
              </w:rPr>
              <w:t>依据绩效目标设定的绩效指标是否清晰、细化、可衡量。</w:t>
            </w:r>
          </w:p>
        </w:tc>
        <w:tc>
          <w:tcPr>
            <w:tcW w:w="693"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spacing w:line="400" w:lineRule="exact"/>
              <w:jc w:val="center"/>
              <w:rPr>
                <w:rFonts w:ascii="仿宋" w:hAnsi="仿宋" w:eastAsia="仿宋" w:cs="仿宋_GB2312"/>
                <w:szCs w:val="21"/>
              </w:rPr>
            </w:pPr>
          </w:p>
        </w:tc>
        <w:tc>
          <w:tcPr>
            <w:tcW w:w="1375" w:type="dxa"/>
            <w:vMerge w:val="restart"/>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资金落实</w:t>
            </w:r>
          </w:p>
        </w:tc>
        <w:tc>
          <w:tcPr>
            <w:tcW w:w="1715"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资金到位率</w:t>
            </w:r>
          </w:p>
        </w:tc>
        <w:tc>
          <w:tcPr>
            <w:tcW w:w="3247" w:type="dxa"/>
            <w:vAlign w:val="center"/>
          </w:tcPr>
          <w:p>
            <w:pPr>
              <w:spacing w:line="400" w:lineRule="exact"/>
              <w:ind w:firstLine="420" w:firstLineChars="200"/>
              <w:rPr>
                <w:rFonts w:ascii="仿宋" w:hAnsi="仿宋" w:eastAsia="仿宋" w:cs="仿宋_GB2312"/>
                <w:szCs w:val="21"/>
              </w:rPr>
            </w:pPr>
            <w:r>
              <w:rPr>
                <w:rFonts w:hint="eastAsia" w:ascii="仿宋" w:hAnsi="仿宋" w:eastAsia="仿宋" w:cs="仿宋_GB2312"/>
                <w:szCs w:val="21"/>
              </w:rPr>
              <w:t>实际到位资金与计划投入资金比率。</w:t>
            </w:r>
          </w:p>
        </w:tc>
        <w:tc>
          <w:tcPr>
            <w:tcW w:w="693"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spacing w:line="400" w:lineRule="exact"/>
              <w:jc w:val="center"/>
              <w:rPr>
                <w:rFonts w:ascii="仿宋" w:hAnsi="仿宋" w:eastAsia="仿宋" w:cs="仿宋_GB2312"/>
                <w:szCs w:val="21"/>
              </w:rPr>
            </w:pPr>
          </w:p>
        </w:tc>
        <w:tc>
          <w:tcPr>
            <w:tcW w:w="1375" w:type="dxa"/>
            <w:vMerge w:val="continue"/>
            <w:vAlign w:val="center"/>
          </w:tcPr>
          <w:p>
            <w:pPr>
              <w:spacing w:line="400" w:lineRule="exact"/>
              <w:jc w:val="center"/>
              <w:rPr>
                <w:rFonts w:ascii="仿宋" w:hAnsi="仿宋" w:eastAsia="仿宋" w:cs="仿宋_GB2312"/>
                <w:szCs w:val="21"/>
              </w:rPr>
            </w:pPr>
          </w:p>
        </w:tc>
        <w:tc>
          <w:tcPr>
            <w:tcW w:w="1715"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到位及时率</w:t>
            </w:r>
          </w:p>
        </w:tc>
        <w:tc>
          <w:tcPr>
            <w:tcW w:w="3247" w:type="dxa"/>
            <w:vAlign w:val="center"/>
          </w:tcPr>
          <w:p>
            <w:pPr>
              <w:spacing w:line="400" w:lineRule="exact"/>
              <w:ind w:firstLine="420" w:firstLineChars="200"/>
              <w:rPr>
                <w:rFonts w:ascii="仿宋" w:hAnsi="仿宋" w:eastAsia="仿宋" w:cs="仿宋_GB2312"/>
                <w:szCs w:val="21"/>
              </w:rPr>
            </w:pPr>
            <w:r>
              <w:rPr>
                <w:rFonts w:hint="eastAsia" w:ascii="仿宋" w:hAnsi="仿宋" w:eastAsia="仿宋" w:cs="仿宋_GB2312"/>
                <w:szCs w:val="21"/>
              </w:rPr>
              <w:t>及时到位资金与应到位资金比率。</w:t>
            </w:r>
          </w:p>
        </w:tc>
        <w:tc>
          <w:tcPr>
            <w:tcW w:w="693"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restart"/>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过程</w:t>
            </w:r>
          </w:p>
        </w:tc>
        <w:tc>
          <w:tcPr>
            <w:tcW w:w="1375" w:type="dxa"/>
            <w:vMerge w:val="restart"/>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业务管理</w:t>
            </w:r>
          </w:p>
        </w:tc>
        <w:tc>
          <w:tcPr>
            <w:tcW w:w="1715"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管理制度健全性</w:t>
            </w:r>
          </w:p>
        </w:tc>
        <w:tc>
          <w:tcPr>
            <w:tcW w:w="3247" w:type="dxa"/>
            <w:vAlign w:val="center"/>
          </w:tcPr>
          <w:p>
            <w:pPr>
              <w:spacing w:line="400" w:lineRule="exact"/>
              <w:ind w:firstLine="420" w:firstLineChars="200"/>
              <w:rPr>
                <w:rFonts w:ascii="仿宋" w:hAnsi="仿宋" w:eastAsia="仿宋" w:cs="仿宋_GB2312"/>
                <w:szCs w:val="21"/>
              </w:rPr>
            </w:pPr>
            <w:r>
              <w:rPr>
                <w:rFonts w:hint="eastAsia" w:ascii="仿宋" w:hAnsi="仿宋" w:eastAsia="仿宋" w:cs="仿宋_GB2312"/>
                <w:szCs w:val="21"/>
              </w:rPr>
              <w:t>项目实施单位的业务管理制度是否健全。</w:t>
            </w:r>
          </w:p>
        </w:tc>
        <w:tc>
          <w:tcPr>
            <w:tcW w:w="693"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spacing w:line="400" w:lineRule="exact"/>
              <w:jc w:val="center"/>
              <w:rPr>
                <w:rFonts w:ascii="仿宋" w:hAnsi="仿宋" w:eastAsia="仿宋" w:cs="仿宋_GB2312"/>
                <w:szCs w:val="21"/>
              </w:rPr>
            </w:pPr>
          </w:p>
        </w:tc>
        <w:tc>
          <w:tcPr>
            <w:tcW w:w="1375" w:type="dxa"/>
            <w:vMerge w:val="continue"/>
            <w:vAlign w:val="center"/>
          </w:tcPr>
          <w:p>
            <w:pPr>
              <w:spacing w:line="400" w:lineRule="exact"/>
              <w:jc w:val="center"/>
              <w:rPr>
                <w:rFonts w:ascii="仿宋" w:hAnsi="仿宋" w:eastAsia="仿宋" w:cs="仿宋_GB2312"/>
                <w:szCs w:val="21"/>
              </w:rPr>
            </w:pPr>
          </w:p>
        </w:tc>
        <w:tc>
          <w:tcPr>
            <w:tcW w:w="1715"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制定执行有效性</w:t>
            </w:r>
          </w:p>
        </w:tc>
        <w:tc>
          <w:tcPr>
            <w:tcW w:w="3247" w:type="dxa"/>
            <w:vAlign w:val="center"/>
          </w:tcPr>
          <w:p>
            <w:pPr>
              <w:spacing w:line="400" w:lineRule="exact"/>
              <w:ind w:firstLine="420" w:firstLineChars="200"/>
              <w:rPr>
                <w:rFonts w:ascii="仿宋" w:hAnsi="仿宋" w:eastAsia="仿宋" w:cs="仿宋_GB2312"/>
                <w:szCs w:val="21"/>
              </w:rPr>
            </w:pPr>
            <w:r>
              <w:rPr>
                <w:rFonts w:hint="eastAsia" w:ascii="仿宋" w:hAnsi="仿宋" w:eastAsia="仿宋" w:cs="仿宋_GB2312"/>
                <w:szCs w:val="21"/>
              </w:rPr>
              <w:t>项目实施是否符合相关业务管理规定。</w:t>
            </w:r>
          </w:p>
        </w:tc>
        <w:tc>
          <w:tcPr>
            <w:tcW w:w="693"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spacing w:line="400" w:lineRule="exact"/>
              <w:jc w:val="center"/>
              <w:rPr>
                <w:rFonts w:ascii="仿宋" w:hAnsi="仿宋" w:eastAsia="仿宋" w:cs="仿宋_GB2312"/>
                <w:szCs w:val="21"/>
              </w:rPr>
            </w:pPr>
          </w:p>
        </w:tc>
        <w:tc>
          <w:tcPr>
            <w:tcW w:w="1375" w:type="dxa"/>
            <w:vMerge w:val="continue"/>
            <w:vAlign w:val="center"/>
          </w:tcPr>
          <w:p>
            <w:pPr>
              <w:spacing w:line="400" w:lineRule="exact"/>
              <w:jc w:val="center"/>
              <w:rPr>
                <w:rFonts w:ascii="仿宋" w:hAnsi="仿宋" w:eastAsia="仿宋" w:cs="仿宋_GB2312"/>
                <w:szCs w:val="21"/>
              </w:rPr>
            </w:pPr>
          </w:p>
        </w:tc>
        <w:tc>
          <w:tcPr>
            <w:tcW w:w="1715"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项目质量可控性</w:t>
            </w:r>
          </w:p>
        </w:tc>
        <w:tc>
          <w:tcPr>
            <w:tcW w:w="3247" w:type="dxa"/>
            <w:vAlign w:val="center"/>
          </w:tcPr>
          <w:p>
            <w:pPr>
              <w:spacing w:line="400" w:lineRule="exact"/>
              <w:ind w:firstLine="420" w:firstLineChars="200"/>
              <w:rPr>
                <w:rFonts w:ascii="仿宋" w:hAnsi="仿宋" w:eastAsia="仿宋" w:cs="仿宋_GB2312"/>
                <w:szCs w:val="21"/>
              </w:rPr>
            </w:pPr>
            <w:r>
              <w:rPr>
                <w:rFonts w:hint="eastAsia" w:ascii="仿宋" w:hAnsi="仿宋" w:eastAsia="仿宋" w:cs="仿宋_GB2312"/>
                <w:szCs w:val="21"/>
              </w:rPr>
              <w:t>项目实施单位是否为达到项目治疗要求采取了必要措施。</w:t>
            </w:r>
          </w:p>
        </w:tc>
        <w:tc>
          <w:tcPr>
            <w:tcW w:w="693"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spacing w:line="400" w:lineRule="exact"/>
              <w:jc w:val="center"/>
              <w:rPr>
                <w:rFonts w:ascii="仿宋" w:hAnsi="仿宋" w:eastAsia="仿宋" w:cs="仿宋_GB2312"/>
                <w:szCs w:val="21"/>
              </w:rPr>
            </w:pPr>
          </w:p>
        </w:tc>
        <w:tc>
          <w:tcPr>
            <w:tcW w:w="1375" w:type="dxa"/>
            <w:vMerge w:val="restart"/>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财务管理</w:t>
            </w:r>
          </w:p>
        </w:tc>
        <w:tc>
          <w:tcPr>
            <w:tcW w:w="1715"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管理制度健全性</w:t>
            </w:r>
          </w:p>
        </w:tc>
        <w:tc>
          <w:tcPr>
            <w:tcW w:w="3247" w:type="dxa"/>
            <w:vAlign w:val="center"/>
          </w:tcPr>
          <w:p>
            <w:pPr>
              <w:spacing w:line="400" w:lineRule="exact"/>
              <w:ind w:firstLine="420" w:firstLineChars="200"/>
              <w:rPr>
                <w:rFonts w:ascii="仿宋" w:hAnsi="仿宋" w:eastAsia="仿宋" w:cs="仿宋_GB2312"/>
                <w:szCs w:val="21"/>
              </w:rPr>
            </w:pPr>
            <w:r>
              <w:rPr>
                <w:rFonts w:hint="eastAsia" w:ascii="仿宋" w:hAnsi="仿宋" w:eastAsia="仿宋" w:cs="仿宋_GB2312"/>
                <w:szCs w:val="21"/>
              </w:rPr>
              <w:t>项目实施单位的财务管理制度是否健全。</w:t>
            </w:r>
          </w:p>
        </w:tc>
        <w:tc>
          <w:tcPr>
            <w:tcW w:w="693"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spacing w:line="400" w:lineRule="exact"/>
              <w:jc w:val="center"/>
              <w:rPr>
                <w:rFonts w:ascii="仿宋" w:hAnsi="仿宋" w:eastAsia="仿宋" w:cs="仿宋_GB2312"/>
                <w:szCs w:val="21"/>
              </w:rPr>
            </w:pPr>
          </w:p>
        </w:tc>
        <w:tc>
          <w:tcPr>
            <w:tcW w:w="1375" w:type="dxa"/>
            <w:vMerge w:val="continue"/>
            <w:vAlign w:val="center"/>
          </w:tcPr>
          <w:p>
            <w:pPr>
              <w:spacing w:line="400" w:lineRule="exact"/>
              <w:jc w:val="center"/>
              <w:rPr>
                <w:rFonts w:ascii="仿宋" w:hAnsi="仿宋" w:eastAsia="仿宋" w:cs="仿宋_GB2312"/>
                <w:szCs w:val="21"/>
              </w:rPr>
            </w:pPr>
          </w:p>
        </w:tc>
        <w:tc>
          <w:tcPr>
            <w:tcW w:w="1715"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资金使用合规性</w:t>
            </w:r>
          </w:p>
        </w:tc>
        <w:tc>
          <w:tcPr>
            <w:tcW w:w="3247" w:type="dxa"/>
            <w:vAlign w:val="center"/>
          </w:tcPr>
          <w:p>
            <w:pPr>
              <w:spacing w:line="400" w:lineRule="exact"/>
              <w:ind w:firstLine="420" w:firstLineChars="200"/>
              <w:rPr>
                <w:rFonts w:ascii="仿宋" w:hAnsi="仿宋" w:eastAsia="仿宋" w:cs="仿宋_GB2312"/>
                <w:szCs w:val="21"/>
              </w:rPr>
            </w:pPr>
            <w:r>
              <w:rPr>
                <w:rFonts w:hint="eastAsia" w:ascii="仿宋" w:hAnsi="仿宋" w:eastAsia="仿宋" w:cs="仿宋_GB2312"/>
                <w:szCs w:val="21"/>
              </w:rPr>
              <w:t>项目资金使用是否符合相关财务管理制度规定。</w:t>
            </w:r>
          </w:p>
        </w:tc>
        <w:tc>
          <w:tcPr>
            <w:tcW w:w="693"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spacing w:line="400" w:lineRule="exact"/>
              <w:jc w:val="center"/>
              <w:rPr>
                <w:rFonts w:ascii="仿宋" w:hAnsi="仿宋" w:eastAsia="仿宋" w:cs="仿宋_GB2312"/>
                <w:szCs w:val="21"/>
              </w:rPr>
            </w:pPr>
          </w:p>
        </w:tc>
        <w:tc>
          <w:tcPr>
            <w:tcW w:w="1375" w:type="dxa"/>
            <w:vMerge w:val="continue"/>
            <w:vAlign w:val="center"/>
          </w:tcPr>
          <w:p>
            <w:pPr>
              <w:spacing w:line="400" w:lineRule="exact"/>
              <w:jc w:val="center"/>
              <w:rPr>
                <w:rFonts w:ascii="仿宋" w:hAnsi="仿宋" w:eastAsia="仿宋" w:cs="仿宋_GB2312"/>
                <w:szCs w:val="21"/>
              </w:rPr>
            </w:pPr>
          </w:p>
        </w:tc>
        <w:tc>
          <w:tcPr>
            <w:tcW w:w="1715"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财务监控有效性</w:t>
            </w:r>
          </w:p>
        </w:tc>
        <w:tc>
          <w:tcPr>
            <w:tcW w:w="3247" w:type="dxa"/>
            <w:vAlign w:val="center"/>
          </w:tcPr>
          <w:p>
            <w:pPr>
              <w:spacing w:line="400" w:lineRule="exact"/>
              <w:ind w:firstLine="420" w:firstLineChars="200"/>
              <w:rPr>
                <w:rFonts w:ascii="仿宋" w:hAnsi="仿宋" w:eastAsia="仿宋" w:cs="仿宋_GB2312"/>
                <w:szCs w:val="21"/>
              </w:rPr>
            </w:pPr>
            <w:r>
              <w:rPr>
                <w:rFonts w:hint="eastAsia" w:ascii="仿宋" w:hAnsi="仿宋" w:eastAsia="仿宋" w:cs="仿宋_GB2312"/>
                <w:szCs w:val="21"/>
              </w:rPr>
              <w:t>项目实施单位是否为保障资金安全、规范运行而采取了必要监控措施。</w:t>
            </w:r>
          </w:p>
        </w:tc>
        <w:tc>
          <w:tcPr>
            <w:tcW w:w="693"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restart"/>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产出</w:t>
            </w:r>
          </w:p>
        </w:tc>
        <w:tc>
          <w:tcPr>
            <w:tcW w:w="1375" w:type="dxa"/>
            <w:vMerge w:val="restart"/>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项目产出</w:t>
            </w:r>
          </w:p>
        </w:tc>
        <w:tc>
          <w:tcPr>
            <w:tcW w:w="1715"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实际完成率</w:t>
            </w:r>
          </w:p>
        </w:tc>
        <w:tc>
          <w:tcPr>
            <w:tcW w:w="3247" w:type="dxa"/>
            <w:vAlign w:val="center"/>
          </w:tcPr>
          <w:p>
            <w:pPr>
              <w:spacing w:line="400" w:lineRule="exact"/>
              <w:ind w:firstLine="420" w:firstLineChars="200"/>
              <w:rPr>
                <w:rFonts w:ascii="仿宋" w:hAnsi="仿宋" w:eastAsia="仿宋" w:cs="仿宋_GB2312"/>
                <w:szCs w:val="21"/>
              </w:rPr>
            </w:pPr>
            <w:r>
              <w:rPr>
                <w:rFonts w:hint="eastAsia" w:ascii="仿宋" w:hAnsi="仿宋" w:eastAsia="仿宋" w:cs="仿宋_GB2312"/>
                <w:szCs w:val="21"/>
              </w:rPr>
              <w:t>项目实际产出数与计划产出数的比率。</w:t>
            </w:r>
          </w:p>
        </w:tc>
        <w:tc>
          <w:tcPr>
            <w:tcW w:w="693" w:type="dxa"/>
            <w:vAlign w:val="center"/>
          </w:tcPr>
          <w:p>
            <w:pPr>
              <w:spacing w:line="400" w:lineRule="exact"/>
              <w:jc w:val="center"/>
              <w:rPr>
                <w:rFonts w:hint="eastAsia" w:ascii="仿宋" w:hAnsi="仿宋" w:eastAsia="仿宋" w:cs="仿宋_GB2312"/>
                <w:szCs w:val="21"/>
                <w:lang w:eastAsia="zh-CN"/>
              </w:rPr>
            </w:pPr>
            <w:r>
              <w:rPr>
                <w:rFonts w:hint="eastAsia" w:ascii="仿宋" w:hAnsi="仿宋" w:eastAsia="仿宋" w:cs="仿宋_GB2312"/>
                <w:szCs w:val="21"/>
              </w:rPr>
              <w:t>1</w:t>
            </w:r>
            <w:r>
              <w:rPr>
                <w:rFonts w:hint="eastAsia" w:ascii="仿宋" w:hAnsi="仿宋" w:eastAsia="仿宋" w:cs="仿宋_GB2312"/>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spacing w:line="400" w:lineRule="exact"/>
              <w:jc w:val="center"/>
              <w:rPr>
                <w:rFonts w:ascii="仿宋" w:hAnsi="仿宋" w:eastAsia="仿宋" w:cs="仿宋_GB2312"/>
                <w:szCs w:val="21"/>
              </w:rPr>
            </w:pPr>
          </w:p>
        </w:tc>
        <w:tc>
          <w:tcPr>
            <w:tcW w:w="1375" w:type="dxa"/>
            <w:vMerge w:val="continue"/>
            <w:vAlign w:val="center"/>
          </w:tcPr>
          <w:p>
            <w:pPr>
              <w:spacing w:line="400" w:lineRule="exact"/>
              <w:jc w:val="center"/>
              <w:rPr>
                <w:rFonts w:ascii="仿宋" w:hAnsi="仿宋" w:eastAsia="仿宋" w:cs="仿宋_GB2312"/>
                <w:szCs w:val="21"/>
              </w:rPr>
            </w:pPr>
          </w:p>
        </w:tc>
        <w:tc>
          <w:tcPr>
            <w:tcW w:w="1715"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完成及时率</w:t>
            </w:r>
          </w:p>
        </w:tc>
        <w:tc>
          <w:tcPr>
            <w:tcW w:w="3247" w:type="dxa"/>
            <w:vAlign w:val="center"/>
          </w:tcPr>
          <w:p>
            <w:pPr>
              <w:spacing w:line="400" w:lineRule="exact"/>
              <w:ind w:firstLine="420" w:firstLineChars="200"/>
              <w:rPr>
                <w:rFonts w:ascii="仿宋" w:hAnsi="仿宋" w:eastAsia="仿宋" w:cs="仿宋_GB2312"/>
                <w:szCs w:val="21"/>
              </w:rPr>
            </w:pPr>
            <w:r>
              <w:rPr>
                <w:rFonts w:hint="eastAsia" w:ascii="仿宋" w:hAnsi="仿宋" w:eastAsia="仿宋" w:cs="仿宋_GB2312"/>
                <w:szCs w:val="21"/>
              </w:rPr>
              <w:t>项目按时完成时间与计划完成时间比率。</w:t>
            </w:r>
          </w:p>
        </w:tc>
        <w:tc>
          <w:tcPr>
            <w:tcW w:w="693"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spacing w:line="400" w:lineRule="exact"/>
              <w:jc w:val="center"/>
              <w:rPr>
                <w:rFonts w:ascii="仿宋" w:hAnsi="仿宋" w:eastAsia="仿宋" w:cs="仿宋_GB2312"/>
                <w:szCs w:val="21"/>
              </w:rPr>
            </w:pPr>
          </w:p>
        </w:tc>
        <w:tc>
          <w:tcPr>
            <w:tcW w:w="1375" w:type="dxa"/>
            <w:vMerge w:val="continue"/>
            <w:vAlign w:val="center"/>
          </w:tcPr>
          <w:p>
            <w:pPr>
              <w:spacing w:line="400" w:lineRule="exact"/>
              <w:jc w:val="center"/>
              <w:rPr>
                <w:rFonts w:ascii="仿宋" w:hAnsi="仿宋" w:eastAsia="仿宋" w:cs="仿宋_GB2312"/>
                <w:szCs w:val="21"/>
              </w:rPr>
            </w:pPr>
          </w:p>
        </w:tc>
        <w:tc>
          <w:tcPr>
            <w:tcW w:w="1715"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质量达标率</w:t>
            </w:r>
          </w:p>
        </w:tc>
        <w:tc>
          <w:tcPr>
            <w:tcW w:w="3247" w:type="dxa"/>
            <w:vAlign w:val="center"/>
          </w:tcPr>
          <w:p>
            <w:pPr>
              <w:spacing w:line="400" w:lineRule="exact"/>
              <w:ind w:firstLine="420" w:firstLineChars="200"/>
              <w:rPr>
                <w:rFonts w:ascii="仿宋" w:hAnsi="仿宋" w:eastAsia="仿宋" w:cs="仿宋_GB2312"/>
                <w:szCs w:val="21"/>
              </w:rPr>
            </w:pPr>
            <w:r>
              <w:rPr>
                <w:rFonts w:hint="eastAsia" w:ascii="仿宋" w:hAnsi="仿宋" w:eastAsia="仿宋" w:cs="仿宋_GB2312"/>
                <w:szCs w:val="21"/>
              </w:rPr>
              <w:t>项目完成的质量达标产出数与实际产出数的比率。</w:t>
            </w:r>
          </w:p>
        </w:tc>
        <w:tc>
          <w:tcPr>
            <w:tcW w:w="693"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效果</w:t>
            </w:r>
          </w:p>
        </w:tc>
        <w:tc>
          <w:tcPr>
            <w:tcW w:w="1375"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项目效益</w:t>
            </w:r>
          </w:p>
        </w:tc>
        <w:tc>
          <w:tcPr>
            <w:tcW w:w="1715" w:type="dxa"/>
            <w:vAlign w:val="center"/>
          </w:tcPr>
          <w:p>
            <w:pPr>
              <w:spacing w:line="400" w:lineRule="exact"/>
              <w:jc w:val="center"/>
              <w:rPr>
                <w:rFonts w:ascii="仿宋" w:hAnsi="仿宋" w:eastAsia="仿宋" w:cs="仿宋_GB2312"/>
                <w:szCs w:val="21"/>
              </w:rPr>
            </w:pPr>
            <w:r>
              <w:rPr>
                <w:rFonts w:hint="eastAsia" w:ascii="仿宋" w:hAnsi="仿宋" w:eastAsia="仿宋" w:cs="仿宋_GB2312"/>
                <w:szCs w:val="21"/>
              </w:rPr>
              <w:t>受益群众满意度</w:t>
            </w:r>
          </w:p>
        </w:tc>
        <w:tc>
          <w:tcPr>
            <w:tcW w:w="3247" w:type="dxa"/>
            <w:vAlign w:val="center"/>
          </w:tcPr>
          <w:p>
            <w:pPr>
              <w:spacing w:line="400" w:lineRule="exact"/>
              <w:ind w:firstLine="420" w:firstLineChars="200"/>
              <w:rPr>
                <w:rFonts w:ascii="仿宋" w:hAnsi="仿宋" w:eastAsia="仿宋" w:cs="仿宋_GB2312"/>
                <w:szCs w:val="21"/>
              </w:rPr>
            </w:pPr>
            <w:r>
              <w:rPr>
                <w:rFonts w:hint="eastAsia" w:ascii="仿宋" w:hAnsi="仿宋" w:eastAsia="仿宋" w:cs="仿宋_GB2312"/>
                <w:szCs w:val="21"/>
              </w:rPr>
              <w:t>受益对象对项目实施效果的满意程度。</w:t>
            </w:r>
          </w:p>
        </w:tc>
        <w:tc>
          <w:tcPr>
            <w:tcW w:w="693" w:type="dxa"/>
            <w:vAlign w:val="center"/>
          </w:tcPr>
          <w:p>
            <w:pPr>
              <w:spacing w:line="400" w:lineRule="exact"/>
              <w:jc w:val="center"/>
              <w:rPr>
                <w:rFonts w:hint="eastAsia" w:ascii="仿宋" w:hAnsi="仿宋" w:eastAsia="仿宋" w:cs="仿宋_GB2312"/>
                <w:szCs w:val="21"/>
                <w:lang w:eastAsia="zh-CN"/>
              </w:rPr>
            </w:pPr>
            <w:r>
              <w:rPr>
                <w:rFonts w:hint="eastAsia" w:ascii="仿宋" w:hAnsi="仿宋" w:eastAsia="仿宋" w:cs="仿宋_GB2312"/>
                <w:szCs w:val="21"/>
              </w:rPr>
              <w:t>1</w:t>
            </w:r>
            <w:r>
              <w:rPr>
                <w:rFonts w:hint="eastAsia" w:ascii="仿宋" w:hAnsi="仿宋" w:eastAsia="仿宋" w:cs="仿宋_GB2312"/>
                <w:szCs w:val="21"/>
                <w:lang w:val="en-US" w:eastAsia="zh-CN"/>
              </w:rPr>
              <w:t>5</w:t>
            </w:r>
          </w:p>
        </w:tc>
      </w:tr>
    </w:tbl>
    <w:p>
      <w:pPr>
        <w:numPr>
          <w:ilvl w:val="0"/>
          <w:numId w:val="0"/>
        </w:numPr>
        <w:adjustRightInd w:val="0"/>
        <w:snapToGrid w:val="0"/>
        <w:spacing w:line="580" w:lineRule="exact"/>
        <w:rPr>
          <w:rFonts w:hint="eastAsia" w:ascii="仿宋_GB2312" w:hAnsi="仿宋_GB2312" w:eastAsia="仿宋_GB2312" w:cs="仿宋_GB2312"/>
          <w:sz w:val="32"/>
          <w:szCs w:val="32"/>
        </w:rPr>
      </w:pPr>
    </w:p>
    <w:p>
      <w:pPr>
        <w:numPr>
          <w:ilvl w:val="0"/>
          <w:numId w:val="4"/>
        </w:numPr>
        <w:adjustRightInd w:val="0"/>
        <w:snapToGrid w:val="0"/>
        <w:spacing w:line="580" w:lineRule="exact"/>
        <w:ind w:left="-10" w:leftChars="0" w:firstLine="640"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春节灯笼和景观树营造气氛</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春节灯笼和景观树营造气氛</w:t>
      </w:r>
      <w:r>
        <w:rPr>
          <w:rFonts w:hint="eastAsia" w:ascii="仿宋_GB2312" w:hAnsi="仿宋_GB2312" w:eastAsia="仿宋_GB2312" w:cs="仿宋_GB2312"/>
          <w:sz w:val="32"/>
          <w:szCs w:val="32"/>
        </w:rPr>
        <w:t>项目绩效自评得分为9</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24.21</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24.21</w:t>
      </w:r>
      <w:r>
        <w:rPr>
          <w:rFonts w:hint="eastAsia" w:ascii="仿宋_GB2312" w:hAnsi="仿宋_GB2312" w:eastAsia="仿宋_GB2312" w:cs="仿宋_GB2312"/>
          <w:sz w:val="32"/>
          <w:szCs w:val="32"/>
        </w:rPr>
        <w:t>万元，完成预算的 100%。</w:t>
      </w:r>
      <w:r>
        <w:rPr>
          <w:rFonts w:hint="eastAsia" w:ascii="仿宋_GB2312" w:hAnsi="仿宋_GB2312" w:eastAsia="仿宋_GB2312" w:cs="仿宋_GB2312"/>
          <w:sz w:val="32"/>
          <w:szCs w:val="32"/>
          <w:lang w:val="en-US" w:eastAsia="zh-CN"/>
        </w:rPr>
        <w:t>项目绩效目标完成情况：该项目为我乡营造了浓厚的气氛，梅花山前大道和横井线沿线环境，增加节日气氛，能更好的吸引假日游客。</w:t>
      </w:r>
    </w:p>
    <w:p>
      <w:pPr>
        <w:numPr>
          <w:ilvl w:val="0"/>
          <w:numId w:val="4"/>
        </w:numPr>
        <w:adjustRightInd w:val="0"/>
        <w:snapToGrid w:val="0"/>
        <w:spacing w:line="580" w:lineRule="exact"/>
        <w:ind w:left="-10" w:leftChars="0" w:firstLine="640" w:firstLineChars="0"/>
        <w:rPr>
          <w:rFonts w:ascii="仿宋_GB2312" w:hAnsi="仿宋_GB2312" w:eastAsia="仿宋_GB2312" w:cs="仿宋_GB2312"/>
          <w:b/>
          <w:bCs/>
          <w:sz w:val="32"/>
          <w:szCs w:val="32"/>
        </w:rPr>
      </w:pPr>
      <w:r>
        <w:rPr>
          <w:rFonts w:hint="eastAsia" w:ascii="仿宋_GB2312" w:hAnsi="仿宋_GB2312" w:eastAsia="仿宋_GB2312" w:cs="仿宋_GB2312"/>
          <w:sz w:val="32"/>
          <w:szCs w:val="32"/>
          <w:lang w:val="en-US" w:eastAsia="zh-CN"/>
        </w:rPr>
        <w:t>春节灯笼和景观树营造气氛</w:t>
      </w:r>
      <w:r>
        <w:rPr>
          <w:rFonts w:hint="eastAsia" w:ascii="仿宋_GB2312" w:hAnsi="仿宋_GB2312" w:eastAsia="仿宋_GB2312" w:cs="仿宋_GB2312"/>
          <w:sz w:val="32"/>
          <w:szCs w:val="32"/>
        </w:rPr>
        <w:t>项目自评综述：根据项目执行情况和项目绩效情况，给出总得分，指标体系设定满分 100 分，得出综合评价结论和项目综合绩效评价等级。项目综合绩效评价 分为 4 个等级：得分≥85 分为优秀；75≤得分＜85 分为良好；60≤得分＜75 分为一般；得分＜60 分为较差。</w:t>
      </w:r>
      <w:r>
        <w:rPr>
          <w:rFonts w:hint="eastAsia" w:ascii="仿宋_GB2312" w:hAnsi="仿宋_GB2312" w:eastAsia="仿宋_GB2312" w:cs="仿宋_GB2312"/>
          <w:sz w:val="32"/>
          <w:szCs w:val="32"/>
          <w:lang w:val="en-US" w:eastAsia="zh-CN"/>
        </w:rPr>
        <w:t>上寨乡春节灯笼和景观树营造气氛</w:t>
      </w:r>
      <w:r>
        <w:rPr>
          <w:rFonts w:hint="eastAsia" w:ascii="仿宋_GB2312" w:hAnsi="仿宋_GB2312" w:eastAsia="仿宋_GB2312" w:cs="仿宋_GB2312"/>
          <w:sz w:val="32"/>
          <w:szCs w:val="32"/>
        </w:rPr>
        <w:t>项目最终得分 9</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分，等级为优秀。</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7"/>
        <w:gridCol w:w="1515"/>
        <w:gridCol w:w="1575"/>
        <w:gridCol w:w="2970"/>
        <w:gridCol w:w="9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07" w:type="dxa"/>
            <w:vAlign w:val="center"/>
          </w:tcPr>
          <w:p>
            <w:pPr>
              <w:spacing w:line="600" w:lineRule="exact"/>
              <w:jc w:val="center"/>
              <w:rPr>
                <w:rFonts w:ascii="仿宋" w:hAnsi="仿宋" w:eastAsia="仿宋" w:cs="仿宋_GB2312"/>
                <w:sz w:val="21"/>
                <w:szCs w:val="21"/>
              </w:rPr>
            </w:pPr>
            <w:r>
              <w:rPr>
                <w:rFonts w:hint="eastAsia" w:ascii="仿宋" w:hAnsi="仿宋" w:eastAsia="仿宋" w:cs="仿宋_GB2312"/>
                <w:sz w:val="21"/>
                <w:szCs w:val="21"/>
              </w:rPr>
              <w:t>一级</w:t>
            </w:r>
          </w:p>
          <w:p>
            <w:pPr>
              <w:spacing w:line="600" w:lineRule="exact"/>
              <w:jc w:val="center"/>
              <w:rPr>
                <w:rFonts w:ascii="仿宋" w:hAnsi="仿宋" w:eastAsia="仿宋" w:cs="仿宋_GB2312"/>
                <w:sz w:val="21"/>
                <w:szCs w:val="21"/>
              </w:rPr>
            </w:pPr>
            <w:r>
              <w:rPr>
                <w:rFonts w:hint="eastAsia" w:ascii="仿宋" w:hAnsi="仿宋" w:eastAsia="仿宋" w:cs="仿宋_GB2312"/>
                <w:sz w:val="21"/>
                <w:szCs w:val="21"/>
              </w:rPr>
              <w:t>指标</w:t>
            </w:r>
          </w:p>
        </w:tc>
        <w:tc>
          <w:tcPr>
            <w:tcW w:w="1515" w:type="dxa"/>
            <w:vAlign w:val="center"/>
          </w:tcPr>
          <w:p>
            <w:pPr>
              <w:spacing w:line="600" w:lineRule="exact"/>
              <w:jc w:val="center"/>
              <w:rPr>
                <w:rFonts w:ascii="仿宋" w:hAnsi="仿宋" w:eastAsia="仿宋" w:cs="仿宋_GB2312"/>
                <w:sz w:val="21"/>
                <w:szCs w:val="21"/>
              </w:rPr>
            </w:pPr>
            <w:r>
              <w:rPr>
                <w:rFonts w:hint="eastAsia" w:ascii="仿宋" w:hAnsi="仿宋" w:eastAsia="仿宋" w:cs="仿宋_GB2312"/>
                <w:sz w:val="21"/>
                <w:szCs w:val="21"/>
              </w:rPr>
              <w:t>二级指标</w:t>
            </w:r>
          </w:p>
        </w:tc>
        <w:tc>
          <w:tcPr>
            <w:tcW w:w="1575" w:type="dxa"/>
            <w:vAlign w:val="center"/>
          </w:tcPr>
          <w:p>
            <w:pPr>
              <w:spacing w:line="600" w:lineRule="exact"/>
              <w:jc w:val="center"/>
              <w:rPr>
                <w:rFonts w:ascii="仿宋" w:hAnsi="仿宋" w:eastAsia="仿宋" w:cs="仿宋_GB2312"/>
                <w:sz w:val="21"/>
                <w:szCs w:val="21"/>
              </w:rPr>
            </w:pPr>
            <w:r>
              <w:rPr>
                <w:rFonts w:hint="eastAsia" w:ascii="仿宋" w:hAnsi="仿宋" w:eastAsia="仿宋" w:cs="仿宋_GB2312"/>
                <w:sz w:val="21"/>
                <w:szCs w:val="21"/>
              </w:rPr>
              <w:t>三级</w:t>
            </w:r>
          </w:p>
          <w:p>
            <w:pPr>
              <w:spacing w:line="600" w:lineRule="exact"/>
              <w:jc w:val="center"/>
              <w:rPr>
                <w:rFonts w:ascii="仿宋" w:hAnsi="仿宋" w:eastAsia="仿宋" w:cs="仿宋_GB2312"/>
                <w:sz w:val="21"/>
                <w:szCs w:val="21"/>
              </w:rPr>
            </w:pPr>
            <w:r>
              <w:rPr>
                <w:rFonts w:hint="eastAsia" w:ascii="仿宋" w:hAnsi="仿宋" w:eastAsia="仿宋" w:cs="仿宋_GB2312"/>
                <w:sz w:val="21"/>
                <w:szCs w:val="21"/>
              </w:rPr>
              <w:t>指标</w:t>
            </w:r>
          </w:p>
        </w:tc>
        <w:tc>
          <w:tcPr>
            <w:tcW w:w="2970" w:type="dxa"/>
            <w:vAlign w:val="center"/>
          </w:tcPr>
          <w:p>
            <w:pPr>
              <w:spacing w:line="600" w:lineRule="exact"/>
              <w:jc w:val="center"/>
              <w:rPr>
                <w:rFonts w:ascii="仿宋" w:hAnsi="仿宋" w:eastAsia="仿宋" w:cs="仿宋_GB2312"/>
                <w:sz w:val="21"/>
                <w:szCs w:val="21"/>
              </w:rPr>
            </w:pPr>
            <w:r>
              <w:rPr>
                <w:rFonts w:hint="eastAsia" w:ascii="仿宋" w:hAnsi="仿宋" w:eastAsia="仿宋" w:cs="仿宋_GB2312"/>
                <w:sz w:val="21"/>
                <w:szCs w:val="21"/>
              </w:rPr>
              <w:t>指标解释</w:t>
            </w:r>
          </w:p>
        </w:tc>
        <w:tc>
          <w:tcPr>
            <w:tcW w:w="970" w:type="dxa"/>
            <w:vAlign w:val="center"/>
          </w:tcPr>
          <w:p>
            <w:pPr>
              <w:spacing w:line="600" w:lineRule="exact"/>
              <w:jc w:val="center"/>
              <w:rPr>
                <w:rFonts w:ascii="仿宋" w:hAnsi="仿宋" w:eastAsia="仿宋"/>
                <w:sz w:val="21"/>
                <w:szCs w:val="21"/>
              </w:rPr>
            </w:pPr>
            <w:r>
              <w:rPr>
                <w:rFonts w:hint="eastAsia" w:ascii="仿宋" w:hAnsi="仿宋" w:eastAsia="仿宋" w:cs="仿宋_GB2312"/>
                <w:sz w:val="21"/>
                <w:szCs w:val="21"/>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restart"/>
            <w:vAlign w:val="center"/>
          </w:tcPr>
          <w:p>
            <w:pPr>
              <w:spacing w:line="600" w:lineRule="exact"/>
              <w:jc w:val="center"/>
              <w:rPr>
                <w:rFonts w:ascii="仿宋" w:hAnsi="仿宋" w:eastAsia="仿宋" w:cs="仿宋_GB2312"/>
                <w:sz w:val="21"/>
                <w:szCs w:val="21"/>
              </w:rPr>
            </w:pPr>
            <w:r>
              <w:rPr>
                <w:rFonts w:hint="eastAsia" w:ascii="仿宋" w:hAnsi="仿宋" w:eastAsia="仿宋" w:cs="仿宋_GB2312"/>
                <w:sz w:val="21"/>
                <w:szCs w:val="21"/>
              </w:rPr>
              <w:t>投入</w:t>
            </w:r>
          </w:p>
        </w:tc>
        <w:tc>
          <w:tcPr>
            <w:tcW w:w="1515" w:type="dxa"/>
            <w:vMerge w:val="restart"/>
            <w:vAlign w:val="center"/>
          </w:tcPr>
          <w:p>
            <w:pPr>
              <w:spacing w:line="400" w:lineRule="exact"/>
              <w:jc w:val="center"/>
              <w:rPr>
                <w:rFonts w:ascii="仿宋" w:hAnsi="仿宋" w:eastAsia="仿宋" w:cs="仿宋_GB2312"/>
                <w:sz w:val="21"/>
                <w:szCs w:val="21"/>
              </w:rPr>
            </w:pPr>
            <w:r>
              <w:rPr>
                <w:rFonts w:hint="eastAsia" w:ascii="仿宋" w:hAnsi="仿宋" w:eastAsia="仿宋" w:cs="仿宋_GB2312"/>
                <w:sz w:val="21"/>
                <w:szCs w:val="21"/>
              </w:rPr>
              <w:t>项目立项</w:t>
            </w:r>
          </w:p>
        </w:tc>
        <w:tc>
          <w:tcPr>
            <w:tcW w:w="1575" w:type="dxa"/>
            <w:vAlign w:val="center"/>
          </w:tcPr>
          <w:p>
            <w:pPr>
              <w:spacing w:line="400" w:lineRule="exact"/>
              <w:jc w:val="center"/>
              <w:rPr>
                <w:rFonts w:ascii="仿宋" w:hAnsi="仿宋" w:eastAsia="仿宋" w:cs="仿宋_GB2312"/>
                <w:sz w:val="21"/>
                <w:szCs w:val="21"/>
              </w:rPr>
            </w:pPr>
            <w:r>
              <w:rPr>
                <w:rFonts w:hint="eastAsia" w:ascii="仿宋" w:hAnsi="仿宋" w:eastAsia="仿宋" w:cs="仿宋_GB2312"/>
                <w:sz w:val="21"/>
                <w:szCs w:val="21"/>
              </w:rPr>
              <w:t>项目立项规范性</w:t>
            </w:r>
          </w:p>
        </w:tc>
        <w:tc>
          <w:tcPr>
            <w:tcW w:w="2970" w:type="dxa"/>
            <w:vAlign w:val="center"/>
          </w:tcPr>
          <w:p>
            <w:pPr>
              <w:ind w:firstLine="420" w:firstLineChars="200"/>
              <w:rPr>
                <w:rFonts w:ascii="仿宋" w:hAnsi="仿宋" w:eastAsia="仿宋" w:cs="仿宋_GB2312"/>
                <w:sz w:val="21"/>
                <w:szCs w:val="21"/>
              </w:rPr>
            </w:pPr>
            <w:r>
              <w:rPr>
                <w:rFonts w:hint="eastAsia" w:ascii="仿宋" w:hAnsi="仿宋" w:eastAsia="仿宋" w:cs="仿宋_GB2312"/>
                <w:sz w:val="21"/>
                <w:szCs w:val="21"/>
              </w:rPr>
              <w:t>项目的申请设立过程是否符合相关的要求。</w:t>
            </w:r>
          </w:p>
        </w:tc>
        <w:tc>
          <w:tcPr>
            <w:tcW w:w="970" w:type="dxa"/>
            <w:vAlign w:val="center"/>
          </w:tcPr>
          <w:p>
            <w:pPr>
              <w:spacing w:line="600" w:lineRule="exact"/>
              <w:jc w:val="center"/>
              <w:rPr>
                <w:rFonts w:ascii="仿宋" w:hAnsi="仿宋" w:eastAsia="仿宋"/>
                <w:sz w:val="21"/>
                <w:szCs w:val="21"/>
              </w:rPr>
            </w:pPr>
            <w:r>
              <w:rPr>
                <w:rFonts w:hint="eastAsia" w:ascii="仿宋" w:hAnsi="仿宋" w:eastAsia="仿宋" w:cs="仿宋_GB2312"/>
                <w:sz w:val="21"/>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spacing w:line="600" w:lineRule="exact"/>
              <w:jc w:val="center"/>
              <w:rPr>
                <w:rFonts w:ascii="仿宋" w:hAnsi="仿宋" w:eastAsia="仿宋" w:cs="仿宋_GB2312"/>
                <w:sz w:val="21"/>
                <w:szCs w:val="21"/>
              </w:rPr>
            </w:pPr>
          </w:p>
        </w:tc>
        <w:tc>
          <w:tcPr>
            <w:tcW w:w="1515" w:type="dxa"/>
            <w:vMerge w:val="continue"/>
            <w:vAlign w:val="center"/>
          </w:tcPr>
          <w:p>
            <w:pPr>
              <w:spacing w:line="400" w:lineRule="exact"/>
              <w:jc w:val="center"/>
              <w:rPr>
                <w:rFonts w:ascii="仿宋" w:hAnsi="仿宋" w:eastAsia="仿宋" w:cs="仿宋_GB2312"/>
                <w:sz w:val="21"/>
                <w:szCs w:val="21"/>
              </w:rPr>
            </w:pPr>
          </w:p>
        </w:tc>
        <w:tc>
          <w:tcPr>
            <w:tcW w:w="1575" w:type="dxa"/>
            <w:vAlign w:val="center"/>
          </w:tcPr>
          <w:p>
            <w:pPr>
              <w:spacing w:line="400" w:lineRule="exact"/>
              <w:jc w:val="center"/>
              <w:rPr>
                <w:rFonts w:ascii="仿宋" w:hAnsi="仿宋" w:eastAsia="仿宋" w:cs="仿宋_GB2312"/>
                <w:sz w:val="21"/>
                <w:szCs w:val="21"/>
              </w:rPr>
            </w:pPr>
            <w:r>
              <w:rPr>
                <w:rFonts w:hint="eastAsia" w:ascii="仿宋" w:hAnsi="仿宋" w:eastAsia="仿宋" w:cs="仿宋_GB2312"/>
                <w:sz w:val="21"/>
                <w:szCs w:val="21"/>
              </w:rPr>
              <w:t>绩效目标合理性</w:t>
            </w:r>
          </w:p>
        </w:tc>
        <w:tc>
          <w:tcPr>
            <w:tcW w:w="2970" w:type="dxa"/>
            <w:vAlign w:val="center"/>
          </w:tcPr>
          <w:p>
            <w:pPr>
              <w:ind w:firstLine="420" w:firstLineChars="200"/>
              <w:rPr>
                <w:rFonts w:ascii="仿宋" w:hAnsi="仿宋" w:eastAsia="仿宋" w:cs="仿宋_GB2312"/>
                <w:sz w:val="21"/>
                <w:szCs w:val="21"/>
              </w:rPr>
            </w:pPr>
            <w:r>
              <w:rPr>
                <w:rFonts w:hint="eastAsia" w:ascii="仿宋" w:hAnsi="仿宋" w:eastAsia="仿宋" w:cs="仿宋_GB2312"/>
                <w:sz w:val="21"/>
                <w:szCs w:val="21"/>
              </w:rPr>
              <w:t>项目设定的绩效目标是否依据充分、符合客观实际。</w:t>
            </w:r>
          </w:p>
        </w:tc>
        <w:tc>
          <w:tcPr>
            <w:tcW w:w="970" w:type="dxa"/>
            <w:vAlign w:val="center"/>
          </w:tcPr>
          <w:p>
            <w:pPr>
              <w:spacing w:line="600" w:lineRule="exact"/>
              <w:jc w:val="center"/>
              <w:rPr>
                <w:rFonts w:ascii="仿宋" w:hAnsi="仿宋" w:eastAsia="仿宋"/>
                <w:sz w:val="21"/>
                <w:szCs w:val="21"/>
              </w:rPr>
            </w:pPr>
            <w:r>
              <w:rPr>
                <w:rFonts w:hint="eastAsia" w:ascii="仿宋" w:hAnsi="仿宋" w:eastAsia="仿宋" w:cs="仿宋_GB2312"/>
                <w:sz w:val="21"/>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spacing w:line="600" w:lineRule="exact"/>
              <w:jc w:val="center"/>
              <w:rPr>
                <w:rFonts w:ascii="仿宋" w:hAnsi="仿宋" w:eastAsia="仿宋" w:cs="仿宋_GB2312"/>
                <w:sz w:val="28"/>
                <w:szCs w:val="28"/>
              </w:rPr>
            </w:pPr>
          </w:p>
        </w:tc>
        <w:tc>
          <w:tcPr>
            <w:tcW w:w="1515" w:type="dxa"/>
            <w:vMerge w:val="continue"/>
            <w:vAlign w:val="center"/>
          </w:tcPr>
          <w:p>
            <w:pPr>
              <w:spacing w:line="400" w:lineRule="exact"/>
              <w:jc w:val="center"/>
              <w:rPr>
                <w:rFonts w:ascii="仿宋" w:hAnsi="仿宋" w:eastAsia="仿宋" w:cs="仿宋_GB2312"/>
                <w:sz w:val="28"/>
                <w:szCs w:val="28"/>
              </w:rPr>
            </w:pPr>
          </w:p>
        </w:tc>
        <w:tc>
          <w:tcPr>
            <w:tcW w:w="1575" w:type="dxa"/>
            <w:vAlign w:val="center"/>
          </w:tcPr>
          <w:p>
            <w:pPr>
              <w:spacing w:line="400" w:lineRule="exact"/>
              <w:jc w:val="center"/>
              <w:rPr>
                <w:rFonts w:ascii="仿宋" w:hAnsi="仿宋" w:eastAsia="仿宋" w:cs="仿宋_GB2312"/>
                <w:sz w:val="21"/>
                <w:szCs w:val="21"/>
              </w:rPr>
            </w:pPr>
            <w:r>
              <w:rPr>
                <w:rFonts w:hint="eastAsia" w:ascii="仿宋" w:hAnsi="仿宋" w:eastAsia="仿宋" w:cs="仿宋_GB2312"/>
                <w:sz w:val="21"/>
                <w:szCs w:val="21"/>
              </w:rPr>
              <w:t>绩效目标明确性</w:t>
            </w:r>
          </w:p>
        </w:tc>
        <w:tc>
          <w:tcPr>
            <w:tcW w:w="2970" w:type="dxa"/>
            <w:vAlign w:val="center"/>
          </w:tcPr>
          <w:p>
            <w:pPr>
              <w:ind w:firstLine="420" w:firstLineChars="200"/>
              <w:rPr>
                <w:rFonts w:ascii="仿宋" w:hAnsi="仿宋" w:eastAsia="仿宋" w:cs="仿宋_GB2312"/>
                <w:sz w:val="21"/>
                <w:szCs w:val="21"/>
              </w:rPr>
            </w:pPr>
            <w:r>
              <w:rPr>
                <w:rFonts w:hint="eastAsia" w:ascii="仿宋" w:hAnsi="仿宋" w:eastAsia="仿宋" w:cs="仿宋_GB2312"/>
                <w:sz w:val="21"/>
                <w:szCs w:val="21"/>
              </w:rPr>
              <w:t>依据绩效目标设定的绩效指标是否清晰、细化、可衡量。</w:t>
            </w:r>
          </w:p>
        </w:tc>
        <w:tc>
          <w:tcPr>
            <w:tcW w:w="970" w:type="dxa"/>
            <w:vAlign w:val="center"/>
          </w:tcPr>
          <w:p>
            <w:pPr>
              <w:spacing w:line="600" w:lineRule="exact"/>
              <w:jc w:val="center"/>
              <w:rPr>
                <w:rFonts w:ascii="仿宋" w:hAnsi="仿宋" w:eastAsia="仿宋"/>
                <w:sz w:val="21"/>
                <w:szCs w:val="21"/>
              </w:rPr>
            </w:pPr>
            <w:r>
              <w:rPr>
                <w:rFonts w:hint="eastAsia" w:ascii="仿宋" w:hAnsi="仿宋" w:eastAsia="仿宋" w:cs="仿宋_GB2312"/>
                <w:sz w:val="21"/>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spacing w:line="600" w:lineRule="exact"/>
              <w:jc w:val="center"/>
              <w:rPr>
                <w:rFonts w:ascii="仿宋" w:hAnsi="仿宋" w:eastAsia="仿宋" w:cs="仿宋_GB2312"/>
                <w:sz w:val="28"/>
                <w:szCs w:val="28"/>
              </w:rPr>
            </w:pPr>
          </w:p>
        </w:tc>
        <w:tc>
          <w:tcPr>
            <w:tcW w:w="1515" w:type="dxa"/>
            <w:vMerge w:val="restart"/>
            <w:vAlign w:val="center"/>
          </w:tcPr>
          <w:p>
            <w:pPr>
              <w:spacing w:line="400" w:lineRule="exact"/>
              <w:jc w:val="center"/>
              <w:rPr>
                <w:rFonts w:ascii="仿宋" w:hAnsi="仿宋" w:eastAsia="仿宋" w:cs="仿宋_GB2312"/>
                <w:sz w:val="28"/>
                <w:szCs w:val="28"/>
              </w:rPr>
            </w:pPr>
            <w:r>
              <w:rPr>
                <w:rFonts w:hint="eastAsia" w:ascii="仿宋" w:hAnsi="仿宋" w:eastAsia="仿宋" w:cs="仿宋_GB2312"/>
                <w:sz w:val="28"/>
                <w:szCs w:val="28"/>
              </w:rPr>
              <w:t>资金落实</w:t>
            </w:r>
          </w:p>
        </w:tc>
        <w:tc>
          <w:tcPr>
            <w:tcW w:w="1575" w:type="dxa"/>
            <w:vAlign w:val="center"/>
          </w:tcPr>
          <w:p>
            <w:pPr>
              <w:spacing w:line="400" w:lineRule="exact"/>
              <w:jc w:val="center"/>
              <w:rPr>
                <w:rFonts w:ascii="仿宋" w:hAnsi="仿宋" w:eastAsia="仿宋" w:cs="仿宋_GB2312"/>
                <w:sz w:val="21"/>
                <w:szCs w:val="21"/>
              </w:rPr>
            </w:pPr>
            <w:r>
              <w:rPr>
                <w:rFonts w:hint="eastAsia" w:ascii="仿宋" w:hAnsi="仿宋" w:eastAsia="仿宋" w:cs="仿宋_GB2312"/>
                <w:sz w:val="21"/>
                <w:szCs w:val="21"/>
              </w:rPr>
              <w:t>资金到位率</w:t>
            </w:r>
          </w:p>
        </w:tc>
        <w:tc>
          <w:tcPr>
            <w:tcW w:w="2970" w:type="dxa"/>
            <w:vAlign w:val="center"/>
          </w:tcPr>
          <w:p>
            <w:pPr>
              <w:ind w:firstLine="420" w:firstLineChars="200"/>
              <w:rPr>
                <w:rFonts w:ascii="仿宋" w:hAnsi="仿宋" w:eastAsia="仿宋" w:cs="仿宋_GB2312"/>
                <w:sz w:val="21"/>
                <w:szCs w:val="21"/>
              </w:rPr>
            </w:pPr>
            <w:r>
              <w:rPr>
                <w:rFonts w:hint="eastAsia" w:ascii="仿宋" w:hAnsi="仿宋" w:eastAsia="仿宋" w:cs="仿宋_GB2312"/>
                <w:sz w:val="21"/>
                <w:szCs w:val="21"/>
              </w:rPr>
              <w:t>实际到位资金与计划投入资金比率。</w:t>
            </w:r>
          </w:p>
        </w:tc>
        <w:tc>
          <w:tcPr>
            <w:tcW w:w="970" w:type="dxa"/>
            <w:vAlign w:val="center"/>
          </w:tcPr>
          <w:p>
            <w:pPr>
              <w:spacing w:line="600" w:lineRule="exact"/>
              <w:jc w:val="center"/>
              <w:rPr>
                <w:rFonts w:ascii="仿宋" w:hAnsi="仿宋" w:eastAsia="仿宋"/>
                <w:sz w:val="21"/>
                <w:szCs w:val="21"/>
              </w:rPr>
            </w:pPr>
            <w:r>
              <w:rPr>
                <w:rFonts w:hint="eastAsia" w:ascii="仿宋" w:hAnsi="仿宋" w:eastAsia="仿宋" w:cs="仿宋_GB2312"/>
                <w:sz w:val="21"/>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spacing w:line="600" w:lineRule="exact"/>
              <w:jc w:val="center"/>
              <w:rPr>
                <w:rFonts w:ascii="仿宋" w:hAnsi="仿宋" w:eastAsia="仿宋" w:cs="仿宋_GB2312"/>
                <w:sz w:val="28"/>
                <w:szCs w:val="28"/>
              </w:rPr>
            </w:pPr>
          </w:p>
        </w:tc>
        <w:tc>
          <w:tcPr>
            <w:tcW w:w="1515" w:type="dxa"/>
            <w:vMerge w:val="continue"/>
            <w:vAlign w:val="center"/>
          </w:tcPr>
          <w:p>
            <w:pPr>
              <w:spacing w:line="400" w:lineRule="exact"/>
              <w:jc w:val="center"/>
              <w:rPr>
                <w:rFonts w:ascii="仿宋" w:hAnsi="仿宋" w:eastAsia="仿宋" w:cs="仿宋_GB2312"/>
                <w:sz w:val="28"/>
                <w:szCs w:val="28"/>
              </w:rPr>
            </w:pPr>
          </w:p>
        </w:tc>
        <w:tc>
          <w:tcPr>
            <w:tcW w:w="1575" w:type="dxa"/>
            <w:vAlign w:val="center"/>
          </w:tcPr>
          <w:p>
            <w:pPr>
              <w:spacing w:line="400" w:lineRule="exact"/>
              <w:jc w:val="center"/>
              <w:rPr>
                <w:rFonts w:ascii="仿宋" w:hAnsi="仿宋" w:eastAsia="仿宋" w:cs="仿宋_GB2312"/>
                <w:sz w:val="21"/>
                <w:szCs w:val="21"/>
              </w:rPr>
            </w:pPr>
            <w:r>
              <w:rPr>
                <w:rFonts w:hint="eastAsia" w:ascii="仿宋" w:hAnsi="仿宋" w:eastAsia="仿宋" w:cs="仿宋_GB2312"/>
                <w:sz w:val="21"/>
                <w:szCs w:val="21"/>
              </w:rPr>
              <w:t>到位及时率</w:t>
            </w:r>
          </w:p>
        </w:tc>
        <w:tc>
          <w:tcPr>
            <w:tcW w:w="2970" w:type="dxa"/>
            <w:vAlign w:val="center"/>
          </w:tcPr>
          <w:p>
            <w:pPr>
              <w:ind w:firstLine="420" w:firstLineChars="200"/>
              <w:rPr>
                <w:rFonts w:ascii="仿宋" w:hAnsi="仿宋" w:eastAsia="仿宋" w:cs="仿宋_GB2312"/>
                <w:sz w:val="21"/>
                <w:szCs w:val="21"/>
              </w:rPr>
            </w:pPr>
            <w:r>
              <w:rPr>
                <w:rFonts w:hint="eastAsia" w:ascii="仿宋" w:hAnsi="仿宋" w:eastAsia="仿宋" w:cs="仿宋_GB2312"/>
                <w:sz w:val="21"/>
                <w:szCs w:val="21"/>
              </w:rPr>
              <w:t>及时到位资金与应到位资金比率。</w:t>
            </w:r>
          </w:p>
        </w:tc>
        <w:tc>
          <w:tcPr>
            <w:tcW w:w="970" w:type="dxa"/>
            <w:vAlign w:val="center"/>
          </w:tcPr>
          <w:p>
            <w:pPr>
              <w:spacing w:line="600" w:lineRule="exact"/>
              <w:jc w:val="center"/>
              <w:rPr>
                <w:rFonts w:ascii="仿宋" w:hAnsi="仿宋" w:eastAsia="仿宋"/>
                <w:sz w:val="21"/>
                <w:szCs w:val="21"/>
              </w:rPr>
            </w:pPr>
            <w:r>
              <w:rPr>
                <w:rFonts w:hint="eastAsia" w:ascii="仿宋" w:hAnsi="仿宋" w:eastAsia="仿宋" w:cs="仿宋_GB2312"/>
                <w:sz w:val="21"/>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restart"/>
            <w:vAlign w:val="center"/>
          </w:tcPr>
          <w:p>
            <w:pPr>
              <w:spacing w:line="600" w:lineRule="exact"/>
              <w:jc w:val="center"/>
              <w:rPr>
                <w:rFonts w:ascii="仿宋" w:hAnsi="仿宋" w:eastAsia="仿宋" w:cs="仿宋_GB2312"/>
                <w:sz w:val="28"/>
                <w:szCs w:val="28"/>
              </w:rPr>
            </w:pPr>
            <w:r>
              <w:rPr>
                <w:rFonts w:hint="eastAsia" w:ascii="仿宋" w:hAnsi="仿宋" w:eastAsia="仿宋" w:cs="仿宋_GB2312"/>
                <w:sz w:val="28"/>
                <w:szCs w:val="28"/>
              </w:rPr>
              <w:t>过程</w:t>
            </w:r>
          </w:p>
        </w:tc>
        <w:tc>
          <w:tcPr>
            <w:tcW w:w="1515" w:type="dxa"/>
            <w:vMerge w:val="restart"/>
            <w:vAlign w:val="center"/>
          </w:tcPr>
          <w:p>
            <w:pPr>
              <w:spacing w:line="400" w:lineRule="exact"/>
              <w:jc w:val="center"/>
              <w:rPr>
                <w:rFonts w:ascii="仿宋" w:hAnsi="仿宋" w:eastAsia="仿宋" w:cs="仿宋_GB2312"/>
                <w:sz w:val="28"/>
                <w:szCs w:val="28"/>
              </w:rPr>
            </w:pPr>
            <w:r>
              <w:rPr>
                <w:rFonts w:hint="eastAsia" w:ascii="仿宋" w:hAnsi="仿宋" w:eastAsia="仿宋" w:cs="仿宋_GB2312"/>
                <w:sz w:val="28"/>
                <w:szCs w:val="28"/>
              </w:rPr>
              <w:t>业务管理</w:t>
            </w:r>
          </w:p>
        </w:tc>
        <w:tc>
          <w:tcPr>
            <w:tcW w:w="1575" w:type="dxa"/>
            <w:vAlign w:val="center"/>
          </w:tcPr>
          <w:p>
            <w:pPr>
              <w:spacing w:line="400" w:lineRule="exact"/>
              <w:jc w:val="center"/>
              <w:rPr>
                <w:rFonts w:ascii="仿宋" w:hAnsi="仿宋" w:eastAsia="仿宋" w:cs="仿宋_GB2312"/>
                <w:sz w:val="21"/>
                <w:szCs w:val="21"/>
              </w:rPr>
            </w:pPr>
            <w:r>
              <w:rPr>
                <w:rFonts w:hint="eastAsia" w:ascii="仿宋" w:hAnsi="仿宋" w:eastAsia="仿宋" w:cs="仿宋_GB2312"/>
                <w:sz w:val="21"/>
                <w:szCs w:val="21"/>
              </w:rPr>
              <w:t>管理制度健全性</w:t>
            </w:r>
          </w:p>
        </w:tc>
        <w:tc>
          <w:tcPr>
            <w:tcW w:w="2970" w:type="dxa"/>
            <w:vAlign w:val="center"/>
          </w:tcPr>
          <w:p>
            <w:pPr>
              <w:ind w:firstLine="420" w:firstLineChars="200"/>
              <w:rPr>
                <w:rFonts w:ascii="仿宋" w:hAnsi="仿宋" w:eastAsia="仿宋" w:cs="仿宋_GB2312"/>
                <w:sz w:val="21"/>
                <w:szCs w:val="21"/>
              </w:rPr>
            </w:pPr>
            <w:r>
              <w:rPr>
                <w:rFonts w:hint="eastAsia" w:ascii="仿宋" w:hAnsi="仿宋" w:eastAsia="仿宋" w:cs="仿宋_GB2312"/>
                <w:sz w:val="21"/>
                <w:szCs w:val="21"/>
              </w:rPr>
              <w:t>项目实施单位的业务管理制度是否健全。</w:t>
            </w:r>
          </w:p>
        </w:tc>
        <w:tc>
          <w:tcPr>
            <w:tcW w:w="970" w:type="dxa"/>
            <w:vAlign w:val="center"/>
          </w:tcPr>
          <w:p>
            <w:pPr>
              <w:spacing w:line="600" w:lineRule="exact"/>
              <w:jc w:val="center"/>
              <w:rPr>
                <w:rFonts w:ascii="仿宋" w:hAnsi="仿宋" w:eastAsia="仿宋"/>
                <w:sz w:val="21"/>
                <w:szCs w:val="21"/>
              </w:rPr>
            </w:pPr>
            <w:r>
              <w:rPr>
                <w:rFonts w:hint="eastAsia" w:ascii="仿宋" w:hAnsi="仿宋" w:eastAsia="仿宋" w:cs="仿宋_GB2312"/>
                <w:sz w:val="21"/>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spacing w:line="600" w:lineRule="exact"/>
              <w:jc w:val="center"/>
              <w:rPr>
                <w:rFonts w:ascii="仿宋" w:hAnsi="仿宋" w:eastAsia="仿宋" w:cs="仿宋_GB2312"/>
                <w:sz w:val="28"/>
                <w:szCs w:val="28"/>
              </w:rPr>
            </w:pPr>
          </w:p>
        </w:tc>
        <w:tc>
          <w:tcPr>
            <w:tcW w:w="1515" w:type="dxa"/>
            <w:vMerge w:val="continue"/>
            <w:vAlign w:val="center"/>
          </w:tcPr>
          <w:p>
            <w:pPr>
              <w:spacing w:line="400" w:lineRule="exact"/>
              <w:jc w:val="center"/>
              <w:rPr>
                <w:rFonts w:ascii="仿宋" w:hAnsi="仿宋" w:eastAsia="仿宋" w:cs="仿宋_GB2312"/>
                <w:sz w:val="28"/>
                <w:szCs w:val="28"/>
              </w:rPr>
            </w:pPr>
          </w:p>
        </w:tc>
        <w:tc>
          <w:tcPr>
            <w:tcW w:w="1575" w:type="dxa"/>
            <w:vAlign w:val="center"/>
          </w:tcPr>
          <w:p>
            <w:pPr>
              <w:spacing w:line="400" w:lineRule="exact"/>
              <w:jc w:val="center"/>
              <w:rPr>
                <w:rFonts w:ascii="仿宋" w:hAnsi="仿宋" w:eastAsia="仿宋" w:cs="仿宋_GB2312"/>
                <w:sz w:val="21"/>
                <w:szCs w:val="21"/>
              </w:rPr>
            </w:pPr>
            <w:r>
              <w:rPr>
                <w:rFonts w:hint="eastAsia" w:ascii="仿宋" w:hAnsi="仿宋" w:eastAsia="仿宋" w:cs="仿宋_GB2312"/>
                <w:sz w:val="21"/>
                <w:szCs w:val="21"/>
              </w:rPr>
              <w:t>制定执行有效性</w:t>
            </w:r>
          </w:p>
        </w:tc>
        <w:tc>
          <w:tcPr>
            <w:tcW w:w="2970" w:type="dxa"/>
            <w:vAlign w:val="center"/>
          </w:tcPr>
          <w:p>
            <w:pPr>
              <w:ind w:firstLine="420" w:firstLineChars="200"/>
              <w:rPr>
                <w:rFonts w:ascii="仿宋" w:hAnsi="仿宋" w:eastAsia="仿宋" w:cs="仿宋_GB2312"/>
                <w:sz w:val="21"/>
                <w:szCs w:val="21"/>
              </w:rPr>
            </w:pPr>
            <w:r>
              <w:rPr>
                <w:rFonts w:hint="eastAsia" w:ascii="仿宋" w:hAnsi="仿宋" w:eastAsia="仿宋" w:cs="仿宋_GB2312"/>
                <w:sz w:val="21"/>
                <w:szCs w:val="21"/>
              </w:rPr>
              <w:t>项目实施是否符合相关业务管理规定。</w:t>
            </w:r>
          </w:p>
        </w:tc>
        <w:tc>
          <w:tcPr>
            <w:tcW w:w="970" w:type="dxa"/>
            <w:vAlign w:val="center"/>
          </w:tcPr>
          <w:p>
            <w:pPr>
              <w:spacing w:line="600" w:lineRule="exact"/>
              <w:jc w:val="center"/>
              <w:rPr>
                <w:rFonts w:ascii="仿宋" w:hAnsi="仿宋" w:eastAsia="仿宋"/>
                <w:sz w:val="21"/>
                <w:szCs w:val="21"/>
              </w:rPr>
            </w:pPr>
            <w:r>
              <w:rPr>
                <w:rFonts w:hint="eastAsia" w:ascii="仿宋" w:hAnsi="仿宋" w:eastAsia="仿宋" w:cs="仿宋_GB2312"/>
                <w:sz w:val="21"/>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spacing w:line="600" w:lineRule="exact"/>
              <w:jc w:val="center"/>
              <w:rPr>
                <w:rFonts w:ascii="仿宋" w:hAnsi="仿宋" w:eastAsia="仿宋" w:cs="仿宋_GB2312"/>
                <w:sz w:val="28"/>
                <w:szCs w:val="28"/>
              </w:rPr>
            </w:pPr>
          </w:p>
        </w:tc>
        <w:tc>
          <w:tcPr>
            <w:tcW w:w="1515" w:type="dxa"/>
            <w:vMerge w:val="continue"/>
            <w:vAlign w:val="center"/>
          </w:tcPr>
          <w:p>
            <w:pPr>
              <w:spacing w:line="600" w:lineRule="exact"/>
              <w:jc w:val="center"/>
              <w:rPr>
                <w:rFonts w:ascii="仿宋" w:hAnsi="仿宋" w:eastAsia="仿宋" w:cs="仿宋_GB2312"/>
                <w:sz w:val="28"/>
                <w:szCs w:val="28"/>
              </w:rPr>
            </w:pPr>
          </w:p>
        </w:tc>
        <w:tc>
          <w:tcPr>
            <w:tcW w:w="1575" w:type="dxa"/>
            <w:vAlign w:val="center"/>
          </w:tcPr>
          <w:p>
            <w:pPr>
              <w:spacing w:line="400" w:lineRule="exact"/>
              <w:jc w:val="center"/>
              <w:rPr>
                <w:rFonts w:ascii="仿宋" w:hAnsi="仿宋" w:eastAsia="仿宋" w:cs="仿宋_GB2312"/>
                <w:sz w:val="21"/>
                <w:szCs w:val="21"/>
              </w:rPr>
            </w:pPr>
            <w:r>
              <w:rPr>
                <w:rFonts w:hint="eastAsia" w:ascii="仿宋" w:hAnsi="仿宋" w:eastAsia="仿宋" w:cs="仿宋_GB2312"/>
                <w:sz w:val="21"/>
                <w:szCs w:val="21"/>
              </w:rPr>
              <w:t>项目质量可控性</w:t>
            </w:r>
          </w:p>
        </w:tc>
        <w:tc>
          <w:tcPr>
            <w:tcW w:w="2970" w:type="dxa"/>
            <w:vAlign w:val="center"/>
          </w:tcPr>
          <w:p>
            <w:pPr>
              <w:ind w:firstLine="420" w:firstLineChars="200"/>
              <w:rPr>
                <w:rFonts w:ascii="仿宋" w:hAnsi="仿宋" w:eastAsia="仿宋" w:cs="仿宋_GB2312"/>
                <w:sz w:val="21"/>
                <w:szCs w:val="21"/>
              </w:rPr>
            </w:pPr>
            <w:r>
              <w:rPr>
                <w:rFonts w:hint="eastAsia" w:ascii="仿宋" w:hAnsi="仿宋" w:eastAsia="仿宋" w:cs="仿宋_GB2312"/>
                <w:sz w:val="21"/>
                <w:szCs w:val="21"/>
              </w:rPr>
              <w:t>项目实施单位是否为达到项目治疗要求采取了必要措施。</w:t>
            </w:r>
          </w:p>
        </w:tc>
        <w:tc>
          <w:tcPr>
            <w:tcW w:w="970" w:type="dxa"/>
            <w:vAlign w:val="center"/>
          </w:tcPr>
          <w:p>
            <w:pPr>
              <w:spacing w:line="600" w:lineRule="exact"/>
              <w:jc w:val="center"/>
              <w:rPr>
                <w:rFonts w:ascii="仿宋" w:hAnsi="仿宋" w:eastAsia="仿宋"/>
                <w:sz w:val="21"/>
                <w:szCs w:val="21"/>
              </w:rPr>
            </w:pPr>
            <w:r>
              <w:rPr>
                <w:rFonts w:hint="eastAsia" w:ascii="仿宋" w:hAnsi="仿宋" w:eastAsia="仿宋" w:cs="仿宋_GB2312"/>
                <w:sz w:val="21"/>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spacing w:line="600" w:lineRule="exact"/>
              <w:jc w:val="center"/>
              <w:rPr>
                <w:rFonts w:ascii="仿宋" w:hAnsi="仿宋" w:eastAsia="仿宋" w:cs="仿宋_GB2312"/>
                <w:sz w:val="28"/>
                <w:szCs w:val="28"/>
              </w:rPr>
            </w:pPr>
          </w:p>
        </w:tc>
        <w:tc>
          <w:tcPr>
            <w:tcW w:w="1515" w:type="dxa"/>
            <w:vMerge w:val="restart"/>
            <w:vAlign w:val="center"/>
          </w:tcPr>
          <w:p>
            <w:pPr>
              <w:spacing w:line="600" w:lineRule="exact"/>
              <w:jc w:val="center"/>
              <w:rPr>
                <w:rFonts w:ascii="仿宋" w:hAnsi="仿宋" w:eastAsia="仿宋" w:cs="仿宋_GB2312"/>
                <w:sz w:val="28"/>
                <w:szCs w:val="28"/>
              </w:rPr>
            </w:pPr>
            <w:r>
              <w:rPr>
                <w:rFonts w:hint="eastAsia" w:ascii="仿宋" w:hAnsi="仿宋" w:eastAsia="仿宋" w:cs="仿宋_GB2312"/>
                <w:sz w:val="28"/>
                <w:szCs w:val="28"/>
              </w:rPr>
              <w:t>财务管理</w:t>
            </w:r>
          </w:p>
        </w:tc>
        <w:tc>
          <w:tcPr>
            <w:tcW w:w="1575" w:type="dxa"/>
            <w:vAlign w:val="center"/>
          </w:tcPr>
          <w:p>
            <w:pPr>
              <w:spacing w:line="400" w:lineRule="exact"/>
              <w:jc w:val="center"/>
              <w:rPr>
                <w:rFonts w:ascii="仿宋" w:hAnsi="仿宋" w:eastAsia="仿宋" w:cs="仿宋_GB2312"/>
                <w:sz w:val="21"/>
                <w:szCs w:val="21"/>
              </w:rPr>
            </w:pPr>
            <w:r>
              <w:rPr>
                <w:rFonts w:hint="eastAsia" w:ascii="仿宋" w:hAnsi="仿宋" w:eastAsia="仿宋" w:cs="仿宋_GB2312"/>
                <w:sz w:val="21"/>
                <w:szCs w:val="21"/>
              </w:rPr>
              <w:t>管理制度健全性</w:t>
            </w:r>
          </w:p>
        </w:tc>
        <w:tc>
          <w:tcPr>
            <w:tcW w:w="2970" w:type="dxa"/>
            <w:vAlign w:val="center"/>
          </w:tcPr>
          <w:p>
            <w:pPr>
              <w:ind w:firstLine="420" w:firstLineChars="200"/>
              <w:rPr>
                <w:rFonts w:ascii="仿宋" w:hAnsi="仿宋" w:eastAsia="仿宋" w:cs="仿宋_GB2312"/>
                <w:sz w:val="21"/>
                <w:szCs w:val="21"/>
              </w:rPr>
            </w:pPr>
            <w:r>
              <w:rPr>
                <w:rFonts w:hint="eastAsia" w:ascii="仿宋" w:hAnsi="仿宋" w:eastAsia="仿宋" w:cs="仿宋_GB2312"/>
                <w:sz w:val="21"/>
                <w:szCs w:val="21"/>
              </w:rPr>
              <w:t>项目实施单位的财务管理制度是否健全。</w:t>
            </w:r>
          </w:p>
        </w:tc>
        <w:tc>
          <w:tcPr>
            <w:tcW w:w="970" w:type="dxa"/>
            <w:vAlign w:val="center"/>
          </w:tcPr>
          <w:p>
            <w:pPr>
              <w:spacing w:line="600" w:lineRule="exact"/>
              <w:jc w:val="center"/>
              <w:rPr>
                <w:rFonts w:ascii="仿宋" w:hAnsi="仿宋" w:eastAsia="仿宋"/>
                <w:sz w:val="21"/>
                <w:szCs w:val="21"/>
              </w:rPr>
            </w:pPr>
            <w:r>
              <w:rPr>
                <w:rFonts w:hint="eastAsia" w:ascii="仿宋" w:hAnsi="仿宋" w:eastAsia="仿宋" w:cs="仿宋_GB2312"/>
                <w:sz w:val="21"/>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spacing w:line="600" w:lineRule="exact"/>
              <w:jc w:val="center"/>
              <w:rPr>
                <w:rFonts w:ascii="仿宋" w:hAnsi="仿宋" w:eastAsia="仿宋" w:cs="仿宋_GB2312"/>
                <w:sz w:val="28"/>
                <w:szCs w:val="28"/>
              </w:rPr>
            </w:pPr>
          </w:p>
        </w:tc>
        <w:tc>
          <w:tcPr>
            <w:tcW w:w="1515" w:type="dxa"/>
            <w:vMerge w:val="continue"/>
            <w:vAlign w:val="center"/>
          </w:tcPr>
          <w:p>
            <w:pPr>
              <w:spacing w:line="600" w:lineRule="exact"/>
              <w:jc w:val="center"/>
              <w:rPr>
                <w:rFonts w:ascii="仿宋" w:hAnsi="仿宋" w:eastAsia="仿宋" w:cs="仿宋_GB2312"/>
                <w:sz w:val="28"/>
                <w:szCs w:val="28"/>
              </w:rPr>
            </w:pPr>
          </w:p>
        </w:tc>
        <w:tc>
          <w:tcPr>
            <w:tcW w:w="1575" w:type="dxa"/>
            <w:vAlign w:val="center"/>
          </w:tcPr>
          <w:p>
            <w:pPr>
              <w:spacing w:line="400" w:lineRule="exact"/>
              <w:jc w:val="center"/>
              <w:rPr>
                <w:rFonts w:ascii="仿宋" w:hAnsi="仿宋" w:eastAsia="仿宋" w:cs="仿宋_GB2312"/>
                <w:sz w:val="21"/>
                <w:szCs w:val="21"/>
              </w:rPr>
            </w:pPr>
            <w:r>
              <w:rPr>
                <w:rFonts w:hint="eastAsia" w:ascii="仿宋" w:hAnsi="仿宋" w:eastAsia="仿宋" w:cs="仿宋_GB2312"/>
                <w:sz w:val="21"/>
                <w:szCs w:val="21"/>
              </w:rPr>
              <w:t>资金使用合规性</w:t>
            </w:r>
          </w:p>
        </w:tc>
        <w:tc>
          <w:tcPr>
            <w:tcW w:w="2970" w:type="dxa"/>
            <w:vAlign w:val="center"/>
          </w:tcPr>
          <w:p>
            <w:pPr>
              <w:ind w:firstLine="420" w:firstLineChars="200"/>
              <w:rPr>
                <w:rFonts w:ascii="仿宋" w:hAnsi="仿宋" w:eastAsia="仿宋" w:cs="仿宋_GB2312"/>
                <w:sz w:val="21"/>
                <w:szCs w:val="21"/>
              </w:rPr>
            </w:pPr>
            <w:r>
              <w:rPr>
                <w:rFonts w:hint="eastAsia" w:ascii="仿宋" w:hAnsi="仿宋" w:eastAsia="仿宋" w:cs="仿宋_GB2312"/>
                <w:sz w:val="21"/>
                <w:szCs w:val="21"/>
              </w:rPr>
              <w:t>项目资金使用是否符合相关财务管理制度规定。</w:t>
            </w:r>
          </w:p>
        </w:tc>
        <w:tc>
          <w:tcPr>
            <w:tcW w:w="970" w:type="dxa"/>
            <w:vAlign w:val="center"/>
          </w:tcPr>
          <w:p>
            <w:pPr>
              <w:spacing w:line="600" w:lineRule="exact"/>
              <w:jc w:val="center"/>
              <w:rPr>
                <w:rFonts w:ascii="仿宋" w:hAnsi="仿宋" w:eastAsia="仿宋"/>
                <w:sz w:val="21"/>
                <w:szCs w:val="21"/>
              </w:rPr>
            </w:pPr>
            <w:r>
              <w:rPr>
                <w:rFonts w:hint="eastAsia" w:ascii="仿宋" w:hAnsi="仿宋" w:eastAsia="仿宋" w:cs="仿宋_GB2312"/>
                <w:sz w:val="21"/>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spacing w:line="600" w:lineRule="exact"/>
              <w:jc w:val="center"/>
              <w:rPr>
                <w:rFonts w:ascii="仿宋" w:hAnsi="仿宋" w:eastAsia="仿宋" w:cs="仿宋_GB2312"/>
                <w:sz w:val="28"/>
                <w:szCs w:val="28"/>
              </w:rPr>
            </w:pPr>
          </w:p>
        </w:tc>
        <w:tc>
          <w:tcPr>
            <w:tcW w:w="1515" w:type="dxa"/>
            <w:vMerge w:val="continue"/>
            <w:vAlign w:val="center"/>
          </w:tcPr>
          <w:p>
            <w:pPr>
              <w:spacing w:line="600" w:lineRule="exact"/>
              <w:jc w:val="center"/>
              <w:rPr>
                <w:rFonts w:ascii="仿宋" w:hAnsi="仿宋" w:eastAsia="仿宋" w:cs="仿宋_GB2312"/>
                <w:sz w:val="28"/>
                <w:szCs w:val="28"/>
              </w:rPr>
            </w:pPr>
          </w:p>
        </w:tc>
        <w:tc>
          <w:tcPr>
            <w:tcW w:w="1575" w:type="dxa"/>
            <w:vAlign w:val="center"/>
          </w:tcPr>
          <w:p>
            <w:pPr>
              <w:spacing w:line="400" w:lineRule="exact"/>
              <w:jc w:val="center"/>
              <w:rPr>
                <w:rFonts w:ascii="仿宋" w:hAnsi="仿宋" w:eastAsia="仿宋" w:cs="仿宋_GB2312"/>
                <w:sz w:val="21"/>
                <w:szCs w:val="21"/>
              </w:rPr>
            </w:pPr>
            <w:r>
              <w:rPr>
                <w:rFonts w:hint="eastAsia" w:ascii="仿宋" w:hAnsi="仿宋" w:eastAsia="仿宋" w:cs="仿宋_GB2312"/>
                <w:sz w:val="21"/>
                <w:szCs w:val="21"/>
              </w:rPr>
              <w:t>财务监控有效性</w:t>
            </w:r>
          </w:p>
        </w:tc>
        <w:tc>
          <w:tcPr>
            <w:tcW w:w="2970" w:type="dxa"/>
            <w:vAlign w:val="center"/>
          </w:tcPr>
          <w:p>
            <w:pPr>
              <w:ind w:firstLine="420" w:firstLineChars="200"/>
              <w:rPr>
                <w:rFonts w:ascii="仿宋" w:hAnsi="仿宋" w:eastAsia="仿宋" w:cs="仿宋_GB2312"/>
                <w:sz w:val="21"/>
                <w:szCs w:val="21"/>
              </w:rPr>
            </w:pPr>
            <w:r>
              <w:rPr>
                <w:rFonts w:hint="eastAsia" w:ascii="仿宋" w:hAnsi="仿宋" w:eastAsia="仿宋" w:cs="仿宋_GB2312"/>
                <w:sz w:val="21"/>
                <w:szCs w:val="21"/>
              </w:rPr>
              <w:t>项目实施单位是否为保障资金安全、规范运行而采取了必要监控措施。</w:t>
            </w:r>
          </w:p>
        </w:tc>
        <w:tc>
          <w:tcPr>
            <w:tcW w:w="970" w:type="dxa"/>
            <w:vAlign w:val="center"/>
          </w:tcPr>
          <w:p>
            <w:pPr>
              <w:spacing w:line="600" w:lineRule="exact"/>
              <w:jc w:val="center"/>
              <w:rPr>
                <w:rFonts w:ascii="仿宋" w:hAnsi="仿宋" w:eastAsia="仿宋"/>
                <w:sz w:val="21"/>
                <w:szCs w:val="21"/>
              </w:rPr>
            </w:pPr>
            <w:r>
              <w:rPr>
                <w:rFonts w:hint="eastAsia" w:ascii="仿宋" w:hAnsi="仿宋" w:eastAsia="仿宋" w:cs="仿宋_GB2312"/>
                <w:sz w:val="21"/>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restart"/>
            <w:vAlign w:val="center"/>
          </w:tcPr>
          <w:p>
            <w:pPr>
              <w:spacing w:line="600" w:lineRule="exact"/>
              <w:jc w:val="center"/>
              <w:rPr>
                <w:rFonts w:ascii="仿宋" w:hAnsi="仿宋" w:eastAsia="仿宋" w:cs="仿宋_GB2312"/>
                <w:sz w:val="28"/>
                <w:szCs w:val="28"/>
              </w:rPr>
            </w:pPr>
            <w:r>
              <w:rPr>
                <w:rFonts w:hint="eastAsia" w:ascii="仿宋" w:hAnsi="仿宋" w:eastAsia="仿宋" w:cs="仿宋_GB2312"/>
                <w:sz w:val="28"/>
                <w:szCs w:val="28"/>
              </w:rPr>
              <w:t>产出</w:t>
            </w:r>
          </w:p>
        </w:tc>
        <w:tc>
          <w:tcPr>
            <w:tcW w:w="1515" w:type="dxa"/>
            <w:vMerge w:val="restart"/>
            <w:vAlign w:val="center"/>
          </w:tcPr>
          <w:p>
            <w:pPr>
              <w:spacing w:line="600" w:lineRule="exact"/>
              <w:jc w:val="center"/>
              <w:rPr>
                <w:rFonts w:ascii="仿宋" w:hAnsi="仿宋" w:eastAsia="仿宋" w:cs="仿宋_GB2312"/>
                <w:sz w:val="28"/>
                <w:szCs w:val="28"/>
              </w:rPr>
            </w:pPr>
            <w:r>
              <w:rPr>
                <w:rFonts w:hint="eastAsia" w:ascii="仿宋" w:hAnsi="仿宋" w:eastAsia="仿宋" w:cs="仿宋_GB2312"/>
                <w:sz w:val="28"/>
                <w:szCs w:val="28"/>
              </w:rPr>
              <w:t>项目产出</w:t>
            </w:r>
          </w:p>
        </w:tc>
        <w:tc>
          <w:tcPr>
            <w:tcW w:w="1575" w:type="dxa"/>
            <w:vAlign w:val="center"/>
          </w:tcPr>
          <w:p>
            <w:pPr>
              <w:spacing w:line="400" w:lineRule="exact"/>
              <w:jc w:val="center"/>
              <w:rPr>
                <w:rFonts w:ascii="仿宋" w:hAnsi="仿宋" w:eastAsia="仿宋" w:cs="仿宋_GB2312"/>
                <w:sz w:val="21"/>
                <w:szCs w:val="21"/>
              </w:rPr>
            </w:pPr>
            <w:r>
              <w:rPr>
                <w:rFonts w:hint="eastAsia" w:ascii="仿宋" w:hAnsi="仿宋" w:eastAsia="仿宋" w:cs="仿宋_GB2312"/>
                <w:sz w:val="21"/>
                <w:szCs w:val="21"/>
              </w:rPr>
              <w:t>实际完成率</w:t>
            </w:r>
          </w:p>
        </w:tc>
        <w:tc>
          <w:tcPr>
            <w:tcW w:w="2970" w:type="dxa"/>
            <w:vAlign w:val="center"/>
          </w:tcPr>
          <w:p>
            <w:pPr>
              <w:ind w:firstLine="420" w:firstLineChars="200"/>
              <w:rPr>
                <w:rFonts w:ascii="仿宋" w:hAnsi="仿宋" w:eastAsia="仿宋" w:cs="仿宋_GB2312"/>
                <w:sz w:val="21"/>
                <w:szCs w:val="21"/>
              </w:rPr>
            </w:pPr>
            <w:r>
              <w:rPr>
                <w:rFonts w:hint="eastAsia" w:ascii="仿宋" w:hAnsi="仿宋" w:eastAsia="仿宋" w:cs="仿宋_GB2312"/>
                <w:sz w:val="21"/>
                <w:szCs w:val="21"/>
              </w:rPr>
              <w:t>项目实际产出数与计划产出数的比率。</w:t>
            </w:r>
          </w:p>
        </w:tc>
        <w:tc>
          <w:tcPr>
            <w:tcW w:w="970" w:type="dxa"/>
            <w:vAlign w:val="center"/>
          </w:tcPr>
          <w:p>
            <w:pPr>
              <w:spacing w:line="600" w:lineRule="exact"/>
              <w:jc w:val="center"/>
              <w:rPr>
                <w:rFonts w:hint="eastAsia" w:ascii="仿宋" w:hAnsi="仿宋" w:eastAsia="仿宋"/>
                <w:sz w:val="21"/>
                <w:szCs w:val="21"/>
                <w:lang w:eastAsia="zh-CN"/>
              </w:rPr>
            </w:pPr>
            <w:r>
              <w:rPr>
                <w:rFonts w:hint="eastAsia" w:ascii="仿宋" w:hAnsi="仿宋" w:eastAsia="仿宋" w:cs="仿宋_GB2312"/>
                <w:sz w:val="21"/>
                <w:szCs w:val="21"/>
              </w:rPr>
              <w:t>1</w:t>
            </w:r>
            <w:r>
              <w:rPr>
                <w:rFonts w:hint="eastAsia" w:ascii="仿宋" w:hAnsi="仿宋" w:eastAsia="仿宋" w:cs="仿宋_GB2312"/>
                <w:sz w:val="21"/>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spacing w:line="600" w:lineRule="exact"/>
              <w:jc w:val="center"/>
              <w:rPr>
                <w:rFonts w:ascii="仿宋" w:hAnsi="仿宋" w:eastAsia="仿宋" w:cs="仿宋_GB2312"/>
                <w:sz w:val="28"/>
                <w:szCs w:val="28"/>
              </w:rPr>
            </w:pPr>
          </w:p>
        </w:tc>
        <w:tc>
          <w:tcPr>
            <w:tcW w:w="1515" w:type="dxa"/>
            <w:vMerge w:val="continue"/>
            <w:vAlign w:val="center"/>
          </w:tcPr>
          <w:p>
            <w:pPr>
              <w:spacing w:line="600" w:lineRule="exact"/>
              <w:jc w:val="center"/>
              <w:rPr>
                <w:rFonts w:ascii="仿宋" w:hAnsi="仿宋" w:eastAsia="仿宋" w:cs="仿宋_GB2312"/>
                <w:sz w:val="28"/>
                <w:szCs w:val="28"/>
              </w:rPr>
            </w:pPr>
          </w:p>
        </w:tc>
        <w:tc>
          <w:tcPr>
            <w:tcW w:w="1575" w:type="dxa"/>
            <w:vAlign w:val="center"/>
          </w:tcPr>
          <w:p>
            <w:pPr>
              <w:spacing w:line="400" w:lineRule="exact"/>
              <w:jc w:val="center"/>
              <w:rPr>
                <w:rFonts w:ascii="仿宋" w:hAnsi="仿宋" w:eastAsia="仿宋" w:cs="仿宋_GB2312"/>
                <w:sz w:val="21"/>
                <w:szCs w:val="21"/>
              </w:rPr>
            </w:pPr>
            <w:r>
              <w:rPr>
                <w:rFonts w:hint="eastAsia" w:ascii="仿宋" w:hAnsi="仿宋" w:eastAsia="仿宋" w:cs="仿宋_GB2312"/>
                <w:sz w:val="21"/>
                <w:szCs w:val="21"/>
              </w:rPr>
              <w:t>完成及时率</w:t>
            </w:r>
          </w:p>
        </w:tc>
        <w:tc>
          <w:tcPr>
            <w:tcW w:w="2970" w:type="dxa"/>
            <w:vAlign w:val="center"/>
          </w:tcPr>
          <w:p>
            <w:pPr>
              <w:ind w:firstLine="420" w:firstLineChars="200"/>
              <w:rPr>
                <w:rFonts w:ascii="仿宋" w:hAnsi="仿宋" w:eastAsia="仿宋" w:cs="仿宋_GB2312"/>
                <w:sz w:val="21"/>
                <w:szCs w:val="21"/>
              </w:rPr>
            </w:pPr>
            <w:r>
              <w:rPr>
                <w:rFonts w:hint="eastAsia" w:ascii="仿宋" w:hAnsi="仿宋" w:eastAsia="仿宋" w:cs="仿宋_GB2312"/>
                <w:sz w:val="21"/>
                <w:szCs w:val="21"/>
              </w:rPr>
              <w:t>项目按时完成时间与计划完成时间比率。</w:t>
            </w:r>
          </w:p>
        </w:tc>
        <w:tc>
          <w:tcPr>
            <w:tcW w:w="970" w:type="dxa"/>
            <w:vAlign w:val="center"/>
          </w:tcPr>
          <w:p>
            <w:pPr>
              <w:spacing w:line="600" w:lineRule="exact"/>
              <w:jc w:val="center"/>
              <w:rPr>
                <w:rFonts w:ascii="仿宋" w:hAnsi="仿宋" w:eastAsia="仿宋"/>
                <w:sz w:val="21"/>
                <w:szCs w:val="21"/>
              </w:rPr>
            </w:pPr>
            <w:r>
              <w:rPr>
                <w:rFonts w:hint="eastAsia" w:ascii="仿宋" w:hAnsi="仿宋" w:eastAsia="仿宋" w:cs="仿宋_GB2312"/>
                <w:sz w:val="21"/>
                <w:szCs w:val="21"/>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spacing w:line="600" w:lineRule="exact"/>
              <w:jc w:val="center"/>
              <w:rPr>
                <w:rFonts w:ascii="仿宋" w:hAnsi="仿宋" w:eastAsia="仿宋" w:cs="仿宋_GB2312"/>
                <w:sz w:val="28"/>
                <w:szCs w:val="28"/>
              </w:rPr>
            </w:pPr>
          </w:p>
        </w:tc>
        <w:tc>
          <w:tcPr>
            <w:tcW w:w="1515" w:type="dxa"/>
            <w:vMerge w:val="continue"/>
            <w:vAlign w:val="center"/>
          </w:tcPr>
          <w:p>
            <w:pPr>
              <w:spacing w:line="600" w:lineRule="exact"/>
              <w:jc w:val="center"/>
              <w:rPr>
                <w:rFonts w:ascii="仿宋" w:hAnsi="仿宋" w:eastAsia="仿宋" w:cs="仿宋_GB2312"/>
                <w:sz w:val="28"/>
                <w:szCs w:val="28"/>
              </w:rPr>
            </w:pPr>
          </w:p>
        </w:tc>
        <w:tc>
          <w:tcPr>
            <w:tcW w:w="1575" w:type="dxa"/>
            <w:vAlign w:val="center"/>
          </w:tcPr>
          <w:p>
            <w:pPr>
              <w:spacing w:line="400" w:lineRule="exact"/>
              <w:jc w:val="center"/>
              <w:rPr>
                <w:rFonts w:ascii="仿宋" w:hAnsi="仿宋" w:eastAsia="仿宋" w:cs="仿宋_GB2312"/>
                <w:sz w:val="21"/>
                <w:szCs w:val="21"/>
              </w:rPr>
            </w:pPr>
            <w:r>
              <w:rPr>
                <w:rFonts w:hint="eastAsia" w:ascii="仿宋" w:hAnsi="仿宋" w:eastAsia="仿宋" w:cs="仿宋_GB2312"/>
                <w:sz w:val="21"/>
                <w:szCs w:val="21"/>
              </w:rPr>
              <w:t>质量达标率</w:t>
            </w:r>
          </w:p>
        </w:tc>
        <w:tc>
          <w:tcPr>
            <w:tcW w:w="2970" w:type="dxa"/>
            <w:vAlign w:val="center"/>
          </w:tcPr>
          <w:p>
            <w:pPr>
              <w:ind w:firstLine="420" w:firstLineChars="200"/>
              <w:rPr>
                <w:rFonts w:ascii="仿宋" w:hAnsi="仿宋" w:eastAsia="仿宋" w:cs="仿宋_GB2312"/>
                <w:sz w:val="21"/>
                <w:szCs w:val="21"/>
              </w:rPr>
            </w:pPr>
            <w:r>
              <w:rPr>
                <w:rFonts w:hint="eastAsia" w:ascii="仿宋" w:hAnsi="仿宋" w:eastAsia="仿宋" w:cs="仿宋_GB2312"/>
                <w:sz w:val="21"/>
                <w:szCs w:val="21"/>
              </w:rPr>
              <w:t>项目完成的质量达标产出数与实际产出数的比率。</w:t>
            </w:r>
          </w:p>
        </w:tc>
        <w:tc>
          <w:tcPr>
            <w:tcW w:w="970" w:type="dxa"/>
            <w:vAlign w:val="center"/>
          </w:tcPr>
          <w:p>
            <w:pPr>
              <w:spacing w:line="600" w:lineRule="exact"/>
              <w:jc w:val="center"/>
              <w:rPr>
                <w:rFonts w:hint="default" w:ascii="仿宋" w:hAnsi="仿宋" w:eastAsia="仿宋"/>
                <w:sz w:val="21"/>
                <w:szCs w:val="21"/>
                <w:lang w:val="en-US" w:eastAsia="zh-CN"/>
              </w:rPr>
            </w:pPr>
            <w:r>
              <w:rPr>
                <w:rFonts w:hint="eastAsia" w:ascii="仿宋" w:hAnsi="仿宋" w:eastAsia="仿宋" w:cs="仿宋_GB2312"/>
                <w:sz w:val="21"/>
                <w:szCs w:val="21"/>
                <w:lang w:val="en-US" w:eastAsia="zh-CN"/>
              </w:rPr>
              <w:t>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Align w:val="center"/>
          </w:tcPr>
          <w:p>
            <w:pPr>
              <w:spacing w:line="600" w:lineRule="exact"/>
              <w:jc w:val="center"/>
              <w:rPr>
                <w:rFonts w:ascii="仿宋" w:hAnsi="仿宋" w:eastAsia="仿宋" w:cs="仿宋_GB2312"/>
                <w:sz w:val="28"/>
                <w:szCs w:val="28"/>
              </w:rPr>
            </w:pPr>
            <w:r>
              <w:rPr>
                <w:rFonts w:hint="eastAsia" w:ascii="仿宋" w:hAnsi="仿宋" w:eastAsia="仿宋" w:cs="仿宋_GB2312"/>
                <w:sz w:val="28"/>
                <w:szCs w:val="28"/>
              </w:rPr>
              <w:t>效果</w:t>
            </w:r>
          </w:p>
        </w:tc>
        <w:tc>
          <w:tcPr>
            <w:tcW w:w="1515" w:type="dxa"/>
            <w:vAlign w:val="center"/>
          </w:tcPr>
          <w:p>
            <w:pPr>
              <w:spacing w:line="600" w:lineRule="exact"/>
              <w:jc w:val="center"/>
              <w:rPr>
                <w:rFonts w:ascii="仿宋" w:hAnsi="仿宋" w:eastAsia="仿宋" w:cs="仿宋_GB2312"/>
                <w:sz w:val="28"/>
                <w:szCs w:val="28"/>
              </w:rPr>
            </w:pPr>
            <w:r>
              <w:rPr>
                <w:rFonts w:hint="eastAsia" w:ascii="仿宋" w:hAnsi="仿宋" w:eastAsia="仿宋" w:cs="仿宋_GB2312"/>
                <w:sz w:val="28"/>
                <w:szCs w:val="28"/>
              </w:rPr>
              <w:t>项目效益</w:t>
            </w:r>
          </w:p>
        </w:tc>
        <w:tc>
          <w:tcPr>
            <w:tcW w:w="1575" w:type="dxa"/>
            <w:vAlign w:val="center"/>
          </w:tcPr>
          <w:p>
            <w:pPr>
              <w:spacing w:line="400" w:lineRule="exact"/>
              <w:jc w:val="center"/>
              <w:rPr>
                <w:rFonts w:ascii="仿宋" w:hAnsi="仿宋" w:eastAsia="仿宋" w:cs="仿宋_GB2312"/>
                <w:sz w:val="21"/>
                <w:szCs w:val="21"/>
              </w:rPr>
            </w:pPr>
            <w:r>
              <w:rPr>
                <w:rFonts w:hint="eastAsia" w:ascii="仿宋" w:hAnsi="仿宋" w:eastAsia="仿宋" w:cs="仿宋_GB2312"/>
                <w:sz w:val="21"/>
                <w:szCs w:val="21"/>
              </w:rPr>
              <w:t>受益群众满意度</w:t>
            </w:r>
          </w:p>
        </w:tc>
        <w:tc>
          <w:tcPr>
            <w:tcW w:w="2970" w:type="dxa"/>
            <w:vAlign w:val="center"/>
          </w:tcPr>
          <w:p>
            <w:pPr>
              <w:ind w:firstLine="420" w:firstLineChars="200"/>
              <w:rPr>
                <w:rFonts w:ascii="仿宋" w:hAnsi="仿宋" w:eastAsia="仿宋" w:cs="仿宋_GB2312"/>
                <w:sz w:val="21"/>
                <w:szCs w:val="21"/>
              </w:rPr>
            </w:pPr>
            <w:r>
              <w:rPr>
                <w:rFonts w:hint="eastAsia" w:ascii="仿宋" w:hAnsi="仿宋" w:eastAsia="仿宋" w:cs="仿宋_GB2312"/>
                <w:sz w:val="21"/>
                <w:szCs w:val="21"/>
              </w:rPr>
              <w:t>受益对象对项目实施效果的满意程度。</w:t>
            </w:r>
          </w:p>
        </w:tc>
        <w:tc>
          <w:tcPr>
            <w:tcW w:w="970" w:type="dxa"/>
            <w:vAlign w:val="center"/>
          </w:tcPr>
          <w:p>
            <w:pPr>
              <w:spacing w:line="600" w:lineRule="exact"/>
              <w:jc w:val="center"/>
              <w:rPr>
                <w:rFonts w:hint="eastAsia" w:ascii="仿宋" w:hAnsi="仿宋" w:eastAsia="仿宋"/>
                <w:sz w:val="21"/>
                <w:szCs w:val="21"/>
                <w:lang w:eastAsia="zh-CN"/>
              </w:rPr>
            </w:pPr>
            <w:r>
              <w:rPr>
                <w:rFonts w:hint="eastAsia" w:ascii="仿宋" w:hAnsi="仿宋" w:eastAsia="仿宋" w:cs="仿宋_GB2312"/>
                <w:sz w:val="21"/>
                <w:szCs w:val="21"/>
              </w:rPr>
              <w:t>1</w:t>
            </w:r>
            <w:r>
              <w:rPr>
                <w:rFonts w:hint="eastAsia" w:ascii="仿宋" w:hAnsi="仿宋" w:eastAsia="仿宋" w:cs="仿宋_GB2312"/>
                <w:sz w:val="21"/>
                <w:szCs w:val="21"/>
                <w:lang w:val="en-US" w:eastAsia="zh-CN"/>
              </w:rPr>
              <w:t>4</w:t>
            </w:r>
          </w:p>
        </w:tc>
      </w:tr>
    </w:tbl>
    <w:p>
      <w:pPr>
        <w:numPr>
          <w:ilvl w:val="0"/>
          <w:numId w:val="2"/>
        </w:numPr>
        <w:adjustRightInd w:val="0"/>
        <w:snapToGrid w:val="0"/>
        <w:spacing w:line="580" w:lineRule="exact"/>
        <w:ind w:left="0" w:leftChars="0"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无</w:t>
      </w:r>
      <w:r>
        <w:rPr>
          <w:rFonts w:hint="eastAsia" w:ascii="仿宋_GB2312" w:hAnsi="仿宋_GB2312" w:eastAsia="仿宋_GB2312" w:cs="仿宋_GB2312"/>
          <w:b/>
          <w:bCs/>
          <w:sz w:val="32"/>
          <w:szCs w:val="32"/>
        </w:rPr>
        <w:t>。</w:t>
      </w:r>
    </w:p>
    <w:p>
      <w:pPr>
        <w:numPr>
          <w:ilvl w:val="0"/>
          <w:numId w:val="5"/>
        </w:numPr>
        <w:adjustRightInd w:val="0"/>
        <w:snapToGrid w:val="0"/>
        <w:spacing w:line="580" w:lineRule="exact"/>
        <w:ind w:leftChars="200"/>
        <w:rPr>
          <w:rFonts w:hint="eastAsia" w:ascii="黑体" w:hAnsi="Calibri" w:eastAsia="黑体" w:cs="Times New Roman"/>
          <w:sz w:val="32"/>
          <w:szCs w:val="32"/>
        </w:rPr>
      </w:pPr>
      <w:r>
        <w:rPr>
          <w:rFonts w:hint="eastAsia" w:ascii="黑体" w:hAnsi="Calibri" w:eastAsia="黑体" w:cs="Times New Roman"/>
          <w:sz w:val="32"/>
          <w:szCs w:val="32"/>
        </w:rPr>
        <w:t>其他重要事项的说明</w:t>
      </w:r>
    </w:p>
    <w:p>
      <w:pPr>
        <w:numPr>
          <w:ilvl w:val="0"/>
          <w:numId w:val="6"/>
        </w:numPr>
        <w:adjustRightInd w:val="0"/>
        <w:snapToGrid w:val="0"/>
        <w:spacing w:line="580" w:lineRule="exact"/>
        <w:ind w:firstLine="321" w:firstLineChars="100"/>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机关运行经费情况</w:t>
      </w:r>
    </w:p>
    <w:p>
      <w:pPr>
        <w:numPr>
          <w:ilvl w:val="0"/>
          <w:numId w:val="0"/>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650.36</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367.5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1.3</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增加</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城乡社区及农林水项目类劳务费增加375.77万元</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仿宋_GB2312" w:eastAsia="仿宋_GB2312" w:cs="仿宋_GB2312"/>
          <w:color w:val="000000"/>
          <w:kern w:val="0"/>
          <w:sz w:val="32"/>
          <w:szCs w:val="32"/>
          <w:lang w:bidi="ar"/>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8.8</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2.84</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5.96</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3.06</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34.77</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3.5</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39.77</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辆，比上年增加</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val="en-US" w:eastAsia="zh-CN"/>
        </w:rPr>
        <w:t>划拨清洁用车2量</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辆，其他用车主要是</w:t>
      </w:r>
      <w:r>
        <w:rPr>
          <w:rFonts w:hint="eastAsia" w:ascii="仿宋_GB2312" w:hAnsi="Times New Roman" w:eastAsia="仿宋_GB2312" w:cs="DengXian-Regular"/>
          <w:sz w:val="32"/>
          <w:szCs w:val="32"/>
          <w:lang w:val="en-US" w:eastAsia="zh-CN"/>
        </w:rPr>
        <w:t xml:space="preserve">清洁用车。 </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val="en-US" w:eastAsia="zh-CN"/>
        </w:rPr>
        <w:t>与上年持平</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本部门2019年度度国有资本经营预算财政拨款无收支及结转结余情况，故度国有资本经营预算财政拨款支出决算表以空表列示。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43728076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43728076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3212]" focussize="0,0" r:id="rId29"/>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437281792"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43728179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3212]" focussize="0,0" r:id="rId29"/>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6"/>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567"/>
        <w:gridCol w:w="855"/>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hint="default"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鹿泉区上寨乡人民政府</w:t>
            </w:r>
          </w:p>
        </w:tc>
        <w:tc>
          <w:tcPr>
            <w:tcW w:w="5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1381.35</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556.46</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1070.59</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5.09</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63.2</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31.06</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49.24</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50.73</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47.52</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6.79</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1355.29</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144.68</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2287</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196</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2483</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10071" w:type="dxa"/>
        <w:jc w:val="center"/>
        <w:tblLayout w:type="fixed"/>
        <w:tblCellMar>
          <w:top w:w="0" w:type="dxa"/>
          <w:left w:w="0" w:type="dxa"/>
          <w:bottom w:w="0" w:type="dxa"/>
          <w:right w:w="0" w:type="dxa"/>
        </w:tblCellMar>
      </w:tblPr>
      <w:tblGrid>
        <w:gridCol w:w="826"/>
        <w:gridCol w:w="240"/>
        <w:gridCol w:w="58"/>
        <w:gridCol w:w="2277"/>
        <w:gridCol w:w="1565"/>
        <w:gridCol w:w="1565"/>
        <w:gridCol w:w="641"/>
        <w:gridCol w:w="641"/>
        <w:gridCol w:w="641"/>
        <w:gridCol w:w="641"/>
        <w:gridCol w:w="976"/>
      </w:tblGrid>
      <w:tr>
        <w:tblPrEx>
          <w:tblCellMar>
            <w:top w:w="0" w:type="dxa"/>
            <w:left w:w="0" w:type="dxa"/>
            <w:bottom w:w="0" w:type="dxa"/>
            <w:right w:w="0" w:type="dxa"/>
          </w:tblCellMar>
        </w:tblPrEx>
        <w:trPr>
          <w:trHeight w:val="670" w:hRule="atLeast"/>
          <w:jc w:val="center"/>
        </w:trPr>
        <w:tc>
          <w:tcPr>
            <w:tcW w:w="10071"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357" w:hRule="atLeast"/>
          <w:jc w:val="center"/>
        </w:trPr>
        <w:tc>
          <w:tcPr>
            <w:tcW w:w="82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7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17"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82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7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val="en-US" w:eastAsia="zh-CN" w:bidi="ar"/>
              </w:rPr>
              <w:t>鹿泉区上寨乡人民政府</w:t>
            </w: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3401"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56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56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64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64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64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64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97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277"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5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77"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5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77"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5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401"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9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CellMar>
            <w:top w:w="0" w:type="dxa"/>
            <w:left w:w="0" w:type="dxa"/>
            <w:bottom w:w="0" w:type="dxa"/>
            <w:right w:w="0" w:type="dxa"/>
          </w:tblCellMar>
        </w:tblPrEx>
        <w:trPr>
          <w:trHeight w:val="385" w:hRule="atLeast"/>
          <w:jc w:val="center"/>
        </w:trPr>
        <w:tc>
          <w:tcPr>
            <w:tcW w:w="3401"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2,483.00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2,451.94</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kern w:val="2"/>
                <w:sz w:val="22"/>
                <w:szCs w:val="22"/>
                <w:u w:val="none"/>
                <w:lang w:val="en-US" w:eastAsia="zh-CN" w:bidi="ar-SA"/>
              </w:rPr>
            </w:pPr>
            <w:r>
              <w:rPr>
                <w:rFonts w:hint="eastAsia" w:ascii="宋体" w:hAnsi="宋体" w:eastAsia="宋体" w:cs="宋体"/>
                <w:b/>
                <w:i w:val="0"/>
                <w:color w:val="000000"/>
                <w:kern w:val="0"/>
                <w:sz w:val="22"/>
                <w:szCs w:val="22"/>
                <w:u w:val="none"/>
                <w:lang w:val="en-US" w:eastAsia="zh-CN" w:bidi="ar"/>
              </w:rPr>
              <w:t>31.06</w:t>
            </w: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w:t>
            </w:r>
          </w:p>
        </w:tc>
        <w:tc>
          <w:tcPr>
            <w:tcW w:w="22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一般公共服务支出</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556.46</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556.46</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w:t>
            </w:r>
          </w:p>
        </w:tc>
        <w:tc>
          <w:tcPr>
            <w:tcW w:w="22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519.42</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519.42</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2010301</w:t>
            </w:r>
          </w:p>
        </w:tc>
        <w:tc>
          <w:tcPr>
            <w:tcW w:w="22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497.58</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497.58</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2010303</w:t>
            </w:r>
          </w:p>
        </w:tc>
        <w:tc>
          <w:tcPr>
            <w:tcW w:w="22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机关服务</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21.84</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21.84</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20106</w:t>
            </w:r>
          </w:p>
        </w:tc>
        <w:tc>
          <w:tcPr>
            <w:tcW w:w="22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财政事务</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37.04</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37.04</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2010601</w:t>
            </w:r>
          </w:p>
        </w:tc>
        <w:tc>
          <w:tcPr>
            <w:tcW w:w="22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35.04</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35.04</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2010602</w:t>
            </w:r>
          </w:p>
        </w:tc>
        <w:tc>
          <w:tcPr>
            <w:tcW w:w="22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204</w:t>
            </w:r>
          </w:p>
        </w:tc>
        <w:tc>
          <w:tcPr>
            <w:tcW w:w="22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公共安全支出</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5.09</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5.09</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20402</w:t>
            </w:r>
          </w:p>
        </w:tc>
        <w:tc>
          <w:tcPr>
            <w:tcW w:w="22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公安</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5.09</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5.09</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2040201</w:t>
            </w:r>
          </w:p>
        </w:tc>
        <w:tc>
          <w:tcPr>
            <w:tcW w:w="22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5.09</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5.09</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205</w:t>
            </w:r>
          </w:p>
        </w:tc>
        <w:tc>
          <w:tcPr>
            <w:tcW w:w="22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教育支出</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63.20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63.20</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20501</w:t>
            </w:r>
          </w:p>
        </w:tc>
        <w:tc>
          <w:tcPr>
            <w:tcW w:w="22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教育管理事务</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63.20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63.20</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2050101</w:t>
            </w:r>
          </w:p>
        </w:tc>
        <w:tc>
          <w:tcPr>
            <w:tcW w:w="22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63.20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63.20</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207</w:t>
            </w:r>
          </w:p>
        </w:tc>
        <w:tc>
          <w:tcPr>
            <w:tcW w:w="22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文化旅游体育与传媒支出</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49.24</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49.24</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20701</w:t>
            </w:r>
          </w:p>
        </w:tc>
        <w:tc>
          <w:tcPr>
            <w:tcW w:w="22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文化和旅游</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49.24</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49.24</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2070101</w:t>
            </w:r>
          </w:p>
        </w:tc>
        <w:tc>
          <w:tcPr>
            <w:tcW w:w="22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49.24</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49.24</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w:t>
            </w:r>
          </w:p>
        </w:tc>
        <w:tc>
          <w:tcPr>
            <w:tcW w:w="22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社会保障和就业支出</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50.73</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50.73</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20801</w:t>
            </w:r>
          </w:p>
        </w:tc>
        <w:tc>
          <w:tcPr>
            <w:tcW w:w="22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人力资源和社会保障管理事务</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38.00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38.00</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2080101</w:t>
            </w:r>
          </w:p>
        </w:tc>
        <w:tc>
          <w:tcPr>
            <w:tcW w:w="22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38.00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38.00</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w:t>
            </w:r>
          </w:p>
        </w:tc>
        <w:tc>
          <w:tcPr>
            <w:tcW w:w="22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行政事业单位离退休</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7.32</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7.32</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2080505</w:t>
            </w:r>
          </w:p>
        </w:tc>
        <w:tc>
          <w:tcPr>
            <w:tcW w:w="22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7.32</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7.32</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20809</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退役安置</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5.40</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2080901</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退役士兵安置</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5.40</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卫生健康支出</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47.52</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47.52</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21001</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卫生健康管理事务</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47.52</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47.52</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2100101</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47.52</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47.52</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节能环保支出</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6.79</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6.79</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21101</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环境保护管理事务</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6.79</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6.79</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2110101</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6.79</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6.79</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城乡社区支出</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1,551.29</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1,520.23</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31.06</w:t>
            </w: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城乡社区管理事务</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249.65</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249.65</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2120101</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249.65</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249.65</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城乡社区环境卫生</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231.06</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200.00</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31.06</w:t>
            </w: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2120501</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231.06</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200.00</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31.06</w:t>
            </w: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21208</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1,070.59</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1,070.59</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2120803</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城市建设支出</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874.59</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874.59</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2120804</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农村基础设施建设支出</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196.00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196.00</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213</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农林水支出</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144.68</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144.68</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21301</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农业</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136.68</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136.68</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2130101</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行政运行</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100.46</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100.46</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2130122</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农业生产支持补贴</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30.00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30.00</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2130152</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对高校毕业生到基层任职补助</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6.23</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6.23</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21303</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水利</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8.00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8.00</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2130335</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农村人畜饮水</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8.00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8.00</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224</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灾害防治及应急管理支出</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8.00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8.00</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22403</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森林消防事务</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8.00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8.00</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2240304</w:t>
            </w:r>
          </w:p>
        </w:tc>
        <w:tc>
          <w:tcPr>
            <w:tcW w:w="257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森林消防应急救援</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071"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r>
        <w:tblPrEx>
          <w:tblCellMar>
            <w:top w:w="0" w:type="dxa"/>
            <w:left w:w="0" w:type="dxa"/>
            <w:bottom w:w="0" w:type="dxa"/>
            <w:right w:w="0" w:type="dxa"/>
          </w:tblCellMar>
        </w:tblPrEx>
        <w:trPr>
          <w:trHeight w:val="385" w:hRule="atLeast"/>
          <w:jc w:val="center"/>
        </w:trPr>
        <w:tc>
          <w:tcPr>
            <w:tcW w:w="10071"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hint="eastAsia" w:ascii="宋体" w:hAnsi="宋体" w:eastAsia="宋体" w:cs="宋体"/>
                <w:color w:val="000000"/>
                <w:kern w:val="0"/>
                <w:sz w:val="22"/>
                <w:lang w:bidi="ar"/>
              </w:rPr>
            </w:pPr>
          </w:p>
        </w:tc>
      </w:tr>
      <w:tr>
        <w:tblPrEx>
          <w:tblCellMar>
            <w:top w:w="0" w:type="dxa"/>
            <w:left w:w="0" w:type="dxa"/>
            <w:bottom w:w="0" w:type="dxa"/>
            <w:right w:w="0" w:type="dxa"/>
          </w:tblCellMar>
        </w:tblPrEx>
        <w:trPr>
          <w:trHeight w:val="385" w:hRule="atLeast"/>
          <w:jc w:val="center"/>
        </w:trPr>
        <w:tc>
          <w:tcPr>
            <w:tcW w:w="10071"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hint="eastAsia" w:ascii="宋体" w:hAnsi="宋体" w:eastAsia="宋体" w:cs="宋体"/>
                <w:color w:val="000000"/>
                <w:kern w:val="0"/>
                <w:sz w:val="22"/>
                <w:lang w:bidi="ar"/>
              </w:rPr>
            </w:pPr>
          </w:p>
        </w:tc>
      </w:tr>
    </w:tbl>
    <w:p>
      <w:pPr>
        <w:jc w:val="left"/>
      </w:pPr>
    </w:p>
    <w:p>
      <w:r>
        <w:br w:type="page"/>
      </w:r>
    </w:p>
    <w:tbl>
      <w:tblPr>
        <w:tblStyle w:val="6"/>
        <w:tblW w:w="9846" w:type="dxa"/>
        <w:jc w:val="center"/>
        <w:tblLayout w:type="fixed"/>
        <w:tblCellMar>
          <w:top w:w="0" w:type="dxa"/>
          <w:left w:w="0" w:type="dxa"/>
          <w:bottom w:w="0" w:type="dxa"/>
          <w:right w:w="0" w:type="dxa"/>
        </w:tblCellMar>
      </w:tblPr>
      <w:tblGrid>
        <w:gridCol w:w="941"/>
        <w:gridCol w:w="164"/>
        <w:gridCol w:w="76"/>
        <w:gridCol w:w="90"/>
        <w:gridCol w:w="1193"/>
        <w:gridCol w:w="166"/>
        <w:gridCol w:w="995"/>
        <w:gridCol w:w="166"/>
        <w:gridCol w:w="995"/>
        <w:gridCol w:w="166"/>
        <w:gridCol w:w="995"/>
        <w:gridCol w:w="166"/>
        <w:gridCol w:w="995"/>
        <w:gridCol w:w="166"/>
        <w:gridCol w:w="995"/>
        <w:gridCol w:w="166"/>
        <w:gridCol w:w="1245"/>
        <w:gridCol w:w="166"/>
      </w:tblGrid>
      <w:tr>
        <w:tblPrEx>
          <w:tblCellMar>
            <w:top w:w="0" w:type="dxa"/>
            <w:left w:w="0" w:type="dxa"/>
            <w:bottom w:w="0" w:type="dxa"/>
            <w:right w:w="0" w:type="dxa"/>
          </w:tblCellMar>
        </w:tblPrEx>
        <w:trPr>
          <w:gridAfter w:val="1"/>
          <w:wAfter w:w="166" w:type="dxa"/>
          <w:trHeight w:val="612" w:hRule="atLeast"/>
          <w:jc w:val="center"/>
        </w:trPr>
        <w:tc>
          <w:tcPr>
            <w:tcW w:w="9680" w:type="dxa"/>
            <w:gridSpan w:val="1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0" w:type="dxa"/>
            <w:left w:w="0" w:type="dxa"/>
            <w:bottom w:w="0" w:type="dxa"/>
            <w:right w:w="0" w:type="dxa"/>
          </w:tblCellMar>
        </w:tblPrEx>
        <w:trPr>
          <w:trHeight w:val="313" w:hRule="atLeast"/>
          <w:jc w:val="center"/>
        </w:trPr>
        <w:tc>
          <w:tcPr>
            <w:tcW w:w="2630" w:type="dxa"/>
            <w:gridSpan w:val="6"/>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鹿泉区上寨乡人民政府</w:t>
            </w: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4"/>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gridAfter w:val="1"/>
          <w:wAfter w:w="166" w:type="dxa"/>
          <w:trHeight w:val="323" w:hRule="atLeast"/>
          <w:jc w:val="center"/>
        </w:trPr>
        <w:tc>
          <w:tcPr>
            <w:tcW w:w="2464"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CellMar>
            <w:top w:w="0" w:type="dxa"/>
            <w:left w:w="0" w:type="dxa"/>
            <w:bottom w:w="0" w:type="dxa"/>
            <w:right w:w="0" w:type="dxa"/>
          </w:tblCellMar>
        </w:tblPrEx>
        <w:trPr>
          <w:gridAfter w:val="1"/>
          <w:wAfter w:w="166" w:type="dxa"/>
          <w:trHeight w:val="319" w:hRule="atLeast"/>
          <w:jc w:val="center"/>
        </w:trPr>
        <w:tc>
          <w:tcPr>
            <w:tcW w:w="1105" w:type="dxa"/>
            <w:gridSpan w:val="2"/>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gridSpan w:val="3"/>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19" w:hRule="atLeast"/>
          <w:jc w:val="center"/>
        </w:trPr>
        <w:tc>
          <w:tcPr>
            <w:tcW w:w="1105" w:type="dxa"/>
            <w:gridSpan w:val="2"/>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gridSpan w:val="3"/>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19" w:hRule="atLeast"/>
          <w:jc w:val="center"/>
        </w:trPr>
        <w:tc>
          <w:tcPr>
            <w:tcW w:w="1105" w:type="dxa"/>
            <w:gridSpan w:val="2"/>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gridSpan w:val="3"/>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2464"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gridAfter w:val="1"/>
          <w:wAfter w:w="166" w:type="dxa"/>
          <w:trHeight w:val="323" w:hRule="atLeast"/>
          <w:jc w:val="center"/>
        </w:trPr>
        <w:tc>
          <w:tcPr>
            <w:tcW w:w="2464"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2,287.00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1,092.56</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1,194.44</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一般公共服务支出</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556.46</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532.62</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23.84</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519.42</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497.58</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21.84</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2010301</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497.58</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497.58</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2010303</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机关服务</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21.84</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21.84</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20106</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财政事务</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37.04</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35.04</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2010601</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35.04</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35.04</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2010602</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204</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公共安全支出</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5.09</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5.09</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20402</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公安</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5.09</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5.09</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2040201</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5.09</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5.09</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205</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教育支出</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63.20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63.20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20501</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教育管理事务</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63.20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63.20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2050101</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63.20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63.20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207</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文化旅游体育与传媒支出</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49.24</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49.24</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20701</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文化和旅游</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49.24</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49.24</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2070101</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49.24</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49.24</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社会保障和就业支出</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50.73</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12.73</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20801</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人力资源和社会保障管理事务</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2080101</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行政事业单位离退休</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7.32</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7.32</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2080505</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7.32</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7.32</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20809</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退役安置</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2080901</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退役士兵安置</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卫生健康支出</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47.52</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47.52</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21001</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卫生健康管理事务</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47.52</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47.52</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2100101</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47.52</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47.52</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节能环保支出</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6.79</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6.79</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21101</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环境保护管理事务</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6.79</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6.79</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2110101</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6.79</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6.79</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城乡社区支出</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1,355.29</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249.65</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1,105.64</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城乡社区管理事务</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249.65</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249.65</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2120101</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249.65</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249.65</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城乡社区环境卫生</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231.06</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231.06</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2120501</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231.06</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231.06</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874.59</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874.59</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2120803</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城市建设支出</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874.59</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874.59</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农林水支出</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144.68</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100.46</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44.23</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21301</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农业</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136.68</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100.46</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36.23</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2130101</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100.46</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100.46</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2130122</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农业生产支持补贴</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2130152</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对高校毕业生到基层任职补助</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6.23</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6.23</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21303</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水利</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2130335</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农村人畜饮水</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灾害防治及应急管理支出</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22403</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森林消防事务</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2240304</w:t>
            </w:r>
          </w:p>
        </w:tc>
        <w:tc>
          <w:tcPr>
            <w:tcW w:w="13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森林消防应急救援</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9680" w:type="dxa"/>
            <w:gridSpan w:val="17"/>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9579" w:type="dxa"/>
        <w:jc w:val="center"/>
        <w:tblLayout w:type="fixed"/>
        <w:tblCellMar>
          <w:top w:w="0" w:type="dxa"/>
          <w:left w:w="0" w:type="dxa"/>
          <w:bottom w:w="0" w:type="dxa"/>
          <w:right w:w="0" w:type="dxa"/>
        </w:tblCellMar>
      </w:tblPr>
      <w:tblGrid>
        <w:gridCol w:w="2392"/>
        <w:gridCol w:w="587"/>
        <w:gridCol w:w="1030"/>
        <w:gridCol w:w="2220"/>
        <w:gridCol w:w="493"/>
        <w:gridCol w:w="950"/>
        <w:gridCol w:w="987"/>
        <w:gridCol w:w="920"/>
      </w:tblGrid>
      <w:tr>
        <w:tblPrEx>
          <w:tblCellMar>
            <w:top w:w="0" w:type="dxa"/>
            <w:left w:w="0" w:type="dxa"/>
            <w:bottom w:w="0" w:type="dxa"/>
            <w:right w:w="0" w:type="dxa"/>
          </w:tblCellMar>
        </w:tblPrEx>
        <w:trPr>
          <w:trHeight w:val="406" w:hRule="atLeast"/>
          <w:jc w:val="center"/>
        </w:trPr>
        <w:tc>
          <w:tcPr>
            <w:tcW w:w="9579"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90" w:hRule="atLeast"/>
          <w:jc w:val="center"/>
        </w:trPr>
        <w:tc>
          <w:tcPr>
            <w:tcW w:w="239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9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57"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90" w:hRule="atLeast"/>
          <w:jc w:val="center"/>
        </w:trPr>
        <w:tc>
          <w:tcPr>
            <w:tcW w:w="239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鹿泉区上寨乡人民政府</w:t>
            </w:r>
          </w:p>
        </w:tc>
        <w:tc>
          <w:tcPr>
            <w:tcW w:w="58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9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57"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570"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CellMar>
            <w:top w:w="0" w:type="dxa"/>
            <w:left w:w="0" w:type="dxa"/>
            <w:bottom w:w="0" w:type="dxa"/>
            <w:right w:w="0" w:type="dxa"/>
          </w:tblCellMar>
        </w:tblPrEx>
        <w:trPr>
          <w:trHeight w:val="312" w:hRule="atLeast"/>
          <w:jc w:val="center"/>
        </w:trPr>
        <w:tc>
          <w:tcPr>
            <w:tcW w:w="239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8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103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2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9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95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8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312" w:hRule="atLeast"/>
          <w:jc w:val="center"/>
        </w:trPr>
        <w:tc>
          <w:tcPr>
            <w:tcW w:w="239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8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9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5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8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1,381.35</w:t>
            </w: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556.46</w:t>
            </w: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556.46</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1,070.59</w:t>
            </w: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5.09</w:t>
            </w: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5.09</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63.20</w:t>
            </w: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63.20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49.24</w:t>
            </w: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49.24</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50.73</w:t>
            </w: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50.73</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47.52</w:t>
            </w: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47.52</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6.79</w:t>
            </w: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6.79</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1,324.23</w:t>
            </w: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449.65</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874.59</w:t>
            </w: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144.68</w:t>
            </w: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144.68</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2,451.94</w:t>
            </w: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2,255.94</w:t>
            </w: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1,381.35</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874.59</w:t>
            </w: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196.00</w:t>
            </w: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196.00</w:t>
            </w: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2,451.94</w:t>
            </w:r>
          </w:p>
        </w:tc>
        <w:tc>
          <w:tcPr>
            <w:tcW w:w="2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2,451.94</w:t>
            </w:r>
          </w:p>
        </w:tc>
        <w:tc>
          <w:tcPr>
            <w:tcW w:w="9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1,381.35</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1,070.59</w:t>
            </w:r>
          </w:p>
        </w:tc>
      </w:tr>
      <w:tr>
        <w:tblPrEx>
          <w:tblCellMar>
            <w:top w:w="0" w:type="dxa"/>
            <w:left w:w="0" w:type="dxa"/>
            <w:bottom w:w="0" w:type="dxa"/>
            <w:right w:w="0" w:type="dxa"/>
          </w:tblCellMar>
        </w:tblPrEx>
        <w:trPr>
          <w:trHeight w:val="90" w:hRule="atLeast"/>
          <w:jc w:val="center"/>
        </w:trPr>
        <w:tc>
          <w:tcPr>
            <w:tcW w:w="9579"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9643" w:type="dxa"/>
        <w:jc w:val="center"/>
        <w:tblLayout w:type="fixed"/>
        <w:tblCellMar>
          <w:top w:w="0" w:type="dxa"/>
          <w:left w:w="0" w:type="dxa"/>
          <w:bottom w:w="0" w:type="dxa"/>
          <w:right w:w="0" w:type="dxa"/>
        </w:tblCellMar>
      </w:tblPr>
      <w:tblGrid>
        <w:gridCol w:w="1174"/>
        <w:gridCol w:w="67"/>
        <w:gridCol w:w="67"/>
        <w:gridCol w:w="2024"/>
        <w:gridCol w:w="1940"/>
        <w:gridCol w:w="2237"/>
        <w:gridCol w:w="2134"/>
      </w:tblGrid>
      <w:tr>
        <w:tblPrEx>
          <w:tblCellMar>
            <w:top w:w="0" w:type="dxa"/>
            <w:left w:w="0" w:type="dxa"/>
            <w:bottom w:w="0" w:type="dxa"/>
            <w:right w:w="0" w:type="dxa"/>
          </w:tblCellMar>
        </w:tblPrEx>
        <w:trPr>
          <w:trHeight w:val="600" w:hRule="atLeast"/>
          <w:jc w:val="center"/>
        </w:trPr>
        <w:tc>
          <w:tcPr>
            <w:tcW w:w="9643"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2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37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CellMar>
            <w:top w:w="0" w:type="dxa"/>
            <w:left w:w="0" w:type="dxa"/>
            <w:bottom w:w="0" w:type="dxa"/>
            <w:right w:w="0" w:type="dxa"/>
          </w:tblCellMar>
        </w:tblPrEx>
        <w:trPr>
          <w:trHeight w:val="255" w:hRule="atLeast"/>
          <w:jc w:val="center"/>
        </w:trPr>
        <w:tc>
          <w:tcPr>
            <w:tcW w:w="3332"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鹿泉区上寨乡人民政府</w:t>
            </w:r>
          </w:p>
        </w:tc>
        <w:tc>
          <w:tcPr>
            <w:tcW w:w="19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37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333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31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02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9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23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13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2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9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3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3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2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9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3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3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33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333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一般公共服务支出</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556.46</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532.62</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23.84</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519.42</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497.58</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21.84</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2010301</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497.58</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497.58</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2010303</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机关服务</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21.84</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21.84</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20106</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财政事务</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37.04</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35.04</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2010601</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35.04</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35.04</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2010602</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204</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公共安全支出</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5.09</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5.09</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20402</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公安</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5.09</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5.09</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2040201</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5.09</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5.09</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205</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教育支出</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63.20</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63.20</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20501</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教育管理事务</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63.20</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63.20</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2050101</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63.20</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63.20</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207</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文化旅游体育与传媒支出</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49.24</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49.24</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20701</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文化和旅游</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49.24</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49.24</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2070101</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49.24</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49.24</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社会保障和就业支出</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50.73</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38.00</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12.73</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20801</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人力资源和社会保障管理事务</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38.00</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38.00</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2080101</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38.00</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38.00</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行政事业单位离退休</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7.32</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7.32</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2080505</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7.32</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7.32</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20809</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退役安置</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5.40</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2080901</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退役士兵安置</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5.40</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卫生健康支出</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47.52</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47.52</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21001</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卫生健康管理事务</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47.52</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47.52</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2100101</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47.52</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47.52</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节能环保支出</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6.79</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6.79</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21101</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环境保护管理事务</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6.79</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6.79</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2110101</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6.79</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6.79</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城乡社区支出</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449.65</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249.65</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城乡社区管理事务</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249.65</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249.65</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2120101</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249.65</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249.65</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城乡社区环境卫生</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200.00</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2120501</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200.00</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农林水支出</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144.68</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100.46</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44.23</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21301</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农业</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136.68</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100.46</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36.23</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2130101</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100.46</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100.46</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2130122</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农业生产支持补贴</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30.00</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2130152</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对高校毕业生到基层任职补助</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6.23</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6.23</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21303</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水利</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2130335</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农村人畜饮水</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灾害防治及应急管理支出</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22403</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森林消防事务</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2240304</w:t>
            </w:r>
          </w:p>
        </w:tc>
        <w:tc>
          <w:tcPr>
            <w:tcW w:w="2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森林消防应急救援</w:t>
            </w:r>
          </w:p>
        </w:tc>
        <w:tc>
          <w:tcPr>
            <w:tcW w:w="1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c>
          <w:tcPr>
            <w:tcW w:w="2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r>
    </w:tbl>
    <w:p>
      <w:r>
        <w:br w:type="page"/>
      </w:r>
    </w:p>
    <w:tbl>
      <w:tblPr>
        <w:tblStyle w:val="6"/>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trHeight w:val="339" w:hRule="atLeast"/>
          <w:jc w:val="center"/>
        </w:trPr>
        <w:tc>
          <w:tcPr>
            <w:tcW w:w="2828"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鹿泉区上寨乡人民政府</w:t>
            </w: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433.96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649.82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121.59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38.19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73.47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37.59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108.08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1.40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0.54</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28.96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0.54</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31.50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7.00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18.25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7.26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24.51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10.19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45.08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0.76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8.24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1.56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6.68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507.34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4.47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5.36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12.77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442.20</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650.36</w:t>
            </w:r>
          </w:p>
        </w:tc>
      </w:tr>
    </w:tbl>
    <w:p>
      <w:r>
        <w:br w:type="page"/>
      </w:r>
    </w:p>
    <w:tbl>
      <w:tblPr>
        <w:tblStyle w:val="6"/>
        <w:tblW w:w="9220" w:type="dxa"/>
        <w:jc w:val="center"/>
        <w:tblLayout w:type="autofit"/>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2953"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鹿泉区上寨乡人民政府</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0" w:type="auto"/>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5.4</w:t>
            </w:r>
          </w:p>
        </w:tc>
        <w:tc>
          <w:tcPr>
            <w:tcW w:w="0" w:type="auto"/>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2.8</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0" w:type="auto"/>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5.36</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5.36</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5.36</w:t>
            </w:r>
          </w:p>
        </w:tc>
        <w:tc>
          <w:tcPr>
            <w:tcW w:w="0" w:type="auto"/>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10219" w:type="dxa"/>
        <w:jc w:val="center"/>
        <w:tblLayout w:type="autofit"/>
        <w:tblCellMar>
          <w:top w:w="0" w:type="dxa"/>
          <w:left w:w="0" w:type="dxa"/>
          <w:bottom w:w="0" w:type="dxa"/>
          <w:right w:w="0" w:type="dxa"/>
        </w:tblCellMar>
      </w:tblPr>
      <w:tblGrid>
        <w:gridCol w:w="1020"/>
        <w:gridCol w:w="58"/>
        <w:gridCol w:w="58"/>
        <w:gridCol w:w="1896"/>
        <w:gridCol w:w="626"/>
        <w:gridCol w:w="1491"/>
        <w:gridCol w:w="1491"/>
        <w:gridCol w:w="596"/>
        <w:gridCol w:w="1491"/>
        <w:gridCol w:w="1492"/>
      </w:tblGrid>
      <w:tr>
        <w:tblPrEx>
          <w:tblCellMar>
            <w:top w:w="0" w:type="dxa"/>
            <w:left w:w="0" w:type="dxa"/>
            <w:bottom w:w="0" w:type="dxa"/>
            <w:right w:w="0" w:type="dxa"/>
          </w:tblCellMar>
        </w:tblPrEx>
        <w:trPr>
          <w:trHeight w:val="780" w:hRule="atLeast"/>
          <w:jc w:val="center"/>
        </w:trPr>
        <w:tc>
          <w:tcPr>
            <w:tcW w:w="10219"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2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8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widowControl/>
              <w:ind w:firstLine="200" w:firstLineChars="100"/>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22" w:type="dxa"/>
            <w:gridSpan w:val="2"/>
            <w:tcBorders>
              <w:top w:val="nil"/>
              <w:left w:val="nil"/>
              <w:bottom w:val="nil"/>
              <w:right w:val="nil"/>
            </w:tcBorders>
            <w:shd w:val="clear" w:color="auto" w:fill="auto"/>
            <w:noWrap/>
            <w:tcMar>
              <w:top w:w="15" w:type="dxa"/>
              <w:left w:w="15" w:type="dxa"/>
              <w:right w:w="15" w:type="dxa"/>
            </w:tcMar>
            <w:vAlign w:val="bottom"/>
          </w:tcPr>
          <w:p>
            <w:pPr>
              <w:jc w:val="center"/>
              <w:rPr>
                <w:rFonts w:ascii="Arial" w:hAnsi="Arial" w:cs="Arial"/>
                <w:color w:val="000000"/>
                <w:sz w:val="20"/>
                <w:szCs w:val="20"/>
              </w:rPr>
            </w:pPr>
            <w:r>
              <w:rPr>
                <w:rFonts w:hint="eastAsia" w:ascii="宋体" w:hAnsi="宋体" w:eastAsia="宋体" w:cs="宋体"/>
                <w:color w:val="000000"/>
                <w:kern w:val="0"/>
                <w:sz w:val="20"/>
                <w:szCs w:val="20"/>
                <w:lang w:val="en-US" w:eastAsia="zh-CN" w:bidi="ar"/>
              </w:rPr>
              <w:t>鹿泉区上寨乡人民政府</w:t>
            </w:r>
          </w:p>
        </w:tc>
        <w:tc>
          <w:tcPr>
            <w:tcW w:w="14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8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303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2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49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578"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49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89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62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59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4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4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2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9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2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9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03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6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4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4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5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4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303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6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1,070.59</w:t>
            </w:r>
          </w:p>
        </w:tc>
        <w:tc>
          <w:tcPr>
            <w:tcW w:w="14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874.59</w:t>
            </w:r>
          </w:p>
        </w:tc>
        <w:tc>
          <w:tcPr>
            <w:tcW w:w="5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874.59</w:t>
            </w: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196.00</w:t>
            </w: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w:t>
            </w:r>
          </w:p>
        </w:tc>
        <w:tc>
          <w:tcPr>
            <w:tcW w:w="18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城乡社区支出</w:t>
            </w:r>
          </w:p>
        </w:tc>
        <w:tc>
          <w:tcPr>
            <w:tcW w:w="6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1,070.59</w:t>
            </w:r>
          </w:p>
        </w:tc>
        <w:tc>
          <w:tcPr>
            <w:tcW w:w="14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874.59</w:t>
            </w:r>
          </w:p>
        </w:tc>
        <w:tc>
          <w:tcPr>
            <w:tcW w:w="5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874.59</w:t>
            </w: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196.00</w:t>
            </w: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w:t>
            </w:r>
          </w:p>
        </w:tc>
        <w:tc>
          <w:tcPr>
            <w:tcW w:w="18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6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1,070.59</w:t>
            </w:r>
          </w:p>
        </w:tc>
        <w:tc>
          <w:tcPr>
            <w:tcW w:w="14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874.59</w:t>
            </w:r>
          </w:p>
        </w:tc>
        <w:tc>
          <w:tcPr>
            <w:tcW w:w="5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874.59</w:t>
            </w: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196.00</w:t>
            </w: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2120803</w:t>
            </w:r>
          </w:p>
        </w:tc>
        <w:tc>
          <w:tcPr>
            <w:tcW w:w="18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城市建设支出</w:t>
            </w:r>
          </w:p>
        </w:tc>
        <w:tc>
          <w:tcPr>
            <w:tcW w:w="6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874.59</w:t>
            </w:r>
          </w:p>
        </w:tc>
        <w:tc>
          <w:tcPr>
            <w:tcW w:w="14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874.59</w:t>
            </w:r>
          </w:p>
        </w:tc>
        <w:tc>
          <w:tcPr>
            <w:tcW w:w="5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874.59</w:t>
            </w: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2120804</w:t>
            </w:r>
          </w:p>
        </w:tc>
        <w:tc>
          <w:tcPr>
            <w:tcW w:w="18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农村基础设施建设支出</w:t>
            </w:r>
          </w:p>
        </w:tc>
        <w:tc>
          <w:tcPr>
            <w:tcW w:w="6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196.00</w:t>
            </w:r>
          </w:p>
        </w:tc>
        <w:tc>
          <w:tcPr>
            <w:tcW w:w="14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5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196.00</w:t>
            </w: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8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6"/>
        <w:tblW w:w="9915" w:type="dxa"/>
        <w:jc w:val="center"/>
        <w:tblLayout w:type="autofit"/>
        <w:tblCellMar>
          <w:top w:w="0" w:type="dxa"/>
          <w:left w:w="0" w:type="dxa"/>
          <w:bottom w:w="0" w:type="dxa"/>
          <w:right w:w="0" w:type="dxa"/>
        </w:tblCellMar>
      </w:tblPr>
      <w:tblGrid>
        <w:gridCol w:w="3807"/>
        <w:gridCol w:w="52"/>
        <w:gridCol w:w="52"/>
        <w:gridCol w:w="2689"/>
        <w:gridCol w:w="680"/>
        <w:gridCol w:w="1317"/>
        <w:gridCol w:w="1318"/>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鹿泉区上寨乡人民政府</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71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lang w:val="en-US" w:eastAsia="zh-CN"/>
        </w:rPr>
        <w:t>注：2019年本单位无国有资本经营预算财政拨款支出，按要求以空表列示。</w:t>
      </w:r>
      <w:r>
        <w:br w:type="page"/>
      </w:r>
    </w:p>
    <w:p>
      <w:r>
        <mc:AlternateContent>
          <mc:Choice Requires="wps">
            <w:drawing>
              <wp:anchor distT="0" distB="0" distL="114300" distR="114300" simplePos="0" relativeHeight="437282816"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43728281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481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283481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28368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2836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8556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88556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865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8865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D54DACE"/>
    <w:multiLevelType w:val="singleLevel"/>
    <w:tmpl w:val="AD54DACE"/>
    <w:lvl w:ilvl="0" w:tentative="0">
      <w:start w:val="1"/>
      <w:numFmt w:val="chineseCounting"/>
      <w:suff w:val="nothing"/>
      <w:lvlText w:val="（%1）"/>
      <w:lvlJc w:val="left"/>
      <w:rPr>
        <w:rFonts w:hint="eastAsia"/>
      </w:rPr>
    </w:lvl>
  </w:abstractNum>
  <w:abstractNum w:abstractNumId="1">
    <w:nsid w:val="38D6D40E"/>
    <w:multiLevelType w:val="singleLevel"/>
    <w:tmpl w:val="38D6D40E"/>
    <w:lvl w:ilvl="0" w:tentative="0">
      <w:start w:val="7"/>
      <w:numFmt w:val="chineseCounting"/>
      <w:suff w:val="nothing"/>
      <w:lvlText w:val="%1、"/>
      <w:lvlJc w:val="left"/>
      <w:rPr>
        <w:rFonts w:hint="eastAsia"/>
      </w:rPr>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abstractNum w:abstractNumId="3">
    <w:nsid w:val="59950409"/>
    <w:multiLevelType w:val="singleLevel"/>
    <w:tmpl w:val="59950409"/>
    <w:lvl w:ilvl="0" w:tentative="0">
      <w:start w:val="1"/>
      <w:numFmt w:val="decimal"/>
      <w:suff w:val="space"/>
      <w:lvlText w:val="%1."/>
      <w:lvlJc w:val="left"/>
    </w:lvl>
  </w:abstractNum>
  <w:abstractNum w:abstractNumId="4">
    <w:nsid w:val="5F222FFA"/>
    <w:multiLevelType w:val="singleLevel"/>
    <w:tmpl w:val="5F222FFA"/>
    <w:lvl w:ilvl="0" w:tentative="0">
      <w:start w:val="1"/>
      <w:numFmt w:val="decimal"/>
      <w:suff w:val="nothing"/>
      <w:lvlText w:val="（%1）"/>
      <w:lvlJc w:val="left"/>
      <w:pPr>
        <w:ind w:left="-10"/>
      </w:pPr>
    </w:lvl>
  </w:abstractNum>
  <w:abstractNum w:abstractNumId="5">
    <w:nsid w:val="78C1413D"/>
    <w:multiLevelType w:val="singleLevel"/>
    <w:tmpl w:val="78C1413D"/>
    <w:lvl w:ilvl="0" w:tentative="0">
      <w:start w:val="1"/>
      <w:numFmt w:val="decimal"/>
      <w:suff w:val="space"/>
      <w:lvlText w:val="%1."/>
      <w:lvlJc w:val="left"/>
    </w:lvl>
  </w:abstractNum>
  <w:num w:numId="1">
    <w:abstractNumId w:val="5"/>
  </w:num>
  <w:num w:numId="2">
    <w:abstractNumId w:val="3"/>
  </w:num>
  <w:num w:numId="3">
    <w:abstractNumId w:val="2"/>
  </w:num>
  <w:num w:numId="4">
    <w:abstractNumId w:val="4"/>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30127"/>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5B00A30"/>
    <w:rsid w:val="0B011416"/>
    <w:rsid w:val="13317C6D"/>
    <w:rsid w:val="154266CE"/>
    <w:rsid w:val="1D13433D"/>
    <w:rsid w:val="205E625D"/>
    <w:rsid w:val="24520890"/>
    <w:rsid w:val="2A0B0335"/>
    <w:rsid w:val="2CF86D4F"/>
    <w:rsid w:val="2D2E52CD"/>
    <w:rsid w:val="2F3A0439"/>
    <w:rsid w:val="302F5EA7"/>
    <w:rsid w:val="31C2036A"/>
    <w:rsid w:val="320D02A5"/>
    <w:rsid w:val="348E566F"/>
    <w:rsid w:val="36C220AE"/>
    <w:rsid w:val="390A5586"/>
    <w:rsid w:val="3A226944"/>
    <w:rsid w:val="3AEE6A48"/>
    <w:rsid w:val="3C1620AA"/>
    <w:rsid w:val="3D8F080F"/>
    <w:rsid w:val="3F76795C"/>
    <w:rsid w:val="3FCB63F1"/>
    <w:rsid w:val="439B3002"/>
    <w:rsid w:val="445F5FB0"/>
    <w:rsid w:val="44CE1FA4"/>
    <w:rsid w:val="470B21D1"/>
    <w:rsid w:val="487F73ED"/>
    <w:rsid w:val="49FF4B0E"/>
    <w:rsid w:val="4A347EAE"/>
    <w:rsid w:val="4CD17957"/>
    <w:rsid w:val="52600405"/>
    <w:rsid w:val="529B4319"/>
    <w:rsid w:val="55EF6BEE"/>
    <w:rsid w:val="57773DD6"/>
    <w:rsid w:val="578B79AB"/>
    <w:rsid w:val="583A70D2"/>
    <w:rsid w:val="5CCD3FD5"/>
    <w:rsid w:val="61A535CB"/>
    <w:rsid w:val="61FA5F9D"/>
    <w:rsid w:val="63953962"/>
    <w:rsid w:val="64CD6910"/>
    <w:rsid w:val="6789158D"/>
    <w:rsid w:val="67D81BA4"/>
    <w:rsid w:val="6AAF1C96"/>
    <w:rsid w:val="6BD60302"/>
    <w:rsid w:val="6EEB3F63"/>
    <w:rsid w:val="6F69379B"/>
    <w:rsid w:val="71D14985"/>
    <w:rsid w:val="75681757"/>
    <w:rsid w:val="75A346A8"/>
    <w:rsid w:val="79B9382C"/>
    <w:rsid w:val="7B043B76"/>
    <w:rsid w:val="7C041A6A"/>
    <w:rsid w:val="7E327570"/>
    <w:rsid w:val="7EAF056D"/>
    <w:rsid w:val="7FFA0D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6" Type="http://schemas.openxmlformats.org/officeDocument/2006/relationships/fontTable" Target="fontTable.xml"/><Relationship Id="rId35" Type="http://schemas.openxmlformats.org/officeDocument/2006/relationships/customXml" Target="../customXml/item2.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chart" Target="charts/chart3.xml"/><Relationship Id="rId31" Type="http://schemas.openxmlformats.org/officeDocument/2006/relationships/chart" Target="charts/chart2.xml"/><Relationship Id="rId30" Type="http://schemas.openxmlformats.org/officeDocument/2006/relationships/chart" Target="charts/chart1.xml"/><Relationship Id="rId3" Type="http://schemas.openxmlformats.org/officeDocument/2006/relationships/header" Target="header1.xml"/><Relationship Id="rId29" Type="http://schemas.openxmlformats.org/officeDocument/2006/relationships/image" Target="media/image3.bmp"/><Relationship Id="rId28" Type="http://schemas.openxmlformats.org/officeDocument/2006/relationships/image" Target="media/image2.png"/><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H:\&#39044;&#20915;&#31639;&#33258;&#26597;\&#20915;&#31639;&#27491;&#30830;\&#26032;&#24314;%20Microsoft%20Excel%20&#24037;&#20316;&#34920;.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H:\&#39044;&#20915;&#31639;&#33258;&#26597;\&#20915;&#31639;&#27491;&#30830;\&#26032;&#24314;%20Microsoft%20Excel%20&#24037;&#20316;&#34920;.xlsx"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H:\&#39044;&#20915;&#31639;&#33258;&#26597;\&#20915;&#31639;&#27491;&#30830;\&#26032;&#24314;%20Microsoft%20Excel%20&#24037;&#20316;&#349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2018</a:t>
            </a:r>
            <a:r>
              <a:rPr altLang="en-US"/>
              <a:t>、</a:t>
            </a:r>
            <a:r>
              <a:rPr lang="en-US" altLang="zh-CN"/>
              <a:t>2019</a:t>
            </a:r>
            <a:r>
              <a:rPr altLang="en-US"/>
              <a:t>收入支出对比</a:t>
            </a:r>
            <a:endParaRPr lang="en-US" altLang="zh-CN"/>
          </a:p>
        </c:rich>
      </c:tx>
      <c:layout/>
      <c:overlay val="0"/>
      <c:spPr>
        <a:noFill/>
        <a:ln>
          <a:noFill/>
        </a:ln>
        <a:effectLst/>
      </c:spPr>
    </c:title>
    <c:autoTitleDeleted val="0"/>
    <c:plotArea>
      <c:layout/>
      <c:barChart>
        <c:barDir val="col"/>
        <c:grouping val="clustered"/>
        <c:varyColors val="0"/>
        <c:ser>
          <c:idx val="0"/>
          <c:order val="0"/>
          <c:tx>
            <c:strRef>
              <c:f>'[新建 Microsoft Excel 工作表.xlsx]Sheet1'!$A$29</c:f>
              <c:strCache>
                <c:ptCount val="1"/>
                <c:pt idx="0">
                  <c:v>收入</c:v>
                </c:pt>
              </c:strCache>
            </c:strRef>
          </c:tx>
          <c:spPr>
            <a:solidFill>
              <a:schemeClr val="accent1"/>
            </a:solidFill>
            <a:ln>
              <a:noFill/>
            </a:ln>
            <a:effectLst/>
          </c:spPr>
          <c:invertIfNegative val="0"/>
          <c:dLbls>
            <c:delete val="1"/>
          </c:dLbls>
          <c:cat>
            <c:numRef>
              <c:f>'[新建 Microsoft Excel 工作表.xlsx]Sheet1'!$B$28:$C$28</c:f>
              <c:numCache>
                <c:formatCode>General</c:formatCode>
                <c:ptCount val="2"/>
                <c:pt idx="0">
                  <c:v>2018</c:v>
                </c:pt>
                <c:pt idx="1">
                  <c:v>2019</c:v>
                </c:pt>
              </c:numCache>
            </c:numRef>
          </c:cat>
          <c:val>
            <c:numRef>
              <c:f>'[新建 Microsoft Excel 工作表.xlsx]Sheet1'!$B$29:$C$29</c:f>
              <c:numCache>
                <c:formatCode>General</c:formatCode>
                <c:ptCount val="2"/>
                <c:pt idx="0">
                  <c:v>4756.8</c:v>
                </c:pt>
                <c:pt idx="1">
                  <c:v>2483</c:v>
                </c:pt>
              </c:numCache>
            </c:numRef>
          </c:val>
        </c:ser>
        <c:ser>
          <c:idx val="1"/>
          <c:order val="1"/>
          <c:tx>
            <c:strRef>
              <c:f>'[新建 Microsoft Excel 工作表.xlsx]Sheet1'!$A$30</c:f>
              <c:strCache>
                <c:ptCount val="1"/>
                <c:pt idx="0">
                  <c:v>支出</c:v>
                </c:pt>
              </c:strCache>
            </c:strRef>
          </c:tx>
          <c:spPr>
            <a:solidFill>
              <a:schemeClr val="accent2"/>
            </a:solidFill>
            <a:ln>
              <a:noFill/>
            </a:ln>
            <a:effectLst/>
          </c:spPr>
          <c:invertIfNegative val="0"/>
          <c:dLbls>
            <c:delete val="1"/>
          </c:dLbls>
          <c:cat>
            <c:numRef>
              <c:f>'[新建 Microsoft Excel 工作表.xlsx]Sheet1'!$B$28:$C$28</c:f>
              <c:numCache>
                <c:formatCode>General</c:formatCode>
                <c:ptCount val="2"/>
                <c:pt idx="0">
                  <c:v>2018</c:v>
                </c:pt>
                <c:pt idx="1">
                  <c:v>2019</c:v>
                </c:pt>
              </c:numCache>
            </c:numRef>
          </c:cat>
          <c:val>
            <c:numRef>
              <c:f>'[新建 Microsoft Excel 工作表.xlsx]Sheet1'!$B$30:$C$30</c:f>
              <c:numCache>
                <c:formatCode>General</c:formatCode>
                <c:ptCount val="2"/>
                <c:pt idx="0">
                  <c:v>4756.8</c:v>
                </c:pt>
                <c:pt idx="1">
                  <c:v>2483</c:v>
                </c:pt>
              </c:numCache>
            </c:numRef>
          </c:val>
        </c:ser>
        <c:dLbls>
          <c:showLegendKey val="0"/>
          <c:showVal val="0"/>
          <c:showCatName val="0"/>
          <c:showSerName val="0"/>
          <c:showPercent val="0"/>
          <c:showBubbleSize val="0"/>
        </c:dLbls>
        <c:gapWidth val="219"/>
        <c:overlap val="-27"/>
        <c:axId val="917557265"/>
        <c:axId val="794618786"/>
      </c:barChart>
      <c:catAx>
        <c:axId val="91755726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94618786"/>
        <c:crosses val="autoZero"/>
        <c:auto val="1"/>
        <c:lblAlgn val="ctr"/>
        <c:lblOffset val="100"/>
        <c:noMultiLvlLbl val="0"/>
      </c:catAx>
      <c:valAx>
        <c:axId val="79461878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17557265"/>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2019</a:t>
            </a:r>
            <a:r>
              <a:rPr altLang="en-US"/>
              <a:t>、</a:t>
            </a:r>
            <a:r>
              <a:rPr lang="en-US" altLang="zh-CN"/>
              <a:t>2018</a:t>
            </a:r>
            <a:r>
              <a:rPr altLang="en-US"/>
              <a:t>年财政拨款收入、支出对比</a:t>
            </a:r>
            <a:endParaRPr lang="en-US" altLang="zh-CN"/>
          </a:p>
        </c:rich>
      </c:tx>
      <c:layout>
        <c:manualLayout>
          <c:xMode val="edge"/>
          <c:yMode val="edge"/>
          <c:x val="0.1575"/>
          <c:y val="0.0439814814814815"/>
        </c:manualLayout>
      </c:layout>
      <c:overlay val="0"/>
      <c:spPr>
        <a:noFill/>
        <a:ln>
          <a:noFill/>
        </a:ln>
        <a:effectLst/>
      </c:spPr>
    </c:title>
    <c:autoTitleDeleted val="0"/>
    <c:plotArea>
      <c:layout/>
      <c:barChart>
        <c:barDir val="col"/>
        <c:grouping val="clustered"/>
        <c:varyColors val="0"/>
        <c:ser>
          <c:idx val="0"/>
          <c:order val="0"/>
          <c:tx>
            <c:strRef>
              <c:f>'[新建 Microsoft Excel 工作表.xlsx]Sheet1'!$A$3</c:f>
              <c:strCache>
                <c:ptCount val="1"/>
                <c:pt idx="0">
                  <c:v>财政拨款收入</c:v>
                </c:pt>
              </c:strCache>
            </c:strRef>
          </c:tx>
          <c:spPr>
            <a:solidFill>
              <a:schemeClr val="accent1"/>
            </a:solidFill>
            <a:ln>
              <a:noFill/>
            </a:ln>
            <a:effectLst/>
          </c:spPr>
          <c:invertIfNegative val="0"/>
          <c:dLbls>
            <c:delete val="1"/>
          </c:dLbls>
          <c:cat>
            <c:numRef>
              <c:f>'[新建 Microsoft Excel 工作表.xlsx]Sheet1'!$B$2:$C$2</c:f>
              <c:numCache>
                <c:formatCode>General</c:formatCode>
                <c:ptCount val="2"/>
                <c:pt idx="0">
                  <c:v>2018</c:v>
                </c:pt>
                <c:pt idx="1">
                  <c:v>2019</c:v>
                </c:pt>
              </c:numCache>
            </c:numRef>
          </c:cat>
          <c:val>
            <c:numRef>
              <c:f>'[新建 Microsoft Excel 工作表.xlsx]Sheet1'!$B$3:$C$3</c:f>
              <c:numCache>
                <c:formatCode>General</c:formatCode>
                <c:ptCount val="2"/>
                <c:pt idx="0">
                  <c:v>3464.79</c:v>
                </c:pt>
                <c:pt idx="1">
                  <c:v>2451.94</c:v>
                </c:pt>
              </c:numCache>
            </c:numRef>
          </c:val>
        </c:ser>
        <c:ser>
          <c:idx val="1"/>
          <c:order val="1"/>
          <c:tx>
            <c:strRef>
              <c:f>'[新建 Microsoft Excel 工作表.xlsx]Sheet1'!$A$4</c:f>
              <c:strCache>
                <c:ptCount val="1"/>
                <c:pt idx="0">
                  <c:v>财政拨款支出</c:v>
                </c:pt>
              </c:strCache>
            </c:strRef>
          </c:tx>
          <c:spPr>
            <a:solidFill>
              <a:schemeClr val="accent2"/>
            </a:solidFill>
            <a:ln>
              <a:noFill/>
            </a:ln>
            <a:effectLst/>
          </c:spPr>
          <c:invertIfNegative val="0"/>
          <c:dLbls>
            <c:delete val="1"/>
          </c:dLbls>
          <c:cat>
            <c:numRef>
              <c:f>'[新建 Microsoft Excel 工作表.xlsx]Sheet1'!$B$2:$C$2</c:f>
              <c:numCache>
                <c:formatCode>General</c:formatCode>
                <c:ptCount val="2"/>
                <c:pt idx="0">
                  <c:v>2018</c:v>
                </c:pt>
                <c:pt idx="1">
                  <c:v>2019</c:v>
                </c:pt>
              </c:numCache>
            </c:numRef>
          </c:cat>
          <c:val>
            <c:numRef>
              <c:f>'[新建 Microsoft Excel 工作表.xlsx]Sheet1'!$B$4:$C$4</c:f>
              <c:numCache>
                <c:formatCode>General</c:formatCode>
                <c:ptCount val="2"/>
                <c:pt idx="0">
                  <c:v>3464.79</c:v>
                </c:pt>
                <c:pt idx="1">
                  <c:v>2255.96</c:v>
                </c:pt>
              </c:numCache>
            </c:numRef>
          </c:val>
        </c:ser>
        <c:dLbls>
          <c:showLegendKey val="0"/>
          <c:showVal val="0"/>
          <c:showCatName val="0"/>
          <c:showSerName val="0"/>
          <c:showPercent val="0"/>
          <c:showBubbleSize val="0"/>
        </c:dLbls>
        <c:gapWidth val="219"/>
        <c:overlap val="-27"/>
        <c:axId val="433865913"/>
        <c:axId val="549896901"/>
      </c:barChart>
      <c:catAx>
        <c:axId val="43386591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49896901"/>
        <c:crosses val="autoZero"/>
        <c:auto val="1"/>
        <c:lblAlgn val="ctr"/>
        <c:lblOffset val="100"/>
        <c:noMultiLvlLbl val="0"/>
      </c:catAx>
      <c:valAx>
        <c:axId val="54989690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33865913"/>
        <c:crosses val="autoZero"/>
        <c:crossBetween val="between"/>
      </c:valAx>
      <c:spPr>
        <a:noFill/>
        <a:ln>
          <a:noFill/>
        </a:ln>
        <a:effectLst/>
      </c:spPr>
    </c:plotArea>
    <c:legend>
      <c:legendPos val="b"/>
      <c:layout>
        <c:manualLayout>
          <c:xMode val="edge"/>
          <c:yMode val="edge"/>
          <c:x val="0.264509130356174"/>
          <c:y val="0.847474747474747"/>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600" b="1" i="0" u="none" strike="noStrike" kern="1200" baseline="0">
                <a:solidFill>
                  <a:schemeClr val="tx1">
                    <a:lumMod val="65000"/>
                    <a:lumOff val="35000"/>
                  </a:schemeClr>
                </a:solidFill>
                <a:latin typeface="+mn-lt"/>
                <a:ea typeface="+mn-ea"/>
                <a:cs typeface="+mn-cs"/>
              </a:defRPr>
            </a:pPr>
            <a:r>
              <a:t>2019年财政拨款支出结构</a:t>
            </a:r>
          </a:p>
        </c:rich>
      </c:tx>
      <c:layout/>
      <c:overlay val="0"/>
      <c:spPr>
        <a:noFill/>
        <a:ln>
          <a:noFill/>
        </a:ln>
        <a:effectLst/>
      </c:spPr>
    </c:title>
    <c:autoTitleDeleted val="0"/>
    <c:plotArea>
      <c:layout/>
      <c:pieChart>
        <c:varyColors val="1"/>
        <c:ser>
          <c:idx val="0"/>
          <c:order val="0"/>
          <c:spPr/>
          <c:explosion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Lbls>
            <c:delete val="1"/>
          </c:dLbls>
          <c:cat>
            <c:strRef>
              <c:f>'[新建 Microsoft Excel 工作表.xlsx]Sheet1'!$A$8:$A$14</c:f>
              <c:strCache>
                <c:ptCount val="7"/>
                <c:pt idx="0">
                  <c:v>一般公共服务（类）</c:v>
                </c:pt>
                <c:pt idx="1">
                  <c:v>公共安全类</c:v>
                </c:pt>
                <c:pt idx="2">
                  <c:v>教育（类）</c:v>
                </c:pt>
                <c:pt idx="3">
                  <c:v>文化旅游与传媒</c:v>
                </c:pt>
                <c:pt idx="4">
                  <c:v>社会保障和就业（类）</c:v>
                </c:pt>
                <c:pt idx="5">
                  <c:v>城乡社区</c:v>
                </c:pt>
                <c:pt idx="6">
                  <c:v>农林水</c:v>
                </c:pt>
              </c:strCache>
            </c:strRef>
          </c:cat>
          <c:val>
            <c:numRef>
              <c:f>'[新建 Microsoft Excel 工作表.xlsx]Sheet1'!$B$8:$B$14</c:f>
              <c:numCache>
                <c:formatCode>General</c:formatCode>
                <c:ptCount val="7"/>
                <c:pt idx="0">
                  <c:v>556.46</c:v>
                </c:pt>
                <c:pt idx="1">
                  <c:v>5.09</c:v>
                </c:pt>
                <c:pt idx="2">
                  <c:v>63.2</c:v>
                </c:pt>
                <c:pt idx="3">
                  <c:v>49.24</c:v>
                </c:pt>
                <c:pt idx="4">
                  <c:v>50.73</c:v>
                </c:pt>
                <c:pt idx="5">
                  <c:v>1324.23</c:v>
                </c:pt>
                <c:pt idx="6">
                  <c:v>144.68</c:v>
                </c:pt>
              </c:numCache>
            </c:numRef>
          </c:val>
        </c:ser>
        <c:dLbls>
          <c:showLegendKey val="0"/>
          <c:showVal val="0"/>
          <c:showCatName val="1"/>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1</TotalTime>
  <ScaleCrop>false</ScaleCrop>
  <LinksUpToDate>false</LinksUpToDate>
  <CharactersWithSpaces>11119</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DELL</cp:lastModifiedBy>
  <cp:lastPrinted>2021-06-18T01:00:00Z</cp:lastPrinted>
  <dcterms:modified xsi:type="dcterms:W3CDTF">2021-07-16T03:13:30Z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