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石家庄市鹿泉区人民政府办公室</w:t>
      </w:r>
    </w:p>
    <w:p>
      <w:pPr>
        <w:ind w:firstLine="880" w:firstLineChars="200"/>
        <w:jc w:val="center"/>
        <w:rPr>
          <w:rFonts w:ascii="Times New Roman" w:hAnsi="Times New Roman" w:eastAsia="方正小标宋_GBK"/>
          <w:sz w:val="44"/>
          <w:szCs w:val="44"/>
        </w:rPr>
      </w:pPr>
      <w:r>
        <w:rPr>
          <w:rFonts w:ascii="Times New Roman" w:hAnsi="Times New Roman" w:eastAsia="方正小标宋_GBK"/>
          <w:sz w:val="44"/>
          <w:szCs w:val="44"/>
        </w:rPr>
        <w:t>20</w:t>
      </w:r>
      <w:r>
        <w:rPr>
          <w:rFonts w:hint="eastAsia" w:ascii="Times New Roman" w:hAnsi="Times New Roman" w:eastAsia="方正小标宋_GBK"/>
          <w:sz w:val="44"/>
          <w:szCs w:val="44"/>
          <w:lang w:val="en-US" w:eastAsia="zh-CN"/>
        </w:rPr>
        <w:t>20</w:t>
      </w:r>
      <w:r>
        <w:rPr>
          <w:rFonts w:hint="eastAsia" w:ascii="Times New Roman" w:hAnsi="Times New Roman" w:eastAsia="方正小标宋_GBK"/>
          <w:sz w:val="44"/>
          <w:szCs w:val="44"/>
        </w:rPr>
        <w:t>年部门预算情况说明</w:t>
      </w:r>
    </w:p>
    <w:p>
      <w:pPr>
        <w:ind w:firstLine="880" w:firstLineChars="200"/>
        <w:jc w:val="center"/>
        <w:rPr>
          <w:rFonts w:ascii="Times New Roman" w:hAnsi="Times New Roman" w:eastAsia="方正小标宋_GBK"/>
          <w:sz w:val="44"/>
          <w:szCs w:val="44"/>
        </w:rPr>
      </w:pP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一、部门职责及机构设置情况</w:t>
      </w:r>
    </w:p>
    <w:p>
      <w:pPr>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部门职责：</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1、负责区政府决议、决定的起草与审核</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2、负责重大事项向市委、市政府请示报告及反馈等工作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3、负责区政府年度工作计划、工作总结、工作汇报、会议纪要等各种文件、领导讲话材料的起草、审核和印发工作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4、负责以区政府名义印发的各类公文文稿的审核与印发工作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5</w:t>
      </w:r>
      <w:r>
        <w:rPr>
          <w:rFonts w:hint="eastAsia" w:ascii="仿宋_GB2312" w:hAnsi="仿宋_GB2312" w:eastAsia="仿宋_GB2312" w:cs="仿宋_GB2312"/>
          <w:sz w:val="28"/>
        </w:rPr>
        <w:t>、负责区政府领导各类重要活动、会议通知的组织安排工作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6</w:t>
      </w:r>
      <w:r>
        <w:rPr>
          <w:rFonts w:hint="eastAsia" w:ascii="仿宋_GB2312" w:hAnsi="仿宋_GB2312" w:eastAsia="仿宋_GB2312" w:cs="仿宋_GB2312"/>
          <w:sz w:val="28"/>
        </w:rPr>
        <w:t>、负责督导检查区政府各项决议、决定和区领导批示具体事项的执行情况，并及时向区政府和办公室领导报告</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7</w:t>
      </w:r>
      <w:r>
        <w:rPr>
          <w:rFonts w:hint="eastAsia" w:ascii="仿宋_GB2312" w:hAnsi="仿宋_GB2312" w:eastAsia="仿宋_GB2312" w:cs="仿宋_GB2312"/>
          <w:sz w:val="28"/>
        </w:rPr>
        <w:t>、负责各类文件的登记、收发、传阅及各部门往来行文的呈批、转办、催办和管理工作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8</w:t>
      </w:r>
      <w:r>
        <w:rPr>
          <w:rFonts w:hint="eastAsia" w:ascii="仿宋_GB2312" w:hAnsi="仿宋_GB2312" w:eastAsia="仿宋_GB2312" w:cs="仿宋_GB2312"/>
          <w:sz w:val="28"/>
        </w:rPr>
        <w:t>、组织受理人大代表议案、建议、批评和意见及政协委员提案</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9</w:t>
      </w:r>
      <w:r>
        <w:rPr>
          <w:rFonts w:hint="eastAsia" w:ascii="仿宋_GB2312" w:hAnsi="仿宋_GB2312" w:eastAsia="仿宋_GB2312" w:cs="仿宋_GB2312"/>
          <w:sz w:val="28"/>
        </w:rPr>
        <w:t>、负责区政府及办公室印章的保管与使用工作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10</w:t>
      </w:r>
      <w:r>
        <w:rPr>
          <w:rFonts w:hint="eastAsia" w:ascii="仿宋_GB2312" w:hAnsi="仿宋_GB2312" w:eastAsia="仿宋_GB2312" w:cs="仿宋_GB2312"/>
          <w:sz w:val="28"/>
        </w:rPr>
        <w:t>、负责区政府办公室全天24小时值班工作</w:t>
      </w:r>
      <w:r>
        <w:rPr>
          <w:rFonts w:hint="eastAsia" w:ascii="仿宋_GB2312" w:hAnsi="仿宋_GB2312" w:eastAsia="仿宋_GB2312" w:cs="仿宋_GB2312"/>
          <w:sz w:val="28"/>
          <w:lang w:eastAsia="zh-CN"/>
        </w:rPr>
        <w:t>。</w:t>
      </w:r>
    </w:p>
    <w:p>
      <w:pPr>
        <w:spacing w:line="500" w:lineRule="exact"/>
        <w:ind w:firstLine="560"/>
        <w:rPr>
          <w:rFonts w:hint="eastAsia" w:ascii="仿宋_GB2312" w:hAnsi="仿宋_GB2312" w:eastAsia="仿宋_GB2312" w:cs="仿宋_GB2312"/>
          <w:sz w:val="28"/>
          <w:lang w:val="en-US" w:eastAsia="zh-CN"/>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1</w:t>
      </w:r>
      <w:r>
        <w:rPr>
          <w:rFonts w:hint="eastAsia" w:ascii="仿宋_GB2312" w:hAnsi="仿宋_GB2312" w:eastAsia="仿宋_GB2312" w:cs="仿宋_GB2312"/>
          <w:sz w:val="28"/>
        </w:rPr>
        <w:t>、负责全区应急管理及紧急情况重大事件报告工作；区领导对紧急情况重大事件的压报、误报、批示意见的督办落实工作</w:t>
      </w:r>
      <w:r>
        <w:rPr>
          <w:rFonts w:hint="eastAsia" w:ascii="仿宋_GB2312" w:hAnsi="仿宋_GB2312" w:eastAsia="仿宋_GB2312" w:cs="仿宋_GB2312"/>
          <w:sz w:val="28"/>
          <w:lang w:val="en-US" w:eastAsia="zh-CN"/>
        </w:rPr>
        <w:t>。</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2</w:t>
      </w:r>
      <w:r>
        <w:rPr>
          <w:rFonts w:hint="eastAsia" w:ascii="仿宋_GB2312" w:hAnsi="仿宋_GB2312" w:eastAsia="仿宋_GB2312" w:cs="仿宋_GB2312"/>
          <w:sz w:val="28"/>
        </w:rPr>
        <w:t>、负责市委内网和市政府内网的接收、上报和日常管理维护工作。</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3</w:t>
      </w:r>
      <w:r>
        <w:rPr>
          <w:rFonts w:hint="eastAsia" w:ascii="仿宋_GB2312" w:hAnsi="仿宋_GB2312" w:eastAsia="仿宋_GB2312" w:cs="仿宋_GB2312"/>
          <w:sz w:val="28"/>
        </w:rPr>
        <w:t>、负责全市会议及区领导、办公室召开会议的通知、协调工作。</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4</w:t>
      </w:r>
      <w:r>
        <w:rPr>
          <w:rFonts w:hint="eastAsia" w:ascii="仿宋_GB2312" w:hAnsi="仿宋_GB2312" w:eastAsia="仿宋_GB2312" w:cs="仿宋_GB2312"/>
          <w:sz w:val="28"/>
        </w:rPr>
        <w:t>、负责区政府和市委、市政府等机关的工作联系，负责与各镇党委、政府，各街道办党工委、办事处和区直机关、驻区单位的公务联系。</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5</w:t>
      </w:r>
      <w:r>
        <w:rPr>
          <w:rFonts w:hint="eastAsia" w:ascii="仿宋_GB2312" w:hAnsi="仿宋_GB2312" w:eastAsia="仿宋_GB2312" w:cs="仿宋_GB2312"/>
          <w:sz w:val="28"/>
        </w:rPr>
        <w:t>、负责政务问询、市长公开电话、区长公开电话、群众来访、群众来信</w:t>
      </w:r>
      <w:r>
        <w:rPr>
          <w:rFonts w:hint="eastAsia" w:ascii="仿宋_GB2312" w:hAnsi="仿宋_GB2312" w:eastAsia="仿宋_GB2312" w:cs="仿宋_GB2312"/>
          <w:sz w:val="28"/>
          <w:lang w:eastAsia="zh-CN"/>
        </w:rPr>
        <w:t>、人民网留言</w:t>
      </w:r>
      <w:r>
        <w:rPr>
          <w:rFonts w:hint="eastAsia" w:ascii="仿宋_GB2312" w:hAnsi="仿宋_GB2312" w:eastAsia="仿宋_GB2312" w:cs="仿宋_GB2312"/>
          <w:sz w:val="28"/>
        </w:rPr>
        <w:t>等方面的工作。</w:t>
      </w:r>
    </w:p>
    <w:p>
      <w:pPr>
        <w:spacing w:line="500" w:lineRule="exact"/>
        <w:ind w:firstLine="560"/>
        <w:rPr>
          <w:rFonts w:hint="eastAsia" w:ascii="仿宋_GB2312" w:hAnsi="仿宋_GB2312" w:eastAsia="仿宋_GB2312" w:cs="仿宋_GB2312"/>
          <w:sz w:val="28"/>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6</w:t>
      </w:r>
      <w:r>
        <w:rPr>
          <w:rFonts w:hint="eastAsia" w:ascii="仿宋_GB2312" w:hAnsi="仿宋_GB2312" w:eastAsia="仿宋_GB2312" w:cs="仿宋_GB2312"/>
          <w:sz w:val="28"/>
        </w:rPr>
        <w:t>、负责指导、督促、检查和考核全区各镇党委、政府、各街道办党工委、办事处及驻区单位的值班工作。</w:t>
      </w:r>
    </w:p>
    <w:p>
      <w:pPr>
        <w:autoSpaceDE w:val="0"/>
        <w:autoSpaceDN w:val="0"/>
        <w:adjustRightInd w:val="0"/>
        <w:ind w:firstLine="560"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sz w:val="28"/>
        </w:rPr>
        <w:t>1</w:t>
      </w:r>
      <w:r>
        <w:rPr>
          <w:rFonts w:hint="eastAsia" w:ascii="仿宋_GB2312" w:hAnsi="仿宋_GB2312" w:eastAsia="仿宋_GB2312" w:cs="仿宋_GB2312"/>
          <w:sz w:val="28"/>
          <w:lang w:val="en-US" w:eastAsia="zh-CN"/>
        </w:rPr>
        <w:t>7</w:t>
      </w:r>
      <w:r>
        <w:rPr>
          <w:rFonts w:hint="eastAsia" w:ascii="仿宋_GB2312" w:hAnsi="仿宋_GB2312" w:eastAsia="仿宋_GB2312" w:cs="仿宋_GB2312"/>
          <w:sz w:val="28"/>
        </w:rPr>
        <w:t>、完成区政府和办公室领导或上级机关交办的其它工作。</w:t>
      </w:r>
    </w:p>
    <w:p>
      <w:pPr>
        <w:autoSpaceDE w:val="0"/>
        <w:autoSpaceDN w:val="0"/>
        <w:adjustRightInd w:val="0"/>
        <w:ind w:left="198" w:firstLine="643" w:firstLineChars="200"/>
        <w:jc w:val="left"/>
        <w:rPr>
          <w:rFonts w:hint="eastAsia" w:ascii="仿宋_GB2312" w:hAnsi="仿宋_GB2312" w:eastAsia="仿宋_GB2312" w:cs="仿宋_GB2312"/>
          <w:b/>
          <w:sz w:val="32"/>
          <w:szCs w:val="32"/>
        </w:rPr>
      </w:pPr>
    </w:p>
    <w:p>
      <w:pPr>
        <w:autoSpaceDE w:val="0"/>
        <w:autoSpaceDN w:val="0"/>
        <w:adjustRightInd w:val="0"/>
        <w:ind w:left="198"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tbl>
      <w:tblPr>
        <w:tblStyle w:val="12"/>
        <w:tblpPr w:leftFromText="180" w:rightFromText="180" w:vertAnchor="text" w:horzAnchor="page" w:tblpX="3328" w:tblpY="470"/>
        <w:tblW w:w="74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3"/>
        <w:gridCol w:w="873"/>
        <w:gridCol w:w="873"/>
        <w:gridCol w:w="1787"/>
        <w:gridCol w:w="17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3" w:type="dxa"/>
          </w:tcPr>
          <w:p>
            <w:pPr>
              <w:spacing w:line="575"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单位名称</w:t>
            </w:r>
          </w:p>
        </w:tc>
        <w:tc>
          <w:tcPr>
            <w:tcW w:w="873" w:type="dxa"/>
          </w:tcPr>
          <w:p>
            <w:pPr>
              <w:spacing w:line="575"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单位性质</w:t>
            </w:r>
          </w:p>
        </w:tc>
        <w:tc>
          <w:tcPr>
            <w:tcW w:w="873" w:type="dxa"/>
          </w:tcPr>
          <w:p>
            <w:pPr>
              <w:spacing w:line="575"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单位规格</w:t>
            </w:r>
          </w:p>
        </w:tc>
        <w:tc>
          <w:tcPr>
            <w:tcW w:w="1787" w:type="dxa"/>
          </w:tcPr>
          <w:p>
            <w:pPr>
              <w:spacing w:line="575"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经费保障形式</w:t>
            </w:r>
          </w:p>
        </w:tc>
        <w:tc>
          <w:tcPr>
            <w:tcW w:w="1776" w:type="dxa"/>
          </w:tcPr>
          <w:p>
            <w:pPr>
              <w:spacing w:line="575" w:lineRule="exact"/>
              <w:jc w:val="center"/>
              <w:rPr>
                <w:rFonts w:hint="eastAsia" w:ascii="仿宋_GB2312" w:hAnsi="仿宋_GB2312"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鹿泉区人民政府办公室</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行政</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正科</w:t>
            </w:r>
          </w:p>
        </w:tc>
        <w:tc>
          <w:tcPr>
            <w:tcW w:w="1787"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财政拨款</w:t>
            </w:r>
          </w:p>
        </w:tc>
        <w:tc>
          <w:tcPr>
            <w:tcW w:w="1776" w:type="dxa"/>
          </w:tcPr>
          <w:p>
            <w:pPr>
              <w:spacing w:line="575" w:lineRule="exact"/>
              <w:rPr>
                <w:rFonts w:hint="eastAsia" w:ascii="仿宋_GB2312" w:hAnsi="仿宋_GB2312"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鹿泉区电子政务中心</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事业</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副科</w:t>
            </w:r>
          </w:p>
        </w:tc>
        <w:tc>
          <w:tcPr>
            <w:tcW w:w="1787"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财政性资金基本保证</w:t>
            </w:r>
          </w:p>
        </w:tc>
        <w:tc>
          <w:tcPr>
            <w:tcW w:w="1776" w:type="dxa"/>
          </w:tcPr>
          <w:p>
            <w:pPr>
              <w:spacing w:line="575" w:lineRule="exact"/>
              <w:rPr>
                <w:rFonts w:hint="eastAsia" w:ascii="仿宋_GB2312" w:hAnsi="仿宋_GB2312"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鹿泉区人防保障</w:t>
            </w:r>
            <w:r>
              <w:rPr>
                <w:rFonts w:hint="eastAsia" w:ascii="仿宋_GB2312" w:hAnsi="仿宋_GB2312" w:eastAsia="仿宋_GB2312" w:cs="仿宋_GB2312"/>
                <w:kern w:val="0"/>
                <w:sz w:val="28"/>
                <w:szCs w:val="28"/>
                <w:lang w:eastAsia="zh-CN"/>
              </w:rPr>
              <w:t>指挥</w:t>
            </w:r>
            <w:r>
              <w:rPr>
                <w:rFonts w:hint="eastAsia" w:ascii="仿宋_GB2312" w:hAnsi="仿宋_GB2312" w:eastAsia="仿宋_GB2312" w:cs="仿宋_GB2312"/>
                <w:kern w:val="0"/>
                <w:sz w:val="28"/>
                <w:szCs w:val="28"/>
              </w:rPr>
              <w:t>中心</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事业</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股级</w:t>
            </w:r>
          </w:p>
        </w:tc>
        <w:tc>
          <w:tcPr>
            <w:tcW w:w="1787"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财政性资金基本保证</w:t>
            </w:r>
          </w:p>
        </w:tc>
        <w:tc>
          <w:tcPr>
            <w:tcW w:w="1776" w:type="dxa"/>
          </w:tcPr>
          <w:p>
            <w:pPr>
              <w:spacing w:line="575" w:lineRule="exact"/>
              <w:rPr>
                <w:rFonts w:hint="eastAsia" w:ascii="仿宋_GB2312" w:hAnsi="仿宋_GB2312" w:eastAsia="仿宋_GB2312" w:cs="仿宋_GB2312"/>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5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鹿泉区政府信息保障中心</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事业</w:t>
            </w:r>
          </w:p>
        </w:tc>
        <w:tc>
          <w:tcPr>
            <w:tcW w:w="873"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股级</w:t>
            </w:r>
          </w:p>
        </w:tc>
        <w:tc>
          <w:tcPr>
            <w:tcW w:w="1787" w:type="dxa"/>
          </w:tcPr>
          <w:p>
            <w:pPr>
              <w:spacing w:line="575" w:lineRule="exac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财政性资金基本保证</w:t>
            </w:r>
          </w:p>
        </w:tc>
        <w:tc>
          <w:tcPr>
            <w:tcW w:w="1776" w:type="dxa"/>
          </w:tcPr>
          <w:p>
            <w:pPr>
              <w:spacing w:line="575" w:lineRule="exact"/>
              <w:rPr>
                <w:rFonts w:hint="eastAsia" w:ascii="仿宋_GB2312" w:hAnsi="仿宋_GB2312" w:eastAsia="仿宋_GB2312" w:cs="仿宋_GB2312"/>
                <w:kern w:val="0"/>
                <w:sz w:val="28"/>
                <w:szCs w:val="28"/>
              </w:rPr>
            </w:pPr>
          </w:p>
        </w:tc>
      </w:tr>
    </w:tbl>
    <w:p>
      <w:pPr>
        <w:autoSpaceDE w:val="0"/>
        <w:autoSpaceDN w:val="0"/>
        <w:adjustRightInd w:val="0"/>
        <w:ind w:left="198" w:firstLine="643" w:firstLineChars="200"/>
        <w:jc w:val="left"/>
        <w:rPr>
          <w:rFonts w:hint="eastAsia" w:ascii="仿宋_GB2312" w:hAnsi="仿宋_GB2312" w:eastAsia="仿宋_GB2312" w:cs="仿宋_GB2312"/>
          <w:b/>
          <w:sz w:val="32"/>
          <w:szCs w:val="32"/>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32"/>
          <w:szCs w:val="24"/>
        </w:rPr>
      </w:pP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按照预算管理有关规定，目前我省部门预算的编制实行综合预算管理，即全部收入和支出都反映在预算中。石家庄市鹿泉区人民政府办公室机关及所属事业单位的收支包含在部门预算中。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1297.21</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1297.21</w:t>
      </w:r>
      <w:r>
        <w:rPr>
          <w:rFonts w:hint="eastAsia" w:ascii="仿宋_GB2312" w:hAnsi="仿宋_GB2312" w:eastAsia="仿宋_GB2312" w:cs="仿宋_GB2312"/>
          <w:sz w:val="32"/>
          <w:szCs w:val="32"/>
        </w:rPr>
        <w:t>万元，基金预算收入0万元，财政专户核拨收入0万元，其他来源收入0万元。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收支预算总表支出栏、基本支出表、项目支出表按经济分类和支出功能分类科目编制，反映石家庄市鹿泉区人民政府办公室年度部门预算中支出预算的总体情况。20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1297.21</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864.71</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6"/>
        </w:rPr>
        <w:t>733.78</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130.93</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432.5</w:t>
      </w:r>
      <w:r>
        <w:rPr>
          <w:rFonts w:hint="eastAsia" w:ascii="仿宋_GB2312" w:hAnsi="仿宋_GB2312" w:eastAsia="仿宋_GB2312" w:cs="仿宋_GB2312"/>
          <w:sz w:val="32"/>
          <w:szCs w:val="32"/>
        </w:rPr>
        <w:t>万元，包括本级支出和对下补助支出，主要为因公出国费、会议招待费、网络运行与维护费、专项工作经费、鹿泉区形象宣传费、人防经费、国家赔偿等。</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年预算收支安排</w:t>
      </w:r>
      <w:r>
        <w:rPr>
          <w:rFonts w:hint="eastAsia" w:ascii="仿宋_GB2312" w:hAnsi="仿宋_GB2312" w:eastAsia="仿宋_GB2312" w:cs="仿宋_GB2312"/>
          <w:sz w:val="32"/>
          <w:szCs w:val="32"/>
          <w:lang w:val="en-US" w:eastAsia="zh-CN"/>
        </w:rPr>
        <w:t>1297.21</w:t>
      </w:r>
      <w:r>
        <w:rPr>
          <w:rFonts w:hint="eastAsia" w:ascii="仿宋_GB2312" w:hAnsi="仿宋_GB2312" w:eastAsia="仿宋_GB2312" w:cs="仿宋_GB2312"/>
          <w:sz w:val="32"/>
          <w:szCs w:val="32"/>
        </w:rPr>
        <w:t>万元，较201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年预算</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74.82</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101.32</w:t>
      </w:r>
      <w:r>
        <w:rPr>
          <w:rFonts w:hint="eastAsia" w:ascii="仿宋_GB2312" w:hAnsi="仿宋_GB2312" w:eastAsia="仿宋_GB2312" w:cs="仿宋_GB2312"/>
          <w:sz w:val="32"/>
          <w:szCs w:val="32"/>
        </w:rPr>
        <w:t>万元，主要为人员</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26.5</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eastAsia="zh-CN"/>
        </w:rPr>
        <w:t>区政府公开电话外包</w:t>
      </w:r>
      <w:r>
        <w:rPr>
          <w:rFonts w:hint="eastAsia" w:ascii="仿宋_GB2312" w:hAnsi="仿宋_GB2312" w:eastAsia="仿宋_GB2312" w:cs="仿宋_GB2312"/>
          <w:sz w:val="32"/>
          <w:szCs w:val="32"/>
        </w:rPr>
        <w:t>。</w:t>
      </w:r>
    </w:p>
    <w:p>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三、机关运行经费安排情况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年，我办机关运行经费共计安排</w:t>
      </w:r>
      <w:r>
        <w:rPr>
          <w:rFonts w:hint="eastAsia" w:ascii="仿宋_GB2312" w:hAnsi="仿宋_GB2312" w:eastAsia="仿宋_GB2312" w:cs="仿宋_GB2312"/>
          <w:sz w:val="32"/>
          <w:szCs w:val="32"/>
          <w:lang w:val="en-US" w:eastAsia="zh-CN"/>
        </w:rPr>
        <w:t>130.93</w:t>
      </w:r>
      <w:r>
        <w:rPr>
          <w:rFonts w:hint="eastAsia" w:ascii="仿宋_GB2312" w:hAnsi="仿宋_GB2312" w:eastAsia="仿宋_GB2312" w:cs="仿宋_GB2312"/>
          <w:sz w:val="32"/>
          <w:szCs w:val="32"/>
        </w:rPr>
        <w:t>万元，主要用于维持机关日常运行支出。</w:t>
      </w:r>
    </w:p>
    <w:p>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四、财政拨款“三公”经费预算情况及增减变化原因</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年，我办财政拨款“三公”经费预算安排</w:t>
      </w:r>
      <w:r>
        <w:rPr>
          <w:rFonts w:hint="eastAsia" w:ascii="仿宋_GB2312" w:hAnsi="仿宋_GB2312" w:eastAsia="仿宋_GB2312" w:cs="仿宋_GB2312"/>
          <w:sz w:val="32"/>
          <w:szCs w:val="32"/>
          <w:lang w:val="en-US" w:eastAsia="zh-CN"/>
        </w:rPr>
        <w:t>39.1</w:t>
      </w:r>
      <w:r>
        <w:rPr>
          <w:rFonts w:hint="eastAsia" w:ascii="仿宋_GB2312" w:hAnsi="仿宋_GB2312" w:eastAsia="仿宋_GB2312" w:cs="仿宋_GB2312"/>
          <w:sz w:val="32"/>
          <w:szCs w:val="32"/>
        </w:rPr>
        <w:t>万元，其中因公出国（境）费</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公务用车购置及运维费</w:t>
      </w:r>
      <w:r>
        <w:rPr>
          <w:rFonts w:hint="eastAsia" w:ascii="仿宋_GB2312" w:hAnsi="仿宋_GB2312" w:eastAsia="仿宋_GB2312" w:cs="仿宋_GB2312"/>
          <w:sz w:val="32"/>
          <w:szCs w:val="32"/>
          <w:lang w:val="en-US" w:eastAsia="zh-CN"/>
        </w:rPr>
        <w:t>21.6</w:t>
      </w:r>
      <w:r>
        <w:rPr>
          <w:rFonts w:hint="eastAsia" w:ascii="仿宋_GB2312" w:hAnsi="仿宋_GB2312" w:eastAsia="仿宋_GB2312" w:cs="仿宋_GB2312"/>
          <w:sz w:val="32"/>
          <w:szCs w:val="32"/>
        </w:rPr>
        <w:t>万元（其中：公务用车购置费为0万元，公务用车运维费</w:t>
      </w:r>
      <w:r>
        <w:rPr>
          <w:rFonts w:hint="eastAsia" w:ascii="仿宋_GB2312" w:hAnsi="仿宋_GB2312" w:eastAsia="仿宋_GB2312" w:cs="仿宋_GB2312"/>
          <w:sz w:val="32"/>
          <w:szCs w:val="32"/>
          <w:lang w:val="en-US" w:eastAsia="zh-CN"/>
        </w:rPr>
        <w:t>21.6</w:t>
      </w:r>
      <w:r>
        <w:rPr>
          <w:rFonts w:hint="eastAsia" w:ascii="仿宋_GB2312" w:hAnsi="仿宋_GB2312" w:eastAsia="仿宋_GB2312" w:cs="仿宋_GB2312"/>
          <w:sz w:val="32"/>
          <w:szCs w:val="32"/>
        </w:rPr>
        <w:t>万元)；公务接待费10万元。与20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相比减少</w:t>
      </w:r>
      <w:r>
        <w:rPr>
          <w:rFonts w:hint="eastAsia" w:ascii="仿宋_GB2312" w:hAnsi="仿宋_GB2312" w:eastAsia="仿宋_GB2312" w:cs="仿宋_GB2312"/>
          <w:sz w:val="32"/>
          <w:szCs w:val="32"/>
          <w:lang w:val="en-US" w:eastAsia="zh-CN"/>
        </w:rPr>
        <w:t>10.2万元，其中出国经费减少7.5万元，公务用车减少一辆，运维费减少2.7万元。</w:t>
      </w:r>
    </w:p>
    <w:p>
      <w:pPr>
        <w:numPr>
          <w:ilvl w:val="0"/>
          <w:numId w:val="1"/>
        </w:numPr>
        <w:ind w:firstLine="640" w:firstLineChars="200"/>
        <w:jc w:val="left"/>
        <w:outlineLvl w:val="1"/>
        <w:rPr>
          <w:rFonts w:hint="eastAsia" w:ascii="仿宋_GB2312" w:hAnsi="仿宋_GB2312" w:eastAsia="仿宋_GB2312" w:cs="仿宋_GB2312"/>
          <w:sz w:val="28"/>
          <w:lang w:eastAsia="zh-CN"/>
        </w:rPr>
      </w:pPr>
      <w:r>
        <w:rPr>
          <w:rFonts w:hint="eastAsia" w:ascii="仿宋_GB2312" w:hAnsi="仿宋_GB2312" w:eastAsia="仿宋_GB2312" w:cs="仿宋_GB2312"/>
          <w:sz w:val="32"/>
          <w:szCs w:val="32"/>
        </w:rPr>
        <w:t>绩效预</w:t>
      </w:r>
      <w:r>
        <w:rPr>
          <w:rFonts w:hint="eastAsia" w:ascii="仿宋_GB2312" w:hAnsi="仿宋_GB2312" w:eastAsia="仿宋_GB2312" w:cs="仿宋_GB2312"/>
          <w:sz w:val="28"/>
          <w:lang w:eastAsia="zh-CN"/>
        </w:rPr>
        <w:t>算信息</w:t>
      </w:r>
    </w:p>
    <w:p>
      <w:pPr>
        <w:numPr>
          <w:ilvl w:val="0"/>
          <w:numId w:val="0"/>
        </w:numPr>
        <w:ind w:firstLine="562" w:firstLineChars="200"/>
        <w:jc w:val="left"/>
        <w:outlineLvl w:val="1"/>
        <w:rPr>
          <w:rFonts w:hint="eastAsia" w:ascii="仿宋_GB2312" w:hAnsi="仿宋_GB2312" w:eastAsia="仿宋_GB2312" w:cs="仿宋_GB2312"/>
          <w:sz w:val="28"/>
        </w:rPr>
      </w:pPr>
      <w:r>
        <w:rPr>
          <w:rFonts w:hint="eastAsia" w:ascii="仿宋_GB2312" w:hAnsi="仿宋_GB2312" w:eastAsia="仿宋_GB2312" w:cs="仿宋_GB2312"/>
          <w:b/>
          <w:bCs/>
          <w:sz w:val="28"/>
          <w:lang w:eastAsia="zh-CN"/>
        </w:rPr>
        <w:t>（一）、</w:t>
      </w:r>
      <w:r>
        <w:rPr>
          <w:rFonts w:hint="eastAsia" w:ascii="仿宋_GB2312" w:hAnsi="仿宋_GB2312" w:eastAsia="仿宋_GB2312" w:cs="仿宋_GB2312"/>
          <w:b/>
          <w:bCs/>
          <w:sz w:val="28"/>
        </w:rPr>
        <w:t>总体绩效目标</w:t>
      </w:r>
      <w:r>
        <w:rPr>
          <w:rFonts w:hint="eastAsia" w:ascii="仿宋_GB2312" w:hAnsi="仿宋_GB2312" w:eastAsia="仿宋_GB2312" w:cs="仿宋_GB2312"/>
          <w:b/>
          <w:bCs/>
          <w:sz w:val="28"/>
          <w:lang w:eastAsia="zh-CN"/>
        </w:rPr>
        <w:t>：</w:t>
      </w:r>
      <w:r>
        <w:rPr>
          <w:rFonts w:hint="eastAsia" w:ascii="仿宋_GB2312" w:hAnsi="仿宋_GB2312" w:eastAsia="仿宋_GB2312" w:cs="仿宋_GB2312"/>
        </w:rPr>
        <w:fldChar w:fldCharType="begin"/>
      </w:r>
      <w:r>
        <w:rPr>
          <w:rFonts w:hint="eastAsia" w:ascii="仿宋_GB2312" w:hAnsi="仿宋_GB2312" w:eastAsia="仿宋_GB2312" w:cs="仿宋_GB2312"/>
          <w:sz w:val="28"/>
        </w:rPr>
        <w:instrText xml:space="preserve"> TC </w:instrText>
      </w:r>
      <w:bookmarkStart w:id="0" w:name="_Toc32500076"/>
      <w:r>
        <w:rPr>
          <w:rFonts w:hint="eastAsia" w:ascii="仿宋_GB2312" w:hAnsi="仿宋_GB2312" w:eastAsia="仿宋_GB2312" w:cs="仿宋_GB2312"/>
          <w:sz w:val="28"/>
        </w:rPr>
        <w:instrText xml:space="preserve">总体绩效目标</w:instrText>
      </w:r>
      <w:bookmarkEnd w:id="0"/>
      <w:r>
        <w:rPr>
          <w:rFonts w:hint="eastAsia" w:ascii="仿宋_GB2312" w:hAnsi="仿宋_GB2312" w:eastAsia="仿宋_GB2312" w:cs="仿宋_GB2312"/>
          <w:sz w:val="28"/>
        </w:rPr>
        <w:instrText xml:space="preserve"> \f A \l 1 </w:instrText>
      </w:r>
      <w:r>
        <w:rPr>
          <w:rFonts w:hint="eastAsia" w:ascii="仿宋_GB2312" w:hAnsi="仿宋_GB2312" w:eastAsia="仿宋_GB2312" w:cs="仿宋_GB2312"/>
          <w:sz w:val="28"/>
        </w:rPr>
        <w:fldChar w:fldCharType="end"/>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区政府办公室年度发展规划目标：紧扣区政府办公室的工作实际及各项职能，不断创新工作方法，加快工作节奏，强化工作纪律，努力提高服务水平和工作效率，形成规范、高效的管理运行机制。全面贯彻落实党的方针、政策和区政府的决议；持续改进综合督导、协调机关各部门工作；高质高效完成区政府文秘、保密和信息等工作；完成区政府交办的其他工作任务。</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二</w:t>
      </w: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、分项绩效目标</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1、</w:t>
      </w:r>
      <w:r>
        <w:rPr>
          <w:rFonts w:hint="eastAsia" w:ascii="仿宋_GB2312" w:hAnsi="仿宋_GB2312" w:eastAsia="仿宋_GB2312" w:cs="仿宋_GB2312"/>
          <w:sz w:val="28"/>
        </w:rPr>
        <w:t>专项工作经费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绩效目标：用于聚焦重大改革推进、重点课题调研、重要文稿起草、政务督查、外事侨务、政务公开、招商引资、协调非法集资、非法证券期货、非法保险等案件的查处、善后处置和维护金融稳定等工作运转。</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绩效指标：形成较好的调研成果，对我区经济社会发展提供较好的意见建议，为政策制定提供有效的参考依据；圆满完成各项工作任务；确保全区金融市场稳定。</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2、</w:t>
      </w:r>
      <w:r>
        <w:rPr>
          <w:rFonts w:hint="eastAsia" w:ascii="仿宋_GB2312" w:hAnsi="仿宋_GB2312" w:eastAsia="仿宋_GB2312" w:cs="仿宋_GB2312"/>
          <w:sz w:val="28"/>
        </w:rPr>
        <w:t>网络运行维护费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绩效目标：用于购置相关软硬兼施设备，进一步提升网站技术措施物理安全及主机安全和应用安全方面的保障能力，消除网络与信息安全隐患；维护机关大院互联网运行及全区政务内网正常运行。</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绩效指标：保障区政府系统网络与信息安全，提升办公网络平台效率。</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3、</w:t>
      </w:r>
      <w:r>
        <w:rPr>
          <w:rFonts w:hint="eastAsia" w:ascii="仿宋_GB2312" w:hAnsi="仿宋_GB2312" w:eastAsia="仿宋_GB2312" w:cs="仿宋_GB2312"/>
          <w:sz w:val="28"/>
        </w:rPr>
        <w:t>人防经费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绩效目标：用于管理全区人防工程建设，组织修订防空袭预案；组织开展人民防空袭平台和疏散地域建设，负责人防信息化建设及运维管理。</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绩效指标：城市地下空间开发兼顾人防要求得到有效落实，人防工程结构、设施设备完好，防护设备安装到位、符合质量规范；保障人防通讯畅通，人防宣传成效进一步提升。</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4、</w:t>
      </w:r>
      <w:r>
        <w:rPr>
          <w:rFonts w:hint="eastAsia" w:ascii="仿宋_GB2312" w:hAnsi="仿宋_GB2312" w:eastAsia="仿宋_GB2312" w:cs="仿宋_GB2312"/>
          <w:sz w:val="28"/>
        </w:rPr>
        <w:t>鹿泉区形象宣传费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绩效目标：用于招商引资、项目洽谈等各项公务活动中有效的对外推介鹿泉、展示鹿泉、塑造鹿泉区良好的正面形象，提升形象软实力。</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绩效指标：塑造我区的良好形象，积极对外推介宣传，提升全区形象软实力。</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5、</w:t>
      </w:r>
      <w:r>
        <w:rPr>
          <w:rFonts w:hint="eastAsia" w:ascii="仿宋_GB2312" w:hAnsi="仿宋_GB2312" w:eastAsia="仿宋_GB2312" w:cs="仿宋_GB2312"/>
          <w:sz w:val="28"/>
        </w:rPr>
        <w:t>会议招待费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绩效目标：用于承办项目观摩拉练、上级机关工作检查、招商引资、政府系统培训等各项活动。</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绩效指标：完成各项接待任务，有效推进我区经济建设的任务目标，保障各项重大活动圆满完成。</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6、</w:t>
      </w:r>
      <w:r>
        <w:rPr>
          <w:rFonts w:hint="eastAsia" w:ascii="仿宋_GB2312" w:hAnsi="仿宋_GB2312" w:eastAsia="仿宋_GB2312" w:cs="仿宋_GB2312"/>
          <w:sz w:val="28"/>
        </w:rPr>
        <w:t>因公出国费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绩效目标：用于区政府因公出国各项支出费用。</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绩效指标：圆满完成因公出国的学习和洽谈任务。</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7、</w:t>
      </w:r>
      <w:r>
        <w:rPr>
          <w:rFonts w:hint="eastAsia" w:ascii="仿宋_GB2312" w:hAnsi="仿宋_GB2312" w:eastAsia="仿宋_GB2312" w:cs="仿宋_GB2312"/>
          <w:sz w:val="28"/>
        </w:rPr>
        <w:t>科技金融服务平台运营费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绩效目标：用于服务平台运营。</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绩效指标：保障服务平台正常运转。</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8、</w:t>
      </w:r>
      <w:r>
        <w:rPr>
          <w:rFonts w:hint="eastAsia" w:ascii="仿宋_GB2312" w:hAnsi="仿宋_GB2312" w:eastAsia="仿宋_GB2312" w:cs="仿宋_GB2312"/>
          <w:sz w:val="28"/>
        </w:rPr>
        <w:t>政府公开电话经费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绩效目标：用于我区公开电话外包，实行24小时工作制度。</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绩效指标：进一步提高我区公开电话办理质量，提高群众满意度。</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9、</w:t>
      </w:r>
      <w:r>
        <w:rPr>
          <w:rFonts w:hint="eastAsia" w:ascii="仿宋_GB2312" w:hAnsi="仿宋_GB2312" w:eastAsia="仿宋_GB2312" w:cs="仿宋_GB2312"/>
          <w:sz w:val="28"/>
        </w:rPr>
        <w:t>国家赔偿费</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绩效目标：用于国家赔偿。</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rPr>
        <w:t>绩效指标：保障国家赔偿。</w:t>
      </w:r>
    </w:p>
    <w:p>
      <w:pPr>
        <w:spacing w:line="500" w:lineRule="exact"/>
        <w:ind w:firstLine="560" w:firstLineChars="200"/>
        <w:jc w:val="left"/>
        <w:outlineLvl w:val="1"/>
        <w:rPr>
          <w:rFonts w:hint="eastAsia" w:ascii="仿宋_GB2312" w:hAnsi="仿宋_GB2312" w:eastAsia="仿宋_GB2312" w:cs="仿宋_GB2312"/>
          <w:sz w:val="28"/>
        </w:rPr>
      </w:pP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三</w:t>
      </w:r>
      <w:r>
        <w:rPr>
          <w:rFonts w:hint="eastAsia" w:ascii="仿宋_GB2312" w:hAnsi="仿宋_GB2312" w:eastAsia="仿宋_GB2312" w:cs="仿宋_GB2312"/>
          <w:sz w:val="28"/>
          <w:lang w:eastAsia="zh-CN"/>
        </w:rPr>
        <w:t>）</w:t>
      </w:r>
      <w:r>
        <w:rPr>
          <w:rFonts w:hint="eastAsia" w:ascii="仿宋_GB2312" w:hAnsi="仿宋_GB2312" w:eastAsia="仿宋_GB2312" w:cs="仿宋_GB2312"/>
          <w:sz w:val="28"/>
        </w:rPr>
        <w:t>、工作保障措施</w:t>
      </w:r>
      <w:r>
        <w:rPr>
          <w:rFonts w:hint="eastAsia" w:ascii="仿宋_GB2312" w:hAnsi="仿宋_GB2312" w:eastAsia="仿宋_GB2312" w:cs="仿宋_GB2312"/>
        </w:rPr>
        <w:fldChar w:fldCharType="begin"/>
      </w:r>
      <w:r>
        <w:rPr>
          <w:rFonts w:hint="eastAsia" w:ascii="仿宋_GB2312" w:hAnsi="仿宋_GB2312" w:eastAsia="仿宋_GB2312" w:cs="仿宋_GB2312"/>
          <w:sz w:val="28"/>
        </w:rPr>
        <w:instrText xml:space="preserve"> TC </w:instrText>
      </w:r>
      <w:bookmarkStart w:id="1" w:name="_Toc32500078"/>
      <w:r>
        <w:rPr>
          <w:rFonts w:hint="eastAsia" w:ascii="仿宋_GB2312" w:hAnsi="仿宋_GB2312" w:eastAsia="仿宋_GB2312" w:cs="仿宋_GB2312"/>
          <w:sz w:val="28"/>
        </w:rPr>
        <w:instrText xml:space="preserve">工作保障措施</w:instrText>
      </w:r>
      <w:bookmarkEnd w:id="1"/>
      <w:r>
        <w:rPr>
          <w:rFonts w:hint="eastAsia" w:ascii="仿宋_GB2312" w:hAnsi="仿宋_GB2312" w:eastAsia="仿宋_GB2312" w:cs="仿宋_GB2312"/>
          <w:sz w:val="28"/>
        </w:rPr>
        <w:instrText xml:space="preserve"> \f A \l 1 </w:instrText>
      </w:r>
      <w:r>
        <w:rPr>
          <w:rFonts w:hint="eastAsia" w:ascii="仿宋_GB2312" w:hAnsi="仿宋_GB2312" w:eastAsia="仿宋_GB2312" w:cs="仿宋_GB2312"/>
          <w:sz w:val="28"/>
        </w:rPr>
        <w:fldChar w:fldCharType="end"/>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1、</w:t>
      </w:r>
      <w:r>
        <w:rPr>
          <w:rFonts w:hint="eastAsia" w:ascii="仿宋_GB2312" w:hAnsi="仿宋_GB2312" w:eastAsia="仿宋_GB2312" w:cs="仿宋_GB2312"/>
          <w:sz w:val="28"/>
        </w:rPr>
        <w:t>抓学习，提升素质。根据全区中心工作和上级相关要求，有针对性的制定区政府办公室全体干部职工的学习主题，规定重点学习篇目和学习内容。学习方式是自学与集中学习相结合。同时，积极组织机关工作人员外出培训学习，千方百计创造条件，使机关干部不断提高自身水平。</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2、</w:t>
      </w:r>
      <w:r>
        <w:rPr>
          <w:rFonts w:hint="eastAsia" w:ascii="仿宋_GB2312" w:hAnsi="仿宋_GB2312" w:eastAsia="仿宋_GB2312" w:cs="仿宋_GB2312"/>
          <w:sz w:val="28"/>
        </w:rPr>
        <w:t>抓管理，规范制度。坚持把制度建设作为抓管理促规范的基础性工作，建立健全了业务管理和后勤管理等方面的工作制度。业务管理制度主要包括业务工作制度、会议制度、公文办理制度等；后勤管理制度主要包括财务管理制度、值班工作制度、接待工作制度、保密工作制度、档案管理制度、车辆管理制度等。强化工作人员值班、文电处理管理流程，建立了一套科学的管理方式和工作手段，进行规范化运作，切实做到用制度管人，按制度办事，人人责任分明，处处有章可循，事事一办到底。缩短办事流程，简化中间环节，加快工作节奏，确保办公室日常运转的灵敏、高效和有序。</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3、</w:t>
      </w:r>
      <w:r>
        <w:rPr>
          <w:rFonts w:hint="eastAsia" w:ascii="仿宋_GB2312" w:hAnsi="仿宋_GB2312" w:eastAsia="仿宋_GB2312" w:cs="仿宋_GB2312"/>
          <w:sz w:val="28"/>
        </w:rPr>
        <w:t>优环境，激发活力。办公室工作是一份琐碎而艰苦的工作，为使工作人员始终保持旺盛的活力和良好的精神状态，爱岗敬业，无私奉献，办公室在“软”和“硬”两个方面不断优化工作环境，想方设法加大物力财力投入，改善工作条件，为全体工作人员搭建展示能力和才干的舞台，达到“用事业留人，用感情留人，用适当的待遇留人”的理想目标，为各处室人员提高工作效率做好基础性工作。</w:t>
      </w:r>
    </w:p>
    <w:p>
      <w:pPr>
        <w:spacing w:line="500" w:lineRule="exact"/>
        <w:ind w:firstLine="560" w:firstLineChars="200"/>
        <w:jc w:val="left"/>
        <w:rPr>
          <w:rFonts w:hint="eastAsia" w:ascii="仿宋_GB2312" w:hAnsi="仿宋_GB2312" w:eastAsia="仿宋_GB2312" w:cs="仿宋_GB2312"/>
          <w:sz w:val="28"/>
        </w:rPr>
      </w:pPr>
      <w:r>
        <w:rPr>
          <w:rFonts w:hint="eastAsia" w:ascii="仿宋_GB2312" w:hAnsi="仿宋_GB2312" w:eastAsia="仿宋_GB2312" w:cs="仿宋_GB2312"/>
          <w:sz w:val="28"/>
          <w:lang w:val="en-US" w:eastAsia="zh-CN"/>
        </w:rPr>
        <w:t>4、</w:t>
      </w:r>
      <w:r>
        <w:rPr>
          <w:rFonts w:hint="eastAsia" w:ascii="仿宋_GB2312" w:hAnsi="仿宋_GB2312" w:eastAsia="仿宋_GB2312" w:cs="仿宋_GB2312"/>
          <w:sz w:val="28"/>
        </w:rPr>
        <w:t>强作风，提高效能。办公室工作注重效率、效果和效能，必须要严要求、快节奏、高效率、高质量。因此，必须持之以恒改进办公室的工作作风，以良好的姿态展示办公室的精神风貌，不论是办事、办会、办文，还是开展调查研究，在工作推进上，统筹兼顾，提早谋划，想领导之未想，谋领导之未谋；在综合协调上，立足大局，兼顾各方，多商量，重推理，既努力体现上级要求，又兼顾各方利益，在后勤保障上，未雨绸缪，后勤先行，确保工作正常高效运转。</w:t>
      </w:r>
    </w:p>
    <w:p>
      <w:pPr>
        <w:spacing w:line="500" w:lineRule="exact"/>
        <w:ind w:firstLine="560" w:firstLineChars="200"/>
        <w:jc w:val="left"/>
        <w:rPr>
          <w:rFonts w:hint="eastAsia" w:ascii="仿宋_GB2312" w:hAnsi="仿宋_GB2312" w:eastAsia="仿宋_GB2312" w:cs="仿宋_GB2312"/>
          <w:sz w:val="28"/>
        </w:rPr>
      </w:pPr>
    </w:p>
    <w:p>
      <w:pPr>
        <w:spacing w:line="500" w:lineRule="exact"/>
        <w:ind w:firstLine="560" w:firstLineChars="200"/>
        <w:jc w:val="left"/>
        <w:rPr>
          <w:rFonts w:hint="eastAsia" w:ascii="仿宋_GB2312" w:hAnsi="仿宋_GB2312" w:eastAsia="仿宋_GB2312" w:cs="仿宋_GB2312"/>
          <w:sz w:val="28"/>
        </w:rPr>
      </w:pP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p>
    <w:p>
      <w:pPr>
        <w:ind w:firstLine="562" w:firstLineChars="200"/>
        <w:jc w:val="left"/>
        <w:outlineLvl w:val="1"/>
        <w:rPr>
          <w:rFonts w:ascii="Times New Roman" w:hAnsi="宋体"/>
          <w:b/>
          <w:sz w:val="28"/>
        </w:rPr>
      </w:pPr>
      <w:r>
        <w:rPr>
          <w:rFonts w:hint="eastAsia" w:ascii="方正仿宋_GBK" w:eastAsia="方正仿宋_GBK"/>
          <w:b/>
          <w:sz w:val="28"/>
        </w:rPr>
        <w:t>1、大气办工作经费绩效目标表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2500079"/>
      <w:r>
        <w:rPr>
          <w:rFonts w:hint="eastAsia" w:ascii="方正仿宋_GBK" w:eastAsia="方正仿宋_GBK"/>
          <w:b/>
          <w:sz w:val="28"/>
        </w:rPr>
        <w:instrText xml:space="preserve">1、大气办工作经费绩效目标表</w:instrText>
      </w:r>
      <w:bookmarkEnd w:id="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000-9999-JSN-X804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大气办工作经费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大气污染排查，建立重点污染源清单库，开展大气污染防治工作，制作宣传展牌及相关的标语横幅，积极进行大气污染防治宣传。协调组织督导各成员单位齐抓共管、综合治理大气污染防治工作。建立考核机制及相关考核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、建立重点污染源清单库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、进行大气污染防治宣传</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排查污染源企业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进行大气污染宣传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发放宣传材料份数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headerReference r:id="rId3" w:type="default"/>
          <w:footerReference r:id="rId4" w:type="default"/>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2、国家赔偿金绩效目标表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500080"/>
      <w:r>
        <w:rPr>
          <w:rFonts w:hint="eastAsia" w:ascii="方正仿宋_GBK" w:eastAsia="方正仿宋_GBK"/>
          <w:b/>
          <w:sz w:val="28"/>
        </w:rPr>
        <w:instrText xml:space="preserve">2、国家赔偿金绩效目标表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000-9999-JSN-2TT8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国家赔偿金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国家赔偿费用管理办法要求各级政府确定一定数额的赔偿费用。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、通过国家赔偿行为以体现法治公平的目标。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、通过国家赔偿达到维护社会稳定的目标。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对获的赔偿人进行回访调查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通过国家赔偿达到维护社会稳定的效果。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获赔人满意度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对获的赔偿人进行回访调查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群众对赔偿结果的满意度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对获的赔偿人进行回访调查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3、会议招待费绩效目标表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00081"/>
      <w:r>
        <w:rPr>
          <w:rFonts w:hint="eastAsia" w:ascii="方正仿宋_GBK" w:eastAsia="方正仿宋_GBK"/>
          <w:b/>
          <w:sz w:val="28"/>
        </w:rPr>
        <w:instrText xml:space="preserve">3、会议招待费绩效目标表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000-9999-JSN-N628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会议招待费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项目拉练活动、迎查迎检等相关活动会议招待费支出，计划举办项目拉练活动不少于</w:t>
            </w:r>
            <w:r>
              <w:rPr>
                <w:rFonts w:ascii="方正书宋_GBK" w:eastAsia="方正书宋_GBK"/>
              </w:rPr>
              <w:t>3</w:t>
            </w:r>
            <w:r>
              <w:rPr>
                <w:rFonts w:hint="eastAsia" w:ascii="方正书宋_GBK" w:eastAsia="方正书宋_GBK"/>
              </w:rPr>
              <w:t>次，圆满完成迎接检查次数不少于</w:t>
            </w:r>
            <w:r>
              <w:rPr>
                <w:rFonts w:ascii="方正书宋_GBK" w:eastAsia="方正书宋_GBK"/>
              </w:rPr>
              <w:t>3</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、完成项目拉练活动不少于</w:t>
            </w:r>
            <w:r>
              <w:rPr>
                <w:rFonts w:ascii="方正书宋_GBK" w:eastAsia="方正书宋_GBK"/>
              </w:rPr>
              <w:t>3</w:t>
            </w:r>
            <w:r>
              <w:rPr>
                <w:rFonts w:hint="eastAsia" w:ascii="方正书宋_GBK" w:eastAsia="方正书宋_GBK"/>
              </w:rPr>
              <w:t>次，、重大活动、迎查迎检不少于</w:t>
            </w:r>
            <w:r>
              <w:rPr>
                <w:rFonts w:ascii="方正书宋_GBK" w:eastAsia="方正书宋_GBK"/>
              </w:rPr>
              <w:t>3</w:t>
            </w:r>
            <w:r>
              <w:rPr>
                <w:rFonts w:hint="eastAsia" w:ascii="方正书宋_GBK" w:eastAsia="方正书宋_GBK"/>
              </w:rPr>
              <w:t>次等相关活动任务。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、服务于区政府圆满完成各项接待任务，有效推进我区经济建设的任务目标，保障上级在鹿泉区的各项重大活动圆满完成。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举办重大活动完成情况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重大活动的举办质量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是否圆满完成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项目拉练活动次数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全年计划完成项目拉练次数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接受接待方的满意度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是否满意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4、科技金融服务平台运营费绩效目标表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500082"/>
      <w:r>
        <w:rPr>
          <w:rFonts w:hint="eastAsia" w:ascii="方正仿宋_GBK" w:eastAsia="方正仿宋_GBK"/>
          <w:b/>
          <w:sz w:val="28"/>
        </w:rPr>
        <w:instrText xml:space="preserve">4、科技金融服务平台运营费绩效目标表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000-9999-JSN-V082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科技金融服务平台运营费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该项目用于鹿泉区科技金融服务平台运营维护费用，该平台为政银企对接平台，涵盖债券融资服务、企业信息服务、政策查询服务和新闻动态等</w:t>
            </w:r>
            <w:r>
              <w:rPr>
                <w:rFonts w:ascii="方正书宋_GBK" w:eastAsia="方正书宋_GBK"/>
              </w:rPr>
              <w:t>5</w:t>
            </w:r>
            <w:r>
              <w:rPr>
                <w:rFonts w:hint="eastAsia" w:ascii="方正书宋_GBK" w:eastAsia="方正书宋_GBK"/>
              </w:rPr>
              <w:t>大功能模块。实现政府、金融机构和企业（线上）信息沟通和业务对接，推动传统产业转型升级、战略新兴产业培育壮大和现代产业做大做强，促进区域经济实现高质量快速发展。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、实现政府、金融机构和企业信息沟通和业务对接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、促进区域经济实现高质量快速发展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政府、金融、企业业务对接次数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金融机构和企业业务对接次数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保障平台运行无故障率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平台运行情况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接受提供对接服务的满意程度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5、鹿泉区形象宣传费绩效目标表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00083"/>
      <w:r>
        <w:rPr>
          <w:rFonts w:hint="eastAsia" w:ascii="方正仿宋_GBK" w:eastAsia="方正仿宋_GBK"/>
          <w:b/>
          <w:sz w:val="28"/>
        </w:rPr>
        <w:instrText xml:space="preserve">5、鹿泉区形象宣传费绩效目标表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000-9999-JSN-RLF2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鹿泉区形象宣传费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区政府通过制作宣传材料、广告牌、条幅等对外宣传鹿泉的各项支出。组织对外联络不少于</w:t>
            </w:r>
            <w:r>
              <w:rPr>
                <w:rFonts w:ascii="方正书宋_GBK" w:eastAsia="方正书宋_GBK"/>
              </w:rPr>
              <w:t>3</w:t>
            </w:r>
            <w:r>
              <w:rPr>
                <w:rFonts w:hint="eastAsia" w:ascii="方正书宋_GBK" w:eastAsia="方正书宋_GBK"/>
              </w:rPr>
              <w:t>次，组织宣传活动不少于</w:t>
            </w:r>
            <w:r>
              <w:rPr>
                <w:rFonts w:ascii="方正书宋_GBK" w:eastAsia="方正书宋_GBK"/>
              </w:rPr>
              <w:t>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、用于区政府对外宣传，塑造鹿泉良好形象，提升我区软实力。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、提升招商引资水平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组织宣传活动次数（次）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6、人防经费绩效目标表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00084"/>
      <w:r>
        <w:rPr>
          <w:rFonts w:hint="eastAsia" w:ascii="方正仿宋_GBK" w:eastAsia="方正仿宋_GBK"/>
          <w:b/>
          <w:sz w:val="28"/>
        </w:rPr>
        <w:instrText xml:space="preserve">6、人防经费绩效目标表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000-9999-JSN-8TNV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人防经费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为切实做好全区人民防空信息化建设，组织开展好人民防空警报体系建设工作，根据我区人防</w:t>
            </w:r>
            <w:r>
              <w:rPr>
                <w:rFonts w:ascii="方正书宋_GBK" w:eastAsia="方正书宋_GBK"/>
              </w:rPr>
              <w:t>2020</w:t>
            </w:r>
            <w:r>
              <w:rPr>
                <w:rFonts w:hint="eastAsia" w:ascii="方正书宋_GBK" w:eastAsia="方正书宋_GBK"/>
              </w:rPr>
              <w:t>工作安排，需安装防空警报器及无线统控接收设备、配套设备储备储能电池等，以便协调利用军队和地方通信网保障人民防空通信警报工作。在做好硬件设施的同时，也需要做好人防宣传工作，进行人防宣传基地建设，会同有关部门积极开展防空防灾宣传教育，普及防空防灾知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、做好人防宣传工作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、做到战时有序组织开展人民防空空情信息保障、放空袭警报发放、群众疏散掩蔽等重要的人防工作。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人防警报安装的验收通过率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实施计划生育家庭特别扶助政策的县（市、区）数量占我省县（市、区）总数比例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人防宣传次数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按照工作计划进行人防宣传的完成情况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人防宣传的印刷品数量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印刷宣传材料份数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人防设备安装的数量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计划安装人防设备的数量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群众对人防工作的整体满意度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7、网络运行维护费绩效目标表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00085"/>
      <w:r>
        <w:rPr>
          <w:rFonts w:hint="eastAsia" w:ascii="方正仿宋_GBK" w:eastAsia="方正仿宋_GBK"/>
          <w:b/>
          <w:sz w:val="28"/>
        </w:rPr>
        <w:instrText xml:space="preserve">7、网络运行维护费绩效目标表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000-9999-JSN-L02R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党政机关办公内网运行及维护；</w:t>
            </w:r>
            <w:r>
              <w:rPr>
                <w:rFonts w:ascii="方正书宋_GBK" w:eastAsia="方正书宋_GBK"/>
              </w:rPr>
              <w:t>2.</w:t>
            </w:r>
            <w:r>
              <w:rPr>
                <w:rFonts w:hint="eastAsia" w:ascii="方正书宋_GBK" w:eastAsia="方正书宋_GBK"/>
              </w:rPr>
              <w:t>政府大院互联网运行及维护；</w:t>
            </w:r>
            <w:r>
              <w:rPr>
                <w:rFonts w:ascii="方正书宋_GBK" w:eastAsia="方正书宋_GBK"/>
              </w:rPr>
              <w:t>3.</w:t>
            </w:r>
            <w:r>
              <w:rPr>
                <w:rFonts w:hint="eastAsia" w:ascii="方正书宋_GBK" w:eastAsia="方正书宋_GBK"/>
              </w:rPr>
              <w:t>政府门户网站运行及维护；</w:t>
            </w:r>
            <w:r>
              <w:rPr>
                <w:rFonts w:ascii="方正书宋_GBK" w:eastAsia="方正书宋_GBK"/>
              </w:rPr>
              <w:t>4.</w:t>
            </w:r>
            <w:r>
              <w:rPr>
                <w:rFonts w:hint="eastAsia" w:ascii="方正书宋_GBK" w:eastAsia="方正书宋_GBK"/>
              </w:rPr>
              <w:t>网络办公系统运行及维护；</w:t>
            </w:r>
            <w:r>
              <w:rPr>
                <w:rFonts w:ascii="方正书宋_GBK" w:eastAsia="方正书宋_GBK"/>
              </w:rPr>
              <w:t>5.</w:t>
            </w:r>
            <w:r>
              <w:rPr>
                <w:rFonts w:hint="eastAsia" w:ascii="方正书宋_GBK" w:eastAsia="方正书宋_GBK"/>
              </w:rPr>
              <w:t>机房日常运行及维护；</w:t>
            </w:r>
            <w:r>
              <w:rPr>
                <w:rFonts w:ascii="方正书宋_GBK" w:eastAsia="方正书宋_GBK"/>
              </w:rPr>
              <w:t>6</w:t>
            </w:r>
            <w:r>
              <w:rPr>
                <w:rFonts w:hint="eastAsia" w:ascii="方正书宋_GBK" w:eastAsia="方正书宋_GBK"/>
              </w:rPr>
              <w:t>电子政务外网建设维护；</w:t>
            </w:r>
            <w:r>
              <w:rPr>
                <w:rFonts w:ascii="方正书宋_GBK" w:eastAsia="方正书宋_GBK"/>
              </w:rPr>
              <w:t>7.</w:t>
            </w:r>
            <w:r>
              <w:rPr>
                <w:rFonts w:hint="eastAsia" w:ascii="方正书宋_GBK" w:eastAsia="方正书宋_GBK"/>
              </w:rPr>
              <w:t>政府公众微信号维护；等相关工作。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、用于内外网络的日常维护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、保障各类会议的顺利进行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相关视频会议保障完成情况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政府门户网站运行维护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政府门户网站故障排除率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政务办公系统正常运行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政务办公系统故障排除率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8、因公出国费绩效目标表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00086"/>
      <w:r>
        <w:rPr>
          <w:rFonts w:hint="eastAsia" w:ascii="方正仿宋_GBK" w:eastAsia="方正仿宋_GBK"/>
          <w:b/>
          <w:sz w:val="28"/>
        </w:rPr>
        <w:instrText xml:space="preserve">8、因公出国费绩效目标表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000-9999-JSN-HT0T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因公出国费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前往国外引进知名企业不低于</w:t>
            </w:r>
            <w:r>
              <w:rPr>
                <w:rFonts w:ascii="方正书宋_GBK" w:eastAsia="方正书宋_GBK"/>
              </w:rPr>
              <w:t>3</w:t>
            </w:r>
            <w:r>
              <w:rPr>
                <w:rFonts w:hint="eastAsia" w:ascii="方正书宋_GBK" w:eastAsia="方正书宋_GBK"/>
              </w:rPr>
              <w:t>家，引进专家人才。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、走访国外知名企业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、引进国外专家人才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走访知名企业数量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走访企业情况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出国任务完成率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出国任务完成情况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活动参与者满意度（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调查中满意和较满意的人数占调查总人数的比率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9、政府公开电话经费绩效目标表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00087"/>
      <w:r>
        <w:rPr>
          <w:rFonts w:hint="eastAsia" w:ascii="方正仿宋_GBK" w:eastAsia="方正仿宋_GBK"/>
          <w:b/>
          <w:sz w:val="28"/>
        </w:rPr>
        <w:instrText xml:space="preserve">9、政府公开电话经费绩效目标表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000-9999-JSN-X206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政府公开电话经费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区政府公开电话主要负责公开电话日常工作、《区政府公开电话周报》编发、区政府公开电话统计、市政府公开电话日报涉及问题批示件督办、政府信箱办理、人大信访件承办及领导交办其他事项办理工作。为进一步提高我区公开电话办理质量，提升群众满意度，经领导研究同意，采取石家庄市政府公开电话全外包模式。实行</w:t>
            </w:r>
            <w:r>
              <w:rPr>
                <w:rFonts w:ascii="方正书宋_GBK" w:eastAsia="方正书宋_GBK"/>
              </w:rPr>
              <w:t>24</w:t>
            </w:r>
            <w:r>
              <w:rPr>
                <w:rFonts w:hint="eastAsia" w:ascii="方正书宋_GBK" w:eastAsia="方正书宋_GBK"/>
              </w:rPr>
              <w:t>小时工作制度，全天候受理群众诉求事项。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、为进一步提高我区公开电话办理质量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、提升群众满意度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政府公开电话优良率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群众诉求事项案件办结率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公开电话受理率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向有关部门反映受理的案件占反映属实案件的比例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诉求事项解决率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通过区政府公开电话促进社会稳定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诉求事项解决率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群众对诉求事项解决情况满意度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回访结果</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10、专项工作经费绩效目标表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00088"/>
      <w:r>
        <w:rPr>
          <w:rFonts w:hint="eastAsia" w:ascii="方正仿宋_GBK" w:eastAsia="方正仿宋_GBK"/>
          <w:b/>
          <w:sz w:val="28"/>
        </w:rPr>
        <w:instrText xml:space="preserve">10、专项工作经费绩效目标表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000-9999-JSN-X68X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目资金主要用于区政府外出招商引资考察项目，对区政府重要工作的调研调查等，区政府重要工作部署和重要工作计划的督导检查，推进政务公开和政府信息公开工作，落实上级外事、金融政策及相关宣传等，保障区政府活动的组织协调等相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、对外招商考察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、通过政务公开及政务督查力求上级政策落到实处</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12"/>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外出考察次数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全年外出考察次数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ascii="仿宋" w:hAnsi="仿宋" w:eastAsia="仿宋" w:cs="仿宋"/>
          <w:sz w:val="32"/>
          <w:szCs w:val="32"/>
        </w:rPr>
      </w:pPr>
      <w:bookmarkStart w:id="12" w:name="_Toc471398468"/>
      <w:r>
        <w:rPr>
          <w:rFonts w:ascii="Times New Roman" w:hAnsi="Times New Roman" w:eastAsia="方正仿宋_GBK"/>
          <w:sz w:val="32"/>
          <w:szCs w:val="24"/>
        </w:rPr>
        <w:t xml:space="preserve">   </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年，我办无政府采购预算。空表列示。</w:t>
      </w:r>
    </w:p>
    <w:p>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12"/>
    </w:p>
    <w:tbl>
      <w:tblPr>
        <w:tblStyle w:val="12"/>
        <w:tblpPr w:leftFromText="180" w:rightFromText="180" w:vertAnchor="text" w:horzAnchor="margin" w:tblpY="374"/>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Layout w:type="fixed"/>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r>
              <w:rPr>
                <w:rFonts w:ascii="方正书宋_GBK" w:hAnsi="方正书宋_GBK" w:eastAsia="方正书宋_GBK" w:cs="方正书宋_GBK"/>
                <w:b/>
                <w:color w:val="000000"/>
                <w:kern w:val="0"/>
                <w:szCs w:val="21"/>
              </w:rPr>
              <w:t xml:space="preserve">  </w:t>
            </w:r>
            <w:r>
              <w:rPr>
                <w:rFonts w:hint="eastAsia" w:ascii="方正书宋_GBK" w:hAnsi="方正书宋_GBK" w:eastAsia="方正书宋_GBK" w:cs="方正书宋_GBK"/>
                <w:b/>
                <w:color w:val="000000"/>
                <w:kern w:val="0"/>
                <w:szCs w:val="21"/>
              </w:rPr>
              <w:t>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Layout w:type="fixed"/>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Layout w:type="fixed"/>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方正书宋_GBK" w:hAnsi="方正书宋_GBK" w:eastAsia="方正书宋_GBK" w:cs="方正书宋_GBK"/>
                <w:b/>
                <w:color w:val="000000"/>
                <w:szCs w:val="21"/>
              </w:rPr>
            </w:pPr>
          </w:p>
        </w:tc>
      </w:tr>
      <w:tr>
        <w:tblPrEx>
          <w:tblLayout w:type="fixed"/>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r>
      <w:tr>
        <w:tblPrEx>
          <w:tblLayout w:type="fixed"/>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pPr>
              <w:rPr>
                <w:rFonts w:ascii="宋体" w:cs="宋体"/>
                <w:color w:val="000000"/>
                <w:sz w:val="24"/>
                <w:szCs w:val="24"/>
              </w:rPr>
            </w:pPr>
          </w:p>
        </w:tc>
      </w:tr>
      <w:tr>
        <w:tblPrEx>
          <w:tblLayout w:type="fixed"/>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方正书宋_GBK" w:hAnsi="方正书宋_GBK" w:eastAsia="方正书宋_GBK"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方正书宋_GBK" w:eastAsia="方正书宋_GBK"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方正书宋_GBK" w:hAnsi="方正书宋_GBK" w:eastAsia="方正书宋_GBK" w:cs="方正书宋_GBK"/>
                <w:color w:val="000000"/>
                <w:szCs w:val="21"/>
              </w:rPr>
            </w:pPr>
          </w:p>
        </w:tc>
        <w:tc>
          <w:tcPr>
            <w:tcW w:w="1069"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c>
          <w:tcPr>
            <w:tcW w:w="1057" w:type="dxa"/>
            <w:tcBorders>
              <w:bottom w:val="single" w:color="000000" w:sz="4" w:space="0"/>
              <w:right w:val="single" w:color="000000" w:sz="4" w:space="0"/>
            </w:tcBorders>
            <w:vAlign w:val="center"/>
          </w:tcPr>
          <w:p>
            <w:pPr>
              <w:jc w:val="right"/>
              <w:rPr>
                <w:rFonts w:ascii="方正书宋_GBK" w:hAnsi="方正书宋_GBK" w:eastAsia="方正书宋_GBK" w:cs="方正书宋_GBK"/>
                <w:color w:val="000000"/>
                <w:szCs w:val="21"/>
              </w:rPr>
            </w:pP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firstLine="640" w:firstLineChars="200"/>
        <w:jc w:val="left"/>
        <w:rPr>
          <w:rFonts w:hint="eastAsia" w:ascii="黑体" w:hAnsi="黑体" w:eastAsia="黑体"/>
          <w:sz w:val="32"/>
          <w:szCs w:val="32"/>
        </w:rPr>
      </w:pPr>
    </w:p>
    <w:p>
      <w:pPr>
        <w:autoSpaceDE w:val="0"/>
        <w:autoSpaceDN w:val="0"/>
        <w:adjustRightInd w:val="0"/>
        <w:ind w:firstLine="640" w:firstLineChars="200"/>
        <w:jc w:val="left"/>
        <w:rPr>
          <w:rFonts w:hint="eastAsia"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石家庄市鹿泉区人民政府办公室（含所属单位）上年末固定资产金额为</w:t>
      </w:r>
      <w:r>
        <w:rPr>
          <w:rFonts w:ascii="仿宋" w:hAnsi="仿宋" w:eastAsia="仿宋" w:cs="仿宋"/>
          <w:sz w:val="32"/>
          <w:szCs w:val="32"/>
        </w:rPr>
        <w:t>15</w:t>
      </w:r>
      <w:r>
        <w:rPr>
          <w:rFonts w:hint="eastAsia" w:ascii="仿宋" w:hAnsi="仿宋" w:eastAsia="仿宋" w:cs="仿宋"/>
          <w:sz w:val="32"/>
          <w:szCs w:val="32"/>
          <w:lang w:val="en-US" w:eastAsia="zh-CN"/>
        </w:rPr>
        <w:t>51.18</w:t>
      </w:r>
      <w:r>
        <w:rPr>
          <w:rFonts w:hint="eastAsia" w:ascii="仿宋" w:hAnsi="仿宋" w:eastAsia="仿宋" w:cs="仿宋"/>
          <w:sz w:val="32"/>
          <w:szCs w:val="32"/>
        </w:rPr>
        <w:t>万元（详见下表），本年度各单位（处室）拟购置固定资产总额为</w:t>
      </w:r>
      <w:r>
        <w:rPr>
          <w:rFonts w:hint="eastAsia" w:ascii="仿宋" w:hAnsi="仿宋" w:eastAsia="仿宋" w:cs="仿宋"/>
          <w:b w:val="0"/>
          <w:bCs w:val="0"/>
          <w:color w:val="auto"/>
          <w:sz w:val="32"/>
          <w:szCs w:val="32"/>
          <w:lang w:val="en-US" w:eastAsia="zh-CN"/>
        </w:rPr>
        <w:t>57.08</w:t>
      </w:r>
      <w:r>
        <w:rPr>
          <w:rFonts w:hint="eastAsia" w:ascii="仿宋" w:hAnsi="仿宋" w:eastAsia="仿宋" w:cs="仿宋"/>
          <w:sz w:val="32"/>
          <w:szCs w:val="32"/>
        </w:rPr>
        <w:t>万元，主要为</w:t>
      </w:r>
      <w:r>
        <w:rPr>
          <w:rFonts w:hint="eastAsia" w:ascii="仿宋" w:hAnsi="仿宋" w:eastAsia="仿宋" w:cs="仿宋"/>
          <w:sz w:val="32"/>
          <w:szCs w:val="32"/>
          <w:lang w:eastAsia="zh-CN"/>
        </w:rPr>
        <w:t>机房设备、</w:t>
      </w:r>
      <w:r>
        <w:rPr>
          <w:rFonts w:hint="eastAsia" w:ascii="仿宋" w:hAnsi="仿宋" w:eastAsia="仿宋" w:cs="仿宋"/>
          <w:sz w:val="32"/>
          <w:szCs w:val="32"/>
        </w:rPr>
        <w:t>计算机设备、打印设备、空调、办公家具等。</w:t>
      </w:r>
    </w:p>
    <w:p>
      <w:pPr>
        <w:ind w:firstLine="883" w:firstLineChars="200"/>
        <w:jc w:val="center"/>
        <w:rPr>
          <w:rFonts w:hint="eastAsia" w:ascii="仿宋" w:hAnsi="仿宋" w:eastAsia="仿宋" w:cs="仿宋"/>
          <w:b/>
          <w:bCs/>
          <w:sz w:val="44"/>
          <w:szCs w:val="44"/>
          <w:lang w:eastAsia="zh-CN"/>
        </w:rPr>
      </w:pPr>
      <w:r>
        <w:rPr>
          <w:rFonts w:hint="eastAsia" w:ascii="仿宋" w:hAnsi="仿宋" w:eastAsia="仿宋" w:cs="仿宋"/>
          <w:b/>
          <w:bCs/>
          <w:sz w:val="44"/>
          <w:szCs w:val="44"/>
          <w:lang w:eastAsia="zh-CN"/>
        </w:rPr>
        <w:t>固定资产占用情况表</w:t>
      </w:r>
      <w:bookmarkStart w:id="13" w:name="_GoBack"/>
      <w:bookmarkEnd w:id="13"/>
    </w:p>
    <w:p>
      <w:pPr>
        <w:ind w:firstLine="883" w:firstLineChars="200"/>
        <w:jc w:val="center"/>
        <w:rPr>
          <w:rFonts w:hint="eastAsia" w:ascii="仿宋" w:hAnsi="仿宋" w:eastAsia="仿宋" w:cs="仿宋"/>
          <w:b/>
          <w:bCs/>
          <w:sz w:val="44"/>
          <w:szCs w:val="44"/>
          <w:lang w:eastAsia="zh-CN"/>
        </w:rPr>
      </w:pPr>
    </w:p>
    <w:p>
      <w:pPr>
        <w:ind w:firstLine="640" w:firstLineChars="200"/>
        <w:jc w:val="center"/>
        <w:rPr>
          <w:rFonts w:hint="eastAsia" w:ascii="仿宋" w:hAnsi="仿宋" w:eastAsia="仿宋" w:cs="仿宋"/>
          <w:sz w:val="24"/>
          <w:szCs w:val="24"/>
          <w:lang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lang w:eastAsia="zh-CN"/>
        </w:rPr>
        <w:t>截止日期：</w:t>
      </w:r>
      <w:r>
        <w:rPr>
          <w:rFonts w:hint="eastAsia" w:ascii="仿宋" w:hAnsi="仿宋" w:eastAsia="仿宋" w:cs="仿宋"/>
          <w:sz w:val="24"/>
          <w:szCs w:val="24"/>
          <w:lang w:val="en-US" w:eastAsia="zh-CN"/>
        </w:rPr>
        <w:t>2019年12月31日</w:t>
      </w:r>
    </w:p>
    <w:tbl>
      <w:tblPr>
        <w:tblStyle w:val="12"/>
        <w:tblW w:w="9968" w:type="dxa"/>
        <w:tblInd w:w="20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jc w:val="center"/>
              <w:outlineLvl w:val="0"/>
              <w:rPr>
                <w:rFonts w:ascii="仿宋" w:hAnsi="仿宋" w:eastAsia="仿宋" w:cs="宋体"/>
                <w:b/>
                <w:kern w:val="0"/>
                <w:sz w:val="32"/>
                <w:szCs w:val="32"/>
              </w:rPr>
            </w:pPr>
            <w:r>
              <w:rPr>
                <w:rFonts w:hint="eastAsia"/>
                <w:b/>
              </w:rPr>
              <w:t>项</w:t>
            </w:r>
            <w:r>
              <w:rPr>
                <w:b/>
              </w:rPr>
              <w:t xml:space="preserve"> </w:t>
            </w:r>
            <w:r>
              <w:rPr>
                <w:rFonts w:hint="eastAsia"/>
                <w:b/>
              </w:rPr>
              <w:t>目</w:t>
            </w:r>
          </w:p>
        </w:tc>
        <w:tc>
          <w:tcPr>
            <w:tcW w:w="3323" w:type="dxa"/>
          </w:tcPr>
          <w:p>
            <w:pPr>
              <w:spacing w:line="575" w:lineRule="exact"/>
              <w:jc w:val="center"/>
              <w:outlineLvl w:val="0"/>
              <w:rPr>
                <w:rFonts w:ascii="仿宋" w:hAnsi="仿宋" w:eastAsia="仿宋" w:cs="宋体"/>
                <w:b/>
                <w:kern w:val="0"/>
                <w:sz w:val="32"/>
                <w:szCs w:val="32"/>
              </w:rPr>
            </w:pPr>
            <w:r>
              <w:rPr>
                <w:rFonts w:hint="eastAsia"/>
                <w:b/>
              </w:rPr>
              <w:t>数</w:t>
            </w:r>
            <w:r>
              <w:rPr>
                <w:b/>
              </w:rPr>
              <w:t xml:space="preserve"> </w:t>
            </w:r>
            <w:r>
              <w:rPr>
                <w:rFonts w:hint="eastAsia"/>
                <w:b/>
              </w:rPr>
              <w:t>量</w:t>
            </w:r>
          </w:p>
        </w:tc>
        <w:tc>
          <w:tcPr>
            <w:tcW w:w="3323" w:type="dxa"/>
          </w:tcPr>
          <w:p>
            <w:pPr>
              <w:spacing w:line="575" w:lineRule="exact"/>
              <w:jc w:val="center"/>
              <w:outlineLvl w:val="0"/>
              <w:rPr>
                <w:rFonts w:ascii="仿宋" w:hAnsi="仿宋" w:eastAsia="仿宋" w:cs="宋体"/>
                <w:b/>
                <w:kern w:val="0"/>
                <w:sz w:val="32"/>
                <w:szCs w:val="32"/>
              </w:rPr>
            </w:pPr>
            <w:r>
              <w:rPr>
                <w:rFonts w:hint="eastAsia"/>
                <w:b/>
              </w:rPr>
              <w:t>价</w:t>
            </w:r>
            <w:r>
              <w:rPr>
                <w:b/>
              </w:rPr>
              <w:t xml:space="preserve"> </w:t>
            </w:r>
            <w:r>
              <w:rPr>
                <w:rFonts w:hint="eastAsia"/>
                <w:b/>
              </w:rPr>
              <w:t>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rPr>
                <w:rFonts w:hint="eastAsia"/>
              </w:rPr>
              <w:t>资产总额</w:t>
            </w:r>
          </w:p>
        </w:tc>
        <w:tc>
          <w:tcPr>
            <w:tcW w:w="3323" w:type="dxa"/>
          </w:tcPr>
          <w:p>
            <w:pPr>
              <w:spacing w:line="575" w:lineRule="exact"/>
              <w:jc w:val="center"/>
              <w:outlineLvl w:val="0"/>
              <w:rPr>
                <w:rFonts w:ascii="仿宋" w:hAnsi="仿宋" w:eastAsia="仿宋" w:cs="宋体"/>
                <w:kern w:val="0"/>
                <w:sz w:val="32"/>
                <w:szCs w:val="32"/>
              </w:rPr>
            </w:pPr>
            <w:r>
              <w:rPr>
                <w:rFonts w:ascii="仿宋" w:hAnsi="仿宋" w:eastAsia="仿宋" w:cs="宋体"/>
                <w:kern w:val="0"/>
                <w:sz w:val="32"/>
                <w:szCs w:val="32"/>
              </w:rPr>
              <w:t>—</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15</w:t>
            </w:r>
            <w:r>
              <w:rPr>
                <w:rFonts w:hint="eastAsia" w:ascii="仿宋" w:hAnsi="仿宋" w:eastAsia="仿宋" w:cs="宋体"/>
                <w:kern w:val="0"/>
                <w:sz w:val="28"/>
                <w:szCs w:val="28"/>
                <w:lang w:val="en-US" w:eastAsia="zh-CN"/>
              </w:rPr>
              <w:t>51.18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1</w:t>
            </w:r>
            <w:r>
              <w:rPr>
                <w:rFonts w:hint="eastAsia"/>
              </w:rPr>
              <w:t>、房屋（平方米）</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5000</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rPr>
                <w:rFonts w:hint="eastAsia"/>
              </w:rPr>
              <w:t>其中：办公用房（平方米）</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5000</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521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2</w:t>
            </w:r>
            <w:r>
              <w:rPr>
                <w:rFonts w:hint="eastAsia"/>
              </w:rPr>
              <w:t>、车辆（台、辆）</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1</w:t>
            </w:r>
            <w:r>
              <w:rPr>
                <w:rFonts w:hint="eastAsia" w:ascii="仿宋" w:hAnsi="仿宋" w:eastAsia="仿宋" w:cs="宋体"/>
                <w:kern w:val="0"/>
                <w:sz w:val="28"/>
                <w:szCs w:val="28"/>
                <w:lang w:val="en-US" w:eastAsia="zh-CN"/>
              </w:rPr>
              <w:t>5</w:t>
            </w:r>
          </w:p>
        </w:tc>
        <w:tc>
          <w:tcPr>
            <w:tcW w:w="3323" w:type="dxa"/>
          </w:tcPr>
          <w:p>
            <w:pPr>
              <w:spacing w:line="575" w:lineRule="exact"/>
              <w:jc w:val="center"/>
              <w:outlineLvl w:val="0"/>
              <w:rPr>
                <w:rFonts w:hint="eastAsia" w:ascii="仿宋" w:hAnsi="仿宋" w:eastAsia="仿宋" w:cs="宋体"/>
                <w:kern w:val="0"/>
                <w:sz w:val="28"/>
                <w:szCs w:val="28"/>
                <w:lang w:eastAsia="zh-CN"/>
              </w:rPr>
            </w:pPr>
            <w:r>
              <w:rPr>
                <w:rFonts w:hint="eastAsia" w:ascii="仿宋" w:hAnsi="仿宋" w:eastAsia="仿宋" w:cs="宋体"/>
                <w:kern w:val="0"/>
                <w:sz w:val="28"/>
                <w:szCs w:val="28"/>
                <w:lang w:val="en-US" w:eastAsia="zh-CN"/>
              </w:rPr>
              <w:t>545.34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3</w:t>
            </w:r>
            <w:r>
              <w:rPr>
                <w:rFonts w:hint="eastAsia"/>
              </w:rPr>
              <w:t>、单价在</w:t>
            </w:r>
            <w:r>
              <w:t xml:space="preserve"> 20 </w:t>
            </w:r>
            <w:r>
              <w:rPr>
                <w:rFonts w:hint="eastAsia"/>
              </w:rPr>
              <w:t>万元以上的设备</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322" w:type="dxa"/>
          </w:tcPr>
          <w:p>
            <w:pPr>
              <w:spacing w:line="575" w:lineRule="exact"/>
              <w:outlineLvl w:val="0"/>
              <w:rPr>
                <w:rFonts w:ascii="仿宋" w:hAnsi="仿宋" w:eastAsia="仿宋" w:cs="宋体"/>
                <w:kern w:val="0"/>
                <w:sz w:val="32"/>
                <w:szCs w:val="32"/>
              </w:rPr>
            </w:pPr>
            <w:r>
              <w:t>4</w:t>
            </w:r>
            <w:r>
              <w:rPr>
                <w:rFonts w:hint="eastAsia"/>
              </w:rPr>
              <w:t>、其他固定资产</w:t>
            </w:r>
          </w:p>
        </w:tc>
        <w:tc>
          <w:tcPr>
            <w:tcW w:w="3323" w:type="dxa"/>
          </w:tcPr>
          <w:p>
            <w:pPr>
              <w:spacing w:line="575" w:lineRule="exact"/>
              <w:jc w:val="center"/>
              <w:outlineLvl w:val="0"/>
              <w:rPr>
                <w:rFonts w:ascii="仿宋" w:hAnsi="仿宋" w:eastAsia="仿宋" w:cs="宋体"/>
                <w:kern w:val="0"/>
                <w:sz w:val="28"/>
                <w:szCs w:val="28"/>
              </w:rPr>
            </w:pPr>
            <w:r>
              <w:rPr>
                <w:rFonts w:ascii="仿宋" w:hAnsi="仿宋" w:eastAsia="仿宋" w:cs="宋体"/>
                <w:kern w:val="0"/>
                <w:sz w:val="28"/>
                <w:szCs w:val="28"/>
              </w:rPr>
              <w:t>—</w:t>
            </w:r>
          </w:p>
        </w:tc>
        <w:tc>
          <w:tcPr>
            <w:tcW w:w="3323" w:type="dxa"/>
          </w:tcPr>
          <w:p>
            <w:pPr>
              <w:spacing w:line="575" w:lineRule="exact"/>
              <w:jc w:val="center"/>
              <w:outlineLvl w:val="0"/>
              <w:rPr>
                <w:rFonts w:hint="eastAsia" w:ascii="仿宋" w:hAnsi="仿宋" w:eastAsia="仿宋" w:cs="宋体"/>
                <w:kern w:val="0"/>
                <w:sz w:val="28"/>
                <w:szCs w:val="28"/>
                <w:lang w:eastAsia="zh-CN"/>
              </w:rPr>
            </w:pPr>
            <w:r>
              <w:rPr>
                <w:rFonts w:hint="eastAsia" w:ascii="仿宋" w:hAnsi="仿宋" w:eastAsia="仿宋" w:cs="宋体"/>
                <w:kern w:val="0"/>
                <w:sz w:val="28"/>
                <w:szCs w:val="28"/>
                <w:lang w:val="en-US" w:eastAsia="zh-CN"/>
              </w:rPr>
              <w:t>484.84</w:t>
            </w: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left="198" w:firstLine="640" w:firstLineChars="200"/>
        <w:jc w:val="left"/>
        <w:rPr>
          <w:rFonts w:hint="eastAsia"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、一般公共预算拨款收入：指省级财政当年拨付的资金。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Calibri Light">
    <w:panose1 w:val="020F0302020204030204"/>
    <w:charset w:val="00"/>
    <w:family w:val="auto"/>
    <w:pitch w:val="default"/>
    <w:sig w:usb0="A00002EF" w:usb1="4000207B" w:usb2="00000000" w:usb3="00000000" w:csb0="2000019F" w:csb1="00000000"/>
  </w:font>
  <w:font w:name="+中文正文">
    <w:altName w:val="Segoe Print"/>
    <w:panose1 w:val="00000000000000000000"/>
    <w:charset w:val="00"/>
    <w:family w:val="auto"/>
    <w:pitch w:val="default"/>
    <w:sig w:usb0="00000000" w:usb1="00000000" w:usb2="00000000" w:usb3="00000000" w:csb0="00000000"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SimSun-ExtB"/>
    <w:panose1 w:val="00000000000000000000"/>
    <w:charset w:val="86"/>
    <w:family w:val="script"/>
    <w:pitch w:val="default"/>
    <w:sig w:usb0="00000000" w:usb1="00000000" w:usb2="00000010" w:usb3="00000000" w:csb0="00040000" w:csb1="00000000"/>
  </w:font>
  <w:font w:name="方正书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楷体">
    <w:panose1 w:val="02010609060101010101"/>
    <w:charset w:val="86"/>
    <w:family w:val="auto"/>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561A45"/>
    <w:multiLevelType w:val="singleLevel"/>
    <w:tmpl w:val="5E561A45"/>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032"/>
    <w:rsid w:val="00034786"/>
    <w:rsid w:val="00037AF6"/>
    <w:rsid w:val="00042F57"/>
    <w:rsid w:val="0006483E"/>
    <w:rsid w:val="00075D5F"/>
    <w:rsid w:val="0008102F"/>
    <w:rsid w:val="000B529B"/>
    <w:rsid w:val="000C3A19"/>
    <w:rsid w:val="000D1392"/>
    <w:rsid w:val="001245BB"/>
    <w:rsid w:val="001251A3"/>
    <w:rsid w:val="00165294"/>
    <w:rsid w:val="001901CF"/>
    <w:rsid w:val="001B4EF3"/>
    <w:rsid w:val="001F7873"/>
    <w:rsid w:val="00241FD4"/>
    <w:rsid w:val="00251B12"/>
    <w:rsid w:val="00296113"/>
    <w:rsid w:val="002A673A"/>
    <w:rsid w:val="002C07BE"/>
    <w:rsid w:val="002C5E13"/>
    <w:rsid w:val="002C62BC"/>
    <w:rsid w:val="002E0EB8"/>
    <w:rsid w:val="002F3E58"/>
    <w:rsid w:val="00304FDA"/>
    <w:rsid w:val="0030542C"/>
    <w:rsid w:val="00311B7A"/>
    <w:rsid w:val="00334C28"/>
    <w:rsid w:val="0034358D"/>
    <w:rsid w:val="00372FA3"/>
    <w:rsid w:val="003C0DC4"/>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76F6E"/>
    <w:rsid w:val="00590ECE"/>
    <w:rsid w:val="00592ADD"/>
    <w:rsid w:val="00605C12"/>
    <w:rsid w:val="00614A29"/>
    <w:rsid w:val="00643AA7"/>
    <w:rsid w:val="0066634A"/>
    <w:rsid w:val="00673D76"/>
    <w:rsid w:val="00674CD7"/>
    <w:rsid w:val="006854F0"/>
    <w:rsid w:val="006A5528"/>
    <w:rsid w:val="006B1C4A"/>
    <w:rsid w:val="006B610D"/>
    <w:rsid w:val="006B6249"/>
    <w:rsid w:val="006B75B3"/>
    <w:rsid w:val="006D1CCE"/>
    <w:rsid w:val="006E49F5"/>
    <w:rsid w:val="007013C8"/>
    <w:rsid w:val="007135B2"/>
    <w:rsid w:val="00717B1E"/>
    <w:rsid w:val="00727164"/>
    <w:rsid w:val="0074674A"/>
    <w:rsid w:val="00753836"/>
    <w:rsid w:val="0075393C"/>
    <w:rsid w:val="00754592"/>
    <w:rsid w:val="00762357"/>
    <w:rsid w:val="00771F9A"/>
    <w:rsid w:val="00773481"/>
    <w:rsid w:val="00776C08"/>
    <w:rsid w:val="007C219A"/>
    <w:rsid w:val="007E1DA8"/>
    <w:rsid w:val="007F6C26"/>
    <w:rsid w:val="00813208"/>
    <w:rsid w:val="008334AE"/>
    <w:rsid w:val="00836FED"/>
    <w:rsid w:val="0083724E"/>
    <w:rsid w:val="00845CD2"/>
    <w:rsid w:val="00852B0D"/>
    <w:rsid w:val="00863D7D"/>
    <w:rsid w:val="00881692"/>
    <w:rsid w:val="00882FA1"/>
    <w:rsid w:val="00883D1A"/>
    <w:rsid w:val="008A25C2"/>
    <w:rsid w:val="008A6576"/>
    <w:rsid w:val="008B1A08"/>
    <w:rsid w:val="008B3CC5"/>
    <w:rsid w:val="008B52CD"/>
    <w:rsid w:val="008E4261"/>
    <w:rsid w:val="008F4662"/>
    <w:rsid w:val="00905D08"/>
    <w:rsid w:val="00922AEB"/>
    <w:rsid w:val="00925753"/>
    <w:rsid w:val="009425F4"/>
    <w:rsid w:val="00952137"/>
    <w:rsid w:val="00966C5C"/>
    <w:rsid w:val="00973104"/>
    <w:rsid w:val="00995BF0"/>
    <w:rsid w:val="009A16D5"/>
    <w:rsid w:val="009A353D"/>
    <w:rsid w:val="009B0B77"/>
    <w:rsid w:val="009B511E"/>
    <w:rsid w:val="009D6ED3"/>
    <w:rsid w:val="00A234DF"/>
    <w:rsid w:val="00A44E3D"/>
    <w:rsid w:val="00A72D2E"/>
    <w:rsid w:val="00A74447"/>
    <w:rsid w:val="00A74CE5"/>
    <w:rsid w:val="00A911E7"/>
    <w:rsid w:val="00A939D9"/>
    <w:rsid w:val="00AA4765"/>
    <w:rsid w:val="00B07D9E"/>
    <w:rsid w:val="00B20712"/>
    <w:rsid w:val="00B43238"/>
    <w:rsid w:val="00B45DD3"/>
    <w:rsid w:val="00B52632"/>
    <w:rsid w:val="00B727A9"/>
    <w:rsid w:val="00B75216"/>
    <w:rsid w:val="00B91D52"/>
    <w:rsid w:val="00B9490F"/>
    <w:rsid w:val="00BA1ACD"/>
    <w:rsid w:val="00BB7456"/>
    <w:rsid w:val="00BD09F8"/>
    <w:rsid w:val="00BE01D8"/>
    <w:rsid w:val="00CA7176"/>
    <w:rsid w:val="00CB3D48"/>
    <w:rsid w:val="00CB4665"/>
    <w:rsid w:val="00CC75B0"/>
    <w:rsid w:val="00CD2773"/>
    <w:rsid w:val="00CE143B"/>
    <w:rsid w:val="00CF32CC"/>
    <w:rsid w:val="00D0024A"/>
    <w:rsid w:val="00D13029"/>
    <w:rsid w:val="00D27003"/>
    <w:rsid w:val="00DB4A9B"/>
    <w:rsid w:val="00DC097C"/>
    <w:rsid w:val="00E167C7"/>
    <w:rsid w:val="00E2482E"/>
    <w:rsid w:val="00E73D47"/>
    <w:rsid w:val="00E83CCA"/>
    <w:rsid w:val="00EA15E8"/>
    <w:rsid w:val="00EC47F6"/>
    <w:rsid w:val="00EE156D"/>
    <w:rsid w:val="00EE65B8"/>
    <w:rsid w:val="00F149E2"/>
    <w:rsid w:val="00F364C3"/>
    <w:rsid w:val="00F66032"/>
    <w:rsid w:val="00F87C1E"/>
    <w:rsid w:val="00F94CCA"/>
    <w:rsid w:val="00F958C2"/>
    <w:rsid w:val="00FB0D3D"/>
    <w:rsid w:val="00FD1F07"/>
    <w:rsid w:val="36801CC7"/>
    <w:rsid w:val="3D1D6626"/>
    <w:rsid w:val="404A3AF6"/>
    <w:rsid w:val="409623EC"/>
    <w:rsid w:val="41580919"/>
    <w:rsid w:val="521E1D72"/>
    <w:rsid w:val="53717F37"/>
    <w:rsid w:val="578F757B"/>
    <w:rsid w:val="5E24343A"/>
    <w:rsid w:val="62D245CF"/>
    <w:rsid w:val="69A20107"/>
    <w:rsid w:val="798E6C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uiPriority w:val="99"/>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4"/>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uiPriority w:val="99"/>
    <w:rPr>
      <w:rFonts w:ascii="Times New Roman" w:hAnsi="Times New Roman"/>
      <w:szCs w:val="24"/>
    </w:rPr>
  </w:style>
  <w:style w:type="paragraph" w:styleId="6">
    <w:name w:val="footnote text"/>
    <w:basedOn w:val="1"/>
    <w:link w:val="17"/>
    <w:uiPriority w:val="99"/>
    <w:pPr>
      <w:snapToGrid w:val="0"/>
      <w:jc w:val="left"/>
    </w:pPr>
    <w:rPr>
      <w:sz w:val="18"/>
      <w:szCs w:val="18"/>
    </w:rPr>
  </w:style>
  <w:style w:type="paragraph" w:styleId="7">
    <w:name w:val="toc 2"/>
    <w:basedOn w:val="1"/>
    <w:next w:val="1"/>
    <w:qFormat/>
    <w:uiPriority w:val="99"/>
    <w:pPr>
      <w:ind w:left="420" w:leftChars="200"/>
    </w:pPr>
    <w:rPr>
      <w:rFonts w:ascii="Times New Roman" w:hAnsi="Times New Roman"/>
      <w:szCs w:val="24"/>
    </w:rPr>
  </w:style>
  <w:style w:type="character" w:styleId="9">
    <w:name w:val="page number"/>
    <w:basedOn w:val="8"/>
    <w:qFormat/>
    <w:uiPriority w:val="99"/>
    <w:rPr>
      <w:rFonts w:cs="Times New Roman"/>
    </w:rPr>
  </w:style>
  <w:style w:type="character" w:styleId="10">
    <w:name w:val="Hyperlink"/>
    <w:basedOn w:val="8"/>
    <w:qFormat/>
    <w:uiPriority w:val="99"/>
    <w:rPr>
      <w:rFonts w:cs="Times New Roman"/>
      <w:color w:val="0000FF"/>
      <w:u w:val="single"/>
    </w:rPr>
  </w:style>
  <w:style w:type="character" w:styleId="11">
    <w:name w:val="footnote reference"/>
    <w:basedOn w:val="8"/>
    <w:qFormat/>
    <w:uiPriority w:val="99"/>
    <w:rPr>
      <w:rFonts w:cs="Times New Roman"/>
      <w:vertAlign w:val="superscript"/>
    </w:rPr>
  </w:style>
  <w:style w:type="table" w:styleId="13">
    <w:name w:val="Table Grid"/>
    <w:basedOn w:val="12"/>
    <w:qFormat/>
    <w:locked/>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4">
    <w:name w:val="Balloon Text Char"/>
    <w:basedOn w:val="8"/>
    <w:link w:val="2"/>
    <w:semiHidden/>
    <w:qFormat/>
    <w:locked/>
    <w:uiPriority w:val="99"/>
    <w:rPr>
      <w:rFonts w:cs="Times New Roman"/>
      <w:sz w:val="18"/>
      <w:szCs w:val="18"/>
    </w:rPr>
  </w:style>
  <w:style w:type="character" w:customStyle="1" w:styleId="15">
    <w:name w:val="Footer Char"/>
    <w:basedOn w:val="8"/>
    <w:link w:val="3"/>
    <w:qFormat/>
    <w:locked/>
    <w:uiPriority w:val="99"/>
    <w:rPr>
      <w:rFonts w:ascii="Times New Roman" w:hAnsi="Times New Roman" w:eastAsia="宋体" w:cs="Times New Roman"/>
      <w:sz w:val="18"/>
      <w:szCs w:val="18"/>
    </w:rPr>
  </w:style>
  <w:style w:type="character" w:customStyle="1" w:styleId="16">
    <w:name w:val="Header Char"/>
    <w:basedOn w:val="8"/>
    <w:link w:val="4"/>
    <w:qFormat/>
    <w:locked/>
    <w:uiPriority w:val="99"/>
    <w:rPr>
      <w:rFonts w:ascii="Times New Roman" w:hAnsi="Times New Roman" w:eastAsia="宋体" w:cs="Times New Roman"/>
      <w:sz w:val="18"/>
      <w:szCs w:val="18"/>
    </w:rPr>
  </w:style>
  <w:style w:type="character" w:customStyle="1" w:styleId="17">
    <w:name w:val="Footnote Text Char"/>
    <w:basedOn w:val="8"/>
    <w:link w:val="6"/>
    <w:semiHidden/>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17</Pages>
  <Words>1094</Words>
  <Characters>6239</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Lenovo</cp:lastModifiedBy>
  <cp:lastPrinted>2020-02-26T09:45:00Z</cp:lastPrinted>
  <dcterms:modified xsi:type="dcterms:W3CDTF">2021-07-11T00:55:32Z</dcterms:modified>
  <dc:title>河北省财政厅2019年部门预算信息公开情况说明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