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6784EA">
      <w:pPr>
        <w:ind w:firstLine="880" w:firstLineChars="200"/>
        <w:jc w:val="center"/>
        <w:rPr>
          <w:rFonts w:ascii="Times New Roman" w:hAnsi="Times New Roman" w:eastAsia="方正小标宋_GBK"/>
          <w:sz w:val="44"/>
          <w:szCs w:val="44"/>
        </w:rPr>
      </w:pPr>
      <w:bookmarkStart w:id="3" w:name="_GoBack"/>
      <w:bookmarkEnd w:id="3"/>
      <w:r>
        <w:rPr>
          <w:rFonts w:hint="eastAsia" w:ascii="Times New Roman" w:hAnsi="Times New Roman" w:eastAsia="方正小标宋_GBK"/>
          <w:sz w:val="44"/>
          <w:szCs w:val="44"/>
        </w:rPr>
        <w:t>河北省财政厅</w:t>
      </w:r>
      <w:r>
        <w:rPr>
          <w:rFonts w:ascii="Times New Roman" w:hAnsi="Times New Roman" w:eastAsia="方正小标宋_GBK"/>
          <w:sz w:val="44"/>
          <w:szCs w:val="44"/>
        </w:rPr>
        <w:t>2019</w:t>
      </w:r>
      <w:r>
        <w:rPr>
          <w:rFonts w:hint="eastAsia" w:ascii="Times New Roman" w:hAnsi="Times New Roman" w:eastAsia="方正小标宋_GBK"/>
          <w:sz w:val="44"/>
          <w:szCs w:val="44"/>
        </w:rPr>
        <w:t>年部门预算信息公开情况说明</w:t>
      </w:r>
    </w:p>
    <w:p w14:paraId="0502FDB9">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
        </w:rPr>
        <w:t>中华人民共和国</w:t>
      </w:r>
      <w:r>
        <w:rPr>
          <w:rFonts w:hint="eastAsia" w:ascii="仿宋" w:hAnsi="仿宋" w:eastAsia="仿宋" w:cs="仿宋"/>
          <w:sz w:val="32"/>
          <w:szCs w:val="32"/>
        </w:rPr>
        <w:t>预算法》、《地方预决算公开操作规程》和《河北省省级预算公开办法》规定，现将河北鹿泉经济开发区管理委员会</w:t>
      </w:r>
      <w:r>
        <w:rPr>
          <w:rFonts w:ascii="仿宋" w:hAnsi="仿宋" w:eastAsia="仿宋" w:cs="仿宋"/>
          <w:sz w:val="32"/>
          <w:szCs w:val="32"/>
        </w:rPr>
        <w:t>2019</w:t>
      </w:r>
      <w:r>
        <w:rPr>
          <w:rFonts w:hint="eastAsia" w:ascii="仿宋" w:hAnsi="仿宋" w:eastAsia="仿宋" w:cs="仿宋"/>
          <w:sz w:val="32"/>
          <w:szCs w:val="32"/>
        </w:rPr>
        <w:t>年部门预算公开如下：</w:t>
      </w:r>
    </w:p>
    <w:p w14:paraId="400CFB21">
      <w:pPr>
        <w:ind w:firstLine="640"/>
        <w:rPr>
          <w:rFonts w:ascii="黑体" w:hAnsi="黑体" w:eastAsia="黑体"/>
          <w:sz w:val="32"/>
          <w:szCs w:val="32"/>
        </w:rPr>
      </w:pPr>
      <w:r>
        <w:rPr>
          <w:rFonts w:hint="eastAsia" w:ascii="黑体" w:hAnsi="黑体" w:eastAsia="黑体"/>
          <w:sz w:val="32"/>
          <w:szCs w:val="32"/>
        </w:rPr>
        <w:t>一、部门职责及机构设置情况</w:t>
      </w:r>
    </w:p>
    <w:p w14:paraId="4A101EF5">
      <w:pPr>
        <w:ind w:firstLine="640"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14:paraId="69CDB70B">
      <w:pPr>
        <w:ind w:firstLine="640" w:firstLineChars="200"/>
        <w:rPr>
          <w:rFonts w:ascii="仿宋" w:hAnsi="仿宋" w:eastAsia="仿宋" w:cs="仿宋"/>
          <w:sz w:val="32"/>
          <w:szCs w:val="32"/>
        </w:rPr>
      </w:pPr>
      <w:r>
        <w:rPr>
          <w:rFonts w:hint="eastAsia" w:ascii="仿宋" w:hAnsi="仿宋" w:eastAsia="仿宋" w:cs="仿宋"/>
          <w:sz w:val="32"/>
          <w:szCs w:val="32"/>
        </w:rPr>
        <w:t>中共河北鹿泉经济开发区工作委员会主要职责：贯彻落实党的路线、方针、政策和上级党委的决议、指示；研究辖区内重大经济社会发展问题；按照授权和管理权限负责辖区内干部管理；负责辖区党的组织、思想、党风廉政建设和其他党务工作；负责宣传和精神文明建设工作；组织协调辖区内社会治安综合治理和维护稳定工作；配合做好党的纪律检查工作；负责辖区工会、共青团、妇联等群团工作；承担鹿泉区赋予的其他职责。</w:t>
      </w:r>
    </w:p>
    <w:p w14:paraId="13811EE2">
      <w:pPr>
        <w:ind w:firstLine="640" w:firstLineChars="200"/>
        <w:rPr>
          <w:rFonts w:ascii="仿宋" w:hAnsi="仿宋" w:eastAsia="仿宋" w:cs="仿宋"/>
          <w:sz w:val="32"/>
          <w:szCs w:val="32"/>
        </w:rPr>
      </w:pPr>
      <w:r>
        <w:rPr>
          <w:rFonts w:hint="eastAsia" w:ascii="仿宋" w:hAnsi="仿宋" w:eastAsia="仿宋" w:cs="仿宋"/>
          <w:sz w:val="32"/>
          <w:szCs w:val="32"/>
        </w:rPr>
        <w:t>河北鹿泉经济开发区管理委员会主要职责：编制辖区的总体规划和经济、社会发展规划，经批准后组织实施；负责辖区区域性城市发展规划、国土利用规划，经批准后组织实施；负责区委、区政府下放开发区行政许可等权力事项办理；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鹿泉区政府交办的其他事项。</w:t>
      </w:r>
    </w:p>
    <w:p w14:paraId="7F9E286E">
      <w:pPr>
        <w:widowControl/>
        <w:shd w:val="clear" w:color="auto" w:fill="FFFFFF"/>
        <w:spacing w:line="579" w:lineRule="exact"/>
        <w:ind w:firstLine="633" w:firstLineChars="197"/>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综合办公室（人力资源局）</w:t>
      </w:r>
    </w:p>
    <w:p w14:paraId="60015F93">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贯彻落实党的路线、方针、政策和上级党委的决议、指示；</w:t>
      </w:r>
    </w:p>
    <w:p w14:paraId="1DCEB4D4">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负责辖区内党的组织、思想和其他党务工作；</w:t>
      </w:r>
    </w:p>
    <w:p w14:paraId="62E2C327">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负责开发区机关和所属单位的基层党组织建设、群团、人民武装和新农村建设等相关工作；</w:t>
      </w:r>
    </w:p>
    <w:p w14:paraId="78531443">
      <w:pPr>
        <w:ind w:firstLine="640" w:firstLineChars="200"/>
        <w:rPr>
          <w:rFonts w:ascii="仿宋" w:hAnsi="仿宋" w:eastAsia="仿宋" w:cs="仿宋"/>
          <w:sz w:val="32"/>
          <w:szCs w:val="32"/>
        </w:rPr>
      </w:pPr>
      <w:r>
        <w:rPr>
          <w:rFonts w:ascii="仿宋" w:hAnsi="仿宋" w:eastAsia="仿宋" w:cs="仿宋"/>
          <w:sz w:val="32"/>
          <w:szCs w:val="32"/>
        </w:rPr>
        <w:t xml:space="preserve">    4.</w:t>
      </w:r>
      <w:r>
        <w:rPr>
          <w:rFonts w:hint="eastAsia" w:ascii="仿宋" w:hAnsi="仿宋" w:eastAsia="仿宋" w:cs="仿宋"/>
          <w:sz w:val="32"/>
          <w:szCs w:val="32"/>
        </w:rPr>
        <w:t>负责与人大、政协的联系</w:t>
      </w:r>
      <w:r>
        <w:rPr>
          <w:rFonts w:ascii="仿宋" w:hAnsi="仿宋" w:eastAsia="仿宋" w:cs="仿宋"/>
          <w:sz w:val="32"/>
          <w:szCs w:val="32"/>
        </w:rPr>
        <w:t>;</w:t>
      </w:r>
    </w:p>
    <w:p w14:paraId="046CD50B">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负责宣传、精神文明建设、知识分子、综合治理等方面的工作；</w:t>
      </w:r>
    </w:p>
    <w:p w14:paraId="635784D1">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负责重大经济社会发展问题的调研工作；</w:t>
      </w:r>
    </w:p>
    <w:p w14:paraId="7EC319B0">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、负责机关公文以及行政、后勤、保密的工作；</w:t>
      </w:r>
    </w:p>
    <w:p w14:paraId="25AC7170">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、按照授权和管理权限负责辖区内干部管理；</w:t>
      </w:r>
    </w:p>
    <w:p w14:paraId="41AF7DB5">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、按照有关规定负责机构编制和人力资源相关工作；</w:t>
      </w:r>
    </w:p>
    <w:p w14:paraId="2541C30F">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、负责人事和薪酬改革工作，建立和维护绩效考核体系；</w:t>
      </w:r>
    </w:p>
    <w:p w14:paraId="1D5A4AAC">
      <w:pPr>
        <w:ind w:firstLine="640" w:firstLineChars="200"/>
        <w:rPr>
          <w:rFonts w:ascii="仿宋" w:hAnsi="仿宋" w:eastAsia="仿宋" w:cs="仿宋"/>
          <w:sz w:val="32"/>
          <w:szCs w:val="32"/>
        </w:rPr>
      </w:pPr>
      <w:r>
        <w:rPr>
          <w:rFonts w:ascii="仿宋" w:hAnsi="仿宋" w:eastAsia="仿宋" w:cs="仿宋"/>
          <w:sz w:val="32"/>
          <w:szCs w:val="32"/>
        </w:rPr>
        <w:t>11</w:t>
      </w:r>
      <w:r>
        <w:rPr>
          <w:rFonts w:hint="eastAsia" w:ascii="仿宋" w:hAnsi="仿宋" w:eastAsia="仿宋" w:cs="仿宋"/>
          <w:sz w:val="32"/>
          <w:szCs w:val="32"/>
        </w:rPr>
        <w:t>、按有关规定负责干部和职工的考核、奖惩、培训、教育工作；</w:t>
      </w:r>
    </w:p>
    <w:p w14:paraId="269C6C4E">
      <w:pPr>
        <w:ind w:firstLine="640" w:firstLineChars="200"/>
        <w:rPr>
          <w:rFonts w:ascii="仿宋" w:hAnsi="仿宋" w:eastAsia="仿宋" w:cs="仿宋"/>
          <w:sz w:val="32"/>
          <w:szCs w:val="32"/>
        </w:rPr>
      </w:pPr>
      <w:r>
        <w:rPr>
          <w:rFonts w:ascii="仿宋" w:hAnsi="仿宋" w:eastAsia="仿宋" w:cs="仿宋"/>
          <w:sz w:val="32"/>
          <w:szCs w:val="32"/>
        </w:rPr>
        <w:t>12</w:t>
      </w:r>
      <w:r>
        <w:rPr>
          <w:rFonts w:hint="eastAsia" w:ascii="仿宋" w:hAnsi="仿宋" w:eastAsia="仿宋" w:cs="仿宋"/>
          <w:sz w:val="32"/>
          <w:szCs w:val="32"/>
        </w:rPr>
        <w:t>、负责招才智，负责人才、劳动力市场建设与管理。</w:t>
      </w:r>
    </w:p>
    <w:p w14:paraId="496BD89E">
      <w:pPr>
        <w:widowControl/>
        <w:shd w:val="clear" w:color="auto" w:fill="FFFFFF"/>
        <w:spacing w:line="579" w:lineRule="exact"/>
        <w:ind w:firstLine="640"/>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行政审批局</w:t>
      </w:r>
    </w:p>
    <w:p w14:paraId="1EBC5E6F">
      <w:pPr>
        <w:ind w:firstLine="640" w:firstLineChars="200"/>
        <w:rPr>
          <w:rFonts w:ascii="仿宋" w:hAnsi="仿宋" w:eastAsia="仿宋" w:cs="仿宋"/>
          <w:sz w:val="32"/>
          <w:szCs w:val="32"/>
        </w:rPr>
      </w:pPr>
      <w:r>
        <w:rPr>
          <w:rFonts w:hint="eastAsia" w:ascii="仿宋" w:hAnsi="仿宋" w:eastAsia="仿宋" w:cs="仿宋"/>
          <w:sz w:val="32"/>
          <w:szCs w:val="32"/>
        </w:rPr>
        <w:t>负责区委、区政府下放开发区行政许可等</w:t>
      </w:r>
      <w:r>
        <w:rPr>
          <w:rFonts w:hint="eastAsia" w:ascii="仿宋" w:hAnsi="仿宋" w:eastAsia="仿宋" w:cs="仿宋"/>
          <w:sz w:val="32"/>
          <w:szCs w:val="32"/>
          <w:lang w:eastAsia="zh-CN"/>
        </w:rPr>
        <w:t>权力事项</w:t>
      </w:r>
      <w:r>
        <w:rPr>
          <w:rFonts w:hint="eastAsia" w:ascii="仿宋" w:hAnsi="仿宋" w:eastAsia="仿宋" w:cs="仿宋"/>
          <w:sz w:val="32"/>
          <w:szCs w:val="32"/>
        </w:rPr>
        <w:t>办理，做好地税、规划、环保、国土、消防等相关区直部门派驻开发区审批窗口人员管理及相关业务衔接。</w:t>
      </w:r>
    </w:p>
    <w:p w14:paraId="35CDA182">
      <w:pPr>
        <w:widowControl/>
        <w:shd w:val="clear" w:color="auto" w:fill="FFFFFF"/>
        <w:spacing w:line="579" w:lineRule="exact"/>
        <w:ind w:firstLine="640"/>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社会事务局</w:t>
      </w:r>
    </w:p>
    <w:p w14:paraId="679A667E">
      <w:pPr>
        <w:ind w:firstLine="640" w:firstLineChars="200"/>
        <w:rPr>
          <w:rFonts w:ascii="仿宋" w:hAnsi="仿宋" w:eastAsia="仿宋" w:cs="仿宋"/>
          <w:sz w:val="32"/>
          <w:szCs w:val="32"/>
        </w:rPr>
      </w:pPr>
      <w:r>
        <w:rPr>
          <w:rFonts w:hint="eastAsia" w:ascii="仿宋" w:hAnsi="仿宋" w:eastAsia="仿宋" w:cs="仿宋"/>
          <w:sz w:val="32"/>
          <w:szCs w:val="32"/>
        </w:rPr>
        <w:t>负责教育、文化、卫生、人口与计划生育、民政、社会事务、社区服务、维护社会稳定工作。负责社区服务工作。</w:t>
      </w:r>
    </w:p>
    <w:p w14:paraId="33F4CBE4">
      <w:pPr>
        <w:widowControl/>
        <w:shd w:val="clear" w:color="auto" w:fill="FFFFFF"/>
        <w:spacing w:line="579" w:lineRule="exact"/>
        <w:ind w:firstLine="640"/>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规划建设局</w:t>
      </w:r>
    </w:p>
    <w:p w14:paraId="29C1C1D3">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组织开发区规划编制和实施工作；</w:t>
      </w:r>
    </w:p>
    <w:p w14:paraId="478A82AD">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编制辖区区域性城市发展规划；</w:t>
      </w:r>
    </w:p>
    <w:p w14:paraId="7B7041D5">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、负责市政公共设施建设、管理、维护相关工作；</w:t>
      </w:r>
    </w:p>
    <w:p w14:paraId="0753F36C">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、负责交通、环卫、城市园林绿化工作，负责城市管理工作；</w:t>
      </w:r>
    </w:p>
    <w:p w14:paraId="3DEB54B2">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、负责建筑工地管理、负责企业与基础设施对接工作。</w:t>
      </w:r>
    </w:p>
    <w:p w14:paraId="7B0F5474">
      <w:pPr>
        <w:widowControl/>
        <w:shd w:val="clear" w:color="auto" w:fill="FFFFFF"/>
        <w:spacing w:line="579" w:lineRule="exact"/>
        <w:ind w:firstLine="640"/>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经济发展局（招商局）</w:t>
      </w:r>
    </w:p>
    <w:p w14:paraId="6DCCEC04">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、负责编制开发区经济发展规划及各类统计报表的编制和统计分析等方面的工作，负责辖区内环境保护和安全生产、消防安全等方面的工作；</w:t>
      </w:r>
    </w:p>
    <w:p w14:paraId="6512948B">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、负责编制环评工作；</w:t>
      </w:r>
    </w:p>
    <w:p w14:paraId="739DF4F0">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、负责开发区对外招商宣传、各类招商活动的组织协调工作；</w:t>
      </w:r>
    </w:p>
    <w:p w14:paraId="52066B72">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、负责招商引资工作；进出口贸易和国内外经济技术合作工作；</w:t>
      </w:r>
    </w:p>
    <w:p w14:paraId="4782DE30">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、负责国土规划，土地手续跑办工作；</w:t>
      </w:r>
    </w:p>
    <w:p w14:paraId="1724473A">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、负责项目落地协调推进工作；</w:t>
      </w:r>
    </w:p>
    <w:p w14:paraId="20DA7C31">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、负责项目其他服务工作。</w:t>
      </w:r>
    </w:p>
    <w:p w14:paraId="56A59E42">
      <w:pPr>
        <w:widowControl/>
        <w:shd w:val="clear" w:color="auto" w:fill="FFFFFF"/>
        <w:spacing w:line="579" w:lineRule="exact"/>
        <w:ind w:firstLine="640"/>
        <w:jc w:val="left"/>
        <w:rPr>
          <w:rFonts w:ascii="宋体" w:cs="Arial"/>
          <w:b/>
          <w:kern w:val="0"/>
          <w:sz w:val="32"/>
          <w:szCs w:val="32"/>
        </w:rPr>
      </w:pPr>
      <w:r>
        <w:rPr>
          <w:rFonts w:hint="eastAsia" w:ascii="宋体" w:hAnsi="宋体" w:cs="Arial"/>
          <w:b/>
          <w:kern w:val="0"/>
          <w:sz w:val="32"/>
          <w:szCs w:val="32"/>
        </w:rPr>
        <w:t>财政局</w:t>
      </w:r>
    </w:p>
    <w:p w14:paraId="7375EEAB">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、编制开发区年度财政预决算、财政、财务活动管理；</w:t>
      </w:r>
    </w:p>
    <w:p w14:paraId="5CF6C10F">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、农村经济财务管理；</w:t>
      </w:r>
    </w:p>
    <w:p w14:paraId="3F3C8838">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、负责国有资产管理和财政监督工作；</w:t>
      </w:r>
    </w:p>
    <w:p w14:paraId="637E9346">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、负责协调税费征收、税务稽查、税务管理工作；</w:t>
      </w:r>
    </w:p>
    <w:p w14:paraId="1E33C8D0">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、负责规划建设项目的工程决算公司；</w:t>
      </w:r>
    </w:p>
    <w:p w14:paraId="370F61A3">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、负责辖区农机推广体系建设与管理工作；</w:t>
      </w:r>
    </w:p>
    <w:p w14:paraId="553C601A">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、负责机关人员的社保、医保、住房公积金缴纳、由编制人员调资等工作；</w:t>
      </w:r>
    </w:p>
    <w:p w14:paraId="44BFD424">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、负责投融资平台工作。</w:t>
      </w:r>
    </w:p>
    <w:p w14:paraId="1486057F">
      <w:pPr>
        <w:ind w:firstLine="640" w:firstLineChars="200"/>
        <w:rPr>
          <w:rFonts w:ascii="Times New Roman" w:hAnsi="Times New Roman" w:eastAsia="方正仿宋_GBK"/>
          <w:b/>
          <w:sz w:val="32"/>
          <w:szCs w:val="32"/>
        </w:rPr>
      </w:pPr>
      <w:r>
        <w:rPr>
          <w:rFonts w:hint="eastAsia" w:ascii="Times New Roman" w:hAnsi="Times New Roman" w:eastAsia="方正仿宋_GBK"/>
          <w:b/>
          <w:sz w:val="32"/>
          <w:szCs w:val="32"/>
        </w:rPr>
        <w:t>机构设置：</w:t>
      </w:r>
    </w:p>
    <w:p w14:paraId="0BD0984A">
      <w:pPr>
        <w:ind w:firstLine="643" w:firstLineChars="200"/>
        <w:jc w:val="center"/>
        <w:rPr>
          <w:rFonts w:ascii="宋体"/>
          <w:b/>
          <w:kern w:val="0"/>
          <w:sz w:val="32"/>
          <w:szCs w:val="32"/>
        </w:rPr>
      </w:pPr>
      <w:r>
        <w:rPr>
          <w:rFonts w:hint="eastAsia" w:ascii="仿宋" w:hAnsi="仿宋" w:cs="仿宋"/>
          <w:b/>
          <w:sz w:val="32"/>
          <w:szCs w:val="32"/>
        </w:rPr>
        <w:t>部门机构设置情况</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10"/>
        <w:gridCol w:w="2363"/>
        <w:gridCol w:w="2100"/>
        <w:gridCol w:w="2853"/>
      </w:tblGrid>
      <w:tr w14:paraId="317FE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10" w:type="dxa"/>
          </w:tcPr>
          <w:p w14:paraId="355756E0">
            <w:pPr>
              <w:jc w:val="center"/>
              <w:rPr>
                <w:rFonts w:ascii="宋体"/>
                <w:b/>
                <w:kern w:val="0"/>
                <w:sz w:val="32"/>
                <w:szCs w:val="32"/>
              </w:rPr>
            </w:pPr>
            <w:r>
              <w:rPr>
                <w:rFonts w:hint="eastAsia" w:ascii="宋体" w:hAnsi="宋体"/>
                <w:b/>
                <w:kern w:val="0"/>
                <w:sz w:val="32"/>
                <w:szCs w:val="32"/>
              </w:rPr>
              <w:t>单位名称</w:t>
            </w:r>
          </w:p>
        </w:tc>
        <w:tc>
          <w:tcPr>
            <w:tcW w:w="2363" w:type="dxa"/>
          </w:tcPr>
          <w:p w14:paraId="206A58D3">
            <w:pPr>
              <w:jc w:val="center"/>
              <w:rPr>
                <w:rFonts w:ascii="宋体"/>
                <w:b/>
                <w:kern w:val="0"/>
                <w:sz w:val="32"/>
                <w:szCs w:val="32"/>
              </w:rPr>
            </w:pPr>
            <w:r>
              <w:rPr>
                <w:rFonts w:hint="eastAsia" w:ascii="宋体" w:hAnsi="宋体"/>
                <w:b/>
                <w:kern w:val="0"/>
                <w:sz w:val="32"/>
                <w:szCs w:val="32"/>
              </w:rPr>
              <w:t>单位性质</w:t>
            </w:r>
          </w:p>
        </w:tc>
        <w:tc>
          <w:tcPr>
            <w:tcW w:w="2100" w:type="dxa"/>
          </w:tcPr>
          <w:p w14:paraId="289153DE">
            <w:pPr>
              <w:jc w:val="center"/>
              <w:rPr>
                <w:rFonts w:ascii="宋体"/>
                <w:b/>
                <w:kern w:val="0"/>
                <w:sz w:val="32"/>
                <w:szCs w:val="32"/>
              </w:rPr>
            </w:pPr>
            <w:r>
              <w:rPr>
                <w:rFonts w:hint="eastAsia" w:ascii="宋体" w:hAnsi="宋体"/>
                <w:b/>
                <w:kern w:val="0"/>
                <w:sz w:val="32"/>
                <w:szCs w:val="32"/>
              </w:rPr>
              <w:t>单位规格</w:t>
            </w:r>
          </w:p>
        </w:tc>
        <w:tc>
          <w:tcPr>
            <w:tcW w:w="2853" w:type="dxa"/>
          </w:tcPr>
          <w:p w14:paraId="441ABB75">
            <w:pPr>
              <w:jc w:val="center"/>
              <w:rPr>
                <w:rFonts w:ascii="宋体"/>
                <w:b/>
                <w:kern w:val="0"/>
                <w:sz w:val="32"/>
                <w:szCs w:val="32"/>
              </w:rPr>
            </w:pPr>
            <w:r>
              <w:rPr>
                <w:rFonts w:hint="eastAsia" w:ascii="宋体" w:hAnsi="宋体"/>
                <w:b/>
                <w:kern w:val="0"/>
                <w:sz w:val="32"/>
                <w:szCs w:val="32"/>
              </w:rPr>
              <w:t>经费保障形式</w:t>
            </w:r>
          </w:p>
        </w:tc>
      </w:tr>
      <w:tr w14:paraId="00E49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310" w:type="dxa"/>
            <w:vAlign w:val="center"/>
          </w:tcPr>
          <w:p w14:paraId="266A4212">
            <w:pPr>
              <w:widowControl/>
              <w:spacing w:line="580" w:lineRule="atLeast"/>
              <w:jc w:val="center"/>
              <w:rPr>
                <w:rFonts w:ascii="宋体" w:cs="宋体"/>
                <w:kern w:val="0"/>
                <w:szCs w:val="21"/>
              </w:rPr>
            </w:pPr>
            <w:r>
              <w:rPr>
                <w:rFonts w:hint="eastAsia" w:ascii="宋体" w:hAnsi="宋体" w:cs="宋体"/>
                <w:kern w:val="0"/>
                <w:szCs w:val="21"/>
              </w:rPr>
              <w:t>河北鹿泉经济开发区管理委员会</w:t>
            </w:r>
          </w:p>
        </w:tc>
        <w:tc>
          <w:tcPr>
            <w:tcW w:w="2363" w:type="dxa"/>
            <w:vAlign w:val="center"/>
          </w:tcPr>
          <w:p w14:paraId="0C2C05EA">
            <w:pPr>
              <w:jc w:val="center"/>
              <w:rPr>
                <w:rFonts w:ascii="宋体"/>
                <w:kern w:val="0"/>
                <w:szCs w:val="21"/>
              </w:rPr>
            </w:pPr>
            <w:r>
              <w:rPr>
                <w:rFonts w:hint="eastAsia" w:ascii="宋体" w:hAnsi="宋体"/>
                <w:kern w:val="0"/>
                <w:szCs w:val="21"/>
              </w:rPr>
              <w:t>行政</w:t>
            </w:r>
          </w:p>
        </w:tc>
        <w:tc>
          <w:tcPr>
            <w:tcW w:w="2100" w:type="dxa"/>
            <w:vAlign w:val="center"/>
          </w:tcPr>
          <w:p w14:paraId="2DD3C9FE">
            <w:pPr>
              <w:jc w:val="center"/>
              <w:rPr>
                <w:rFonts w:ascii="宋体"/>
                <w:kern w:val="0"/>
                <w:szCs w:val="21"/>
              </w:rPr>
            </w:pPr>
            <w:r>
              <w:rPr>
                <w:rFonts w:hint="eastAsia" w:ascii="宋体" w:hAnsi="宋体"/>
                <w:kern w:val="0"/>
                <w:szCs w:val="21"/>
              </w:rPr>
              <w:t>副处级</w:t>
            </w:r>
          </w:p>
        </w:tc>
        <w:tc>
          <w:tcPr>
            <w:tcW w:w="2853" w:type="dxa"/>
            <w:vAlign w:val="center"/>
          </w:tcPr>
          <w:p w14:paraId="76A11241">
            <w:pPr>
              <w:jc w:val="center"/>
              <w:rPr>
                <w:rFonts w:ascii="宋体"/>
                <w:kern w:val="0"/>
                <w:szCs w:val="21"/>
              </w:rPr>
            </w:pPr>
            <w:r>
              <w:rPr>
                <w:rFonts w:hint="eastAsia" w:ascii="宋体" w:hAnsi="宋体"/>
                <w:kern w:val="0"/>
                <w:szCs w:val="21"/>
              </w:rPr>
              <w:t>财政拨款</w:t>
            </w:r>
          </w:p>
        </w:tc>
      </w:tr>
      <w:tr w14:paraId="207A0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3310" w:type="dxa"/>
            <w:vAlign w:val="center"/>
          </w:tcPr>
          <w:p w14:paraId="3405B6D6">
            <w:pPr>
              <w:widowControl/>
              <w:spacing w:line="580" w:lineRule="atLeast"/>
              <w:jc w:val="center"/>
              <w:rPr>
                <w:rFonts w:ascii="宋体" w:cs="宋体"/>
                <w:kern w:val="0"/>
                <w:szCs w:val="21"/>
              </w:rPr>
            </w:pPr>
            <w:r>
              <w:rPr>
                <w:rFonts w:hint="eastAsia" w:ascii="宋体" w:hAnsi="宋体" w:cs="宋体"/>
                <w:kern w:val="0"/>
                <w:szCs w:val="21"/>
              </w:rPr>
              <w:t>开发区项目建设服务中心</w:t>
            </w:r>
          </w:p>
        </w:tc>
        <w:tc>
          <w:tcPr>
            <w:tcW w:w="2363" w:type="dxa"/>
            <w:vAlign w:val="center"/>
          </w:tcPr>
          <w:p w14:paraId="7AD79134">
            <w:pPr>
              <w:jc w:val="center"/>
              <w:rPr>
                <w:rFonts w:ascii="宋体"/>
                <w:kern w:val="0"/>
                <w:szCs w:val="21"/>
              </w:rPr>
            </w:pPr>
            <w:r>
              <w:rPr>
                <w:rFonts w:hint="eastAsia" w:ascii="宋体" w:hAnsi="宋体"/>
                <w:kern w:val="0"/>
                <w:szCs w:val="21"/>
              </w:rPr>
              <w:t>事业单位</w:t>
            </w:r>
          </w:p>
        </w:tc>
        <w:tc>
          <w:tcPr>
            <w:tcW w:w="2100" w:type="dxa"/>
            <w:vAlign w:val="center"/>
          </w:tcPr>
          <w:p w14:paraId="516266C7">
            <w:pPr>
              <w:jc w:val="center"/>
              <w:rPr>
                <w:rFonts w:ascii="宋体"/>
                <w:kern w:val="0"/>
                <w:szCs w:val="21"/>
              </w:rPr>
            </w:pPr>
            <w:r>
              <w:rPr>
                <w:rFonts w:hint="eastAsia" w:ascii="宋体" w:hAnsi="宋体"/>
                <w:kern w:val="0"/>
                <w:szCs w:val="21"/>
              </w:rPr>
              <w:t>副科级</w:t>
            </w:r>
          </w:p>
        </w:tc>
        <w:tc>
          <w:tcPr>
            <w:tcW w:w="2853" w:type="dxa"/>
            <w:vAlign w:val="center"/>
          </w:tcPr>
          <w:p w14:paraId="7EE0A6E6">
            <w:pPr>
              <w:jc w:val="center"/>
              <w:rPr>
                <w:rFonts w:ascii="宋体"/>
                <w:kern w:val="0"/>
                <w:szCs w:val="21"/>
              </w:rPr>
            </w:pPr>
            <w:r>
              <w:rPr>
                <w:rFonts w:hint="eastAsia" w:ascii="宋体" w:hAnsi="宋体"/>
                <w:kern w:val="0"/>
                <w:szCs w:val="21"/>
              </w:rPr>
              <w:t>财政性资金基本保障</w:t>
            </w:r>
          </w:p>
        </w:tc>
      </w:tr>
      <w:tr w14:paraId="2B398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3310" w:type="dxa"/>
            <w:vAlign w:val="center"/>
          </w:tcPr>
          <w:p w14:paraId="5E394DDE">
            <w:pPr>
              <w:widowControl/>
              <w:spacing w:line="580" w:lineRule="atLeast"/>
              <w:jc w:val="center"/>
              <w:rPr>
                <w:rFonts w:ascii="宋体" w:cs="宋体"/>
                <w:kern w:val="0"/>
                <w:szCs w:val="21"/>
              </w:rPr>
            </w:pPr>
            <w:r>
              <w:rPr>
                <w:rFonts w:hint="eastAsia" w:ascii="宋体" w:hAnsi="宋体" w:cs="宋体"/>
                <w:kern w:val="0"/>
                <w:szCs w:val="21"/>
              </w:rPr>
              <w:t>社区事务综合服务中心</w:t>
            </w:r>
          </w:p>
        </w:tc>
        <w:tc>
          <w:tcPr>
            <w:tcW w:w="2363" w:type="dxa"/>
            <w:vAlign w:val="center"/>
          </w:tcPr>
          <w:p w14:paraId="7C0666D1">
            <w:pPr>
              <w:jc w:val="center"/>
              <w:rPr>
                <w:rFonts w:ascii="宋体"/>
                <w:kern w:val="0"/>
                <w:szCs w:val="21"/>
              </w:rPr>
            </w:pPr>
            <w:r>
              <w:rPr>
                <w:rFonts w:hint="eastAsia" w:ascii="宋体" w:hAnsi="宋体"/>
                <w:kern w:val="0"/>
                <w:szCs w:val="21"/>
              </w:rPr>
              <w:t>事业单位</w:t>
            </w:r>
          </w:p>
        </w:tc>
        <w:tc>
          <w:tcPr>
            <w:tcW w:w="2100" w:type="dxa"/>
            <w:vAlign w:val="center"/>
          </w:tcPr>
          <w:p w14:paraId="452CDEF2">
            <w:pPr>
              <w:jc w:val="center"/>
              <w:rPr>
                <w:rFonts w:ascii="宋体"/>
                <w:kern w:val="0"/>
                <w:szCs w:val="21"/>
              </w:rPr>
            </w:pPr>
            <w:r>
              <w:rPr>
                <w:rFonts w:hint="eastAsia" w:ascii="宋体" w:hAnsi="宋体"/>
                <w:kern w:val="0"/>
                <w:szCs w:val="21"/>
              </w:rPr>
              <w:t>副科级</w:t>
            </w:r>
          </w:p>
        </w:tc>
        <w:tc>
          <w:tcPr>
            <w:tcW w:w="2853" w:type="dxa"/>
            <w:vAlign w:val="center"/>
          </w:tcPr>
          <w:p w14:paraId="4F503D96">
            <w:pPr>
              <w:jc w:val="center"/>
              <w:rPr>
                <w:rFonts w:ascii="宋体"/>
                <w:kern w:val="0"/>
                <w:szCs w:val="21"/>
              </w:rPr>
            </w:pPr>
            <w:r>
              <w:rPr>
                <w:rFonts w:hint="eastAsia" w:ascii="宋体" w:hAnsi="宋体"/>
                <w:kern w:val="0"/>
                <w:szCs w:val="21"/>
              </w:rPr>
              <w:t>财政性资金基本保障</w:t>
            </w:r>
          </w:p>
        </w:tc>
      </w:tr>
      <w:tr w14:paraId="1C849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3310" w:type="dxa"/>
            <w:vAlign w:val="center"/>
          </w:tcPr>
          <w:p w14:paraId="228756AA">
            <w:pPr>
              <w:widowControl/>
              <w:spacing w:line="580" w:lineRule="atLeast"/>
              <w:jc w:val="center"/>
              <w:rPr>
                <w:rFonts w:ascii="宋体" w:cs="宋体"/>
                <w:kern w:val="0"/>
                <w:szCs w:val="21"/>
              </w:rPr>
            </w:pPr>
            <w:r>
              <w:rPr>
                <w:rFonts w:hint="eastAsia" w:ascii="宋体" w:hAnsi="宋体" w:cs="宋体"/>
                <w:kern w:val="0"/>
                <w:szCs w:val="21"/>
              </w:rPr>
              <w:t>开发区基础设施管理和服务中心</w:t>
            </w:r>
          </w:p>
        </w:tc>
        <w:tc>
          <w:tcPr>
            <w:tcW w:w="2363" w:type="dxa"/>
            <w:vAlign w:val="center"/>
          </w:tcPr>
          <w:p w14:paraId="34F5FB7A">
            <w:pPr>
              <w:jc w:val="center"/>
              <w:rPr>
                <w:rFonts w:ascii="宋体"/>
                <w:kern w:val="0"/>
                <w:szCs w:val="21"/>
              </w:rPr>
            </w:pPr>
            <w:r>
              <w:rPr>
                <w:rFonts w:hint="eastAsia" w:ascii="宋体" w:hAnsi="宋体"/>
                <w:kern w:val="0"/>
                <w:szCs w:val="21"/>
              </w:rPr>
              <w:t>事业单位</w:t>
            </w:r>
          </w:p>
        </w:tc>
        <w:tc>
          <w:tcPr>
            <w:tcW w:w="2100" w:type="dxa"/>
            <w:vAlign w:val="center"/>
          </w:tcPr>
          <w:p w14:paraId="2B6A83C4">
            <w:pPr>
              <w:jc w:val="center"/>
              <w:rPr>
                <w:rFonts w:ascii="宋体"/>
                <w:kern w:val="0"/>
                <w:szCs w:val="21"/>
              </w:rPr>
            </w:pPr>
            <w:r>
              <w:rPr>
                <w:rFonts w:hint="eastAsia" w:ascii="宋体" w:hAnsi="宋体"/>
                <w:kern w:val="0"/>
                <w:szCs w:val="21"/>
              </w:rPr>
              <w:t>副科级</w:t>
            </w:r>
          </w:p>
        </w:tc>
        <w:tc>
          <w:tcPr>
            <w:tcW w:w="2853" w:type="dxa"/>
            <w:vAlign w:val="center"/>
          </w:tcPr>
          <w:p w14:paraId="38672897">
            <w:pPr>
              <w:jc w:val="center"/>
              <w:rPr>
                <w:rFonts w:ascii="宋体"/>
                <w:kern w:val="0"/>
                <w:szCs w:val="21"/>
              </w:rPr>
            </w:pPr>
            <w:r>
              <w:rPr>
                <w:rFonts w:hint="eastAsia" w:ascii="宋体" w:hAnsi="宋体"/>
                <w:kern w:val="0"/>
                <w:szCs w:val="21"/>
              </w:rPr>
              <w:t>财政性资金基本保障</w:t>
            </w:r>
          </w:p>
        </w:tc>
      </w:tr>
      <w:tr w14:paraId="6F47E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3310" w:type="dxa"/>
            <w:vAlign w:val="center"/>
          </w:tcPr>
          <w:p w14:paraId="761BD4F8">
            <w:pPr>
              <w:widowControl/>
              <w:spacing w:line="580" w:lineRule="atLeast"/>
              <w:jc w:val="center"/>
              <w:rPr>
                <w:rFonts w:ascii="宋体" w:cs="宋体"/>
                <w:kern w:val="0"/>
                <w:szCs w:val="21"/>
              </w:rPr>
            </w:pPr>
            <w:r>
              <w:rPr>
                <w:rFonts w:hint="eastAsia" w:ascii="宋体" w:hAnsi="宋体" w:cs="宋体"/>
                <w:kern w:val="0"/>
                <w:szCs w:val="21"/>
              </w:rPr>
              <w:t>开发区城管中队</w:t>
            </w:r>
          </w:p>
        </w:tc>
        <w:tc>
          <w:tcPr>
            <w:tcW w:w="2363" w:type="dxa"/>
            <w:vAlign w:val="center"/>
          </w:tcPr>
          <w:p w14:paraId="1617EE43">
            <w:pPr>
              <w:jc w:val="center"/>
              <w:rPr>
                <w:rFonts w:ascii="宋体"/>
                <w:kern w:val="0"/>
                <w:szCs w:val="21"/>
              </w:rPr>
            </w:pPr>
            <w:r>
              <w:rPr>
                <w:rFonts w:hint="eastAsia" w:ascii="宋体" w:hAnsi="宋体"/>
                <w:kern w:val="0"/>
                <w:szCs w:val="21"/>
              </w:rPr>
              <w:t>事业单位</w:t>
            </w:r>
          </w:p>
        </w:tc>
        <w:tc>
          <w:tcPr>
            <w:tcW w:w="2100" w:type="dxa"/>
            <w:vAlign w:val="center"/>
          </w:tcPr>
          <w:p w14:paraId="03884B6D">
            <w:pPr>
              <w:jc w:val="center"/>
              <w:rPr>
                <w:rFonts w:ascii="宋体"/>
                <w:kern w:val="0"/>
                <w:szCs w:val="21"/>
              </w:rPr>
            </w:pPr>
            <w:r>
              <w:rPr>
                <w:rFonts w:hint="eastAsia" w:ascii="宋体" w:hAnsi="宋体"/>
                <w:kern w:val="0"/>
                <w:szCs w:val="21"/>
              </w:rPr>
              <w:t>股级</w:t>
            </w:r>
          </w:p>
        </w:tc>
        <w:tc>
          <w:tcPr>
            <w:tcW w:w="2853" w:type="dxa"/>
            <w:vAlign w:val="center"/>
          </w:tcPr>
          <w:p w14:paraId="2BC7FAA7">
            <w:pPr>
              <w:jc w:val="center"/>
              <w:rPr>
                <w:rFonts w:ascii="宋体"/>
                <w:kern w:val="0"/>
                <w:szCs w:val="21"/>
              </w:rPr>
            </w:pPr>
            <w:r>
              <w:rPr>
                <w:rFonts w:hint="eastAsia" w:ascii="宋体" w:hAnsi="宋体"/>
                <w:kern w:val="0"/>
                <w:szCs w:val="21"/>
              </w:rPr>
              <w:t>财政性资金基本保障</w:t>
            </w:r>
          </w:p>
        </w:tc>
      </w:tr>
    </w:tbl>
    <w:p w14:paraId="45F919A6">
      <w:pPr>
        <w:numPr>
          <w:ilvl w:val="0"/>
          <w:numId w:val="1"/>
        </w:numPr>
        <w:ind w:firstLine="640"/>
        <w:rPr>
          <w:rFonts w:hint="eastAsia" w:ascii="黑体" w:hAnsi="黑体" w:eastAsia="黑体"/>
          <w:sz w:val="32"/>
          <w:szCs w:val="32"/>
        </w:rPr>
      </w:pPr>
      <w:r>
        <w:rPr>
          <w:rFonts w:hint="eastAsia" w:ascii="黑体" w:hAnsi="黑体" w:eastAsia="黑体"/>
          <w:sz w:val="32"/>
          <w:szCs w:val="32"/>
        </w:rPr>
        <w:t>部门预算安排的总体情况</w:t>
      </w:r>
    </w:p>
    <w:p w14:paraId="3348F48E">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val="en-US" w:eastAsia="zh-CN"/>
        </w:rPr>
        <w:t>开发区</w:t>
      </w:r>
      <w:r>
        <w:rPr>
          <w:rFonts w:hint="eastAsia" w:ascii="仿宋" w:hAnsi="仿宋" w:eastAsia="仿宋" w:cs="仿宋"/>
          <w:sz w:val="32"/>
          <w:szCs w:val="32"/>
        </w:rPr>
        <w:t>部门预算的编制实行综合预算管理，即全部收入和支出都反映在预算中。</w:t>
      </w:r>
    </w:p>
    <w:p w14:paraId="675C1000">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14:paraId="33443EA1">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2019</w:t>
      </w:r>
      <w:r>
        <w:rPr>
          <w:rFonts w:hint="eastAsia" w:ascii="仿宋" w:hAnsi="仿宋" w:eastAsia="仿宋" w:cs="仿宋"/>
          <w:sz w:val="32"/>
          <w:szCs w:val="32"/>
        </w:rPr>
        <w:t>年预算收入</w:t>
      </w:r>
      <w:r>
        <w:rPr>
          <w:rFonts w:ascii="仿宋" w:hAnsi="仿宋" w:eastAsia="仿宋" w:cs="仿宋"/>
          <w:sz w:val="32"/>
          <w:szCs w:val="32"/>
        </w:rPr>
        <w:t>20608.96</w:t>
      </w:r>
      <w:r>
        <w:rPr>
          <w:rFonts w:hint="eastAsia" w:ascii="仿宋" w:hAnsi="仿宋" w:eastAsia="仿宋" w:cs="仿宋"/>
          <w:sz w:val="32"/>
          <w:szCs w:val="32"/>
        </w:rPr>
        <w:t>万元，其中：一般公共预算收入</w:t>
      </w:r>
      <w:r>
        <w:rPr>
          <w:rFonts w:ascii="仿宋" w:hAnsi="仿宋" w:eastAsia="仿宋" w:cs="仿宋"/>
          <w:sz w:val="32"/>
          <w:szCs w:val="32"/>
        </w:rPr>
        <w:t>20408.96</w:t>
      </w:r>
      <w:r>
        <w:rPr>
          <w:rFonts w:hint="eastAsia" w:ascii="仿宋" w:hAnsi="仿宋" w:eastAsia="仿宋" w:cs="仿宋"/>
          <w:sz w:val="32"/>
          <w:szCs w:val="32"/>
        </w:rPr>
        <w:t>万元，基金预算收入</w:t>
      </w:r>
      <w:r>
        <w:rPr>
          <w:rFonts w:ascii="仿宋" w:hAnsi="仿宋" w:eastAsia="仿宋" w:cs="仿宋"/>
          <w:sz w:val="32"/>
          <w:szCs w:val="32"/>
        </w:rPr>
        <w:t>200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14:paraId="1AF2C5EF">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14:paraId="13F6FA2E">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收支预算总表支出栏、基本支出表、项目支出表按经济分类和支出功能分类科目编制，反映河北鹿泉经济开发区管理委员会年度部门预算中支出预算的总体情况。</w:t>
      </w:r>
      <w:r>
        <w:rPr>
          <w:rFonts w:ascii="仿宋" w:hAnsi="仿宋" w:eastAsia="仿宋" w:cs="仿宋"/>
          <w:sz w:val="32"/>
          <w:szCs w:val="32"/>
        </w:rPr>
        <w:t>2019</w:t>
      </w:r>
      <w:r>
        <w:rPr>
          <w:rFonts w:hint="eastAsia" w:ascii="仿宋" w:hAnsi="仿宋" w:eastAsia="仿宋" w:cs="仿宋"/>
          <w:sz w:val="32"/>
          <w:szCs w:val="32"/>
        </w:rPr>
        <w:t>年支出预算</w:t>
      </w:r>
      <w:r>
        <w:rPr>
          <w:rFonts w:ascii="仿宋" w:hAnsi="仿宋" w:eastAsia="仿宋" w:cs="仿宋"/>
          <w:sz w:val="32"/>
          <w:szCs w:val="32"/>
        </w:rPr>
        <w:t>20608.96</w:t>
      </w:r>
      <w:r>
        <w:rPr>
          <w:rFonts w:hint="eastAsia" w:ascii="仿宋" w:hAnsi="仿宋" w:eastAsia="仿宋" w:cs="仿宋"/>
          <w:sz w:val="32"/>
          <w:szCs w:val="32"/>
        </w:rPr>
        <w:t>万元，其中基本支出</w:t>
      </w:r>
      <w:r>
        <w:rPr>
          <w:rFonts w:ascii="仿宋" w:hAnsi="仿宋" w:eastAsia="仿宋" w:cs="仿宋"/>
          <w:sz w:val="32"/>
          <w:szCs w:val="32"/>
        </w:rPr>
        <w:t>1704.94</w:t>
      </w:r>
      <w:r>
        <w:rPr>
          <w:rFonts w:hint="eastAsia" w:ascii="仿宋" w:hAnsi="仿宋" w:eastAsia="仿宋" w:cs="仿宋"/>
          <w:sz w:val="32"/>
          <w:szCs w:val="32"/>
        </w:rPr>
        <w:t>万元，包括人员经费</w:t>
      </w:r>
      <w:r>
        <w:rPr>
          <w:rFonts w:ascii="仿宋" w:hAnsi="仿宋" w:eastAsia="仿宋" w:cs="仿宋"/>
          <w:sz w:val="32"/>
          <w:szCs w:val="32"/>
        </w:rPr>
        <w:t>1064.81</w:t>
      </w:r>
      <w:r>
        <w:rPr>
          <w:rFonts w:hint="eastAsia" w:ascii="仿宋" w:hAnsi="仿宋" w:eastAsia="仿宋" w:cs="仿宋"/>
          <w:sz w:val="32"/>
          <w:szCs w:val="32"/>
        </w:rPr>
        <w:t>万元和日常公用经费</w:t>
      </w:r>
      <w:r>
        <w:rPr>
          <w:rFonts w:ascii="仿宋" w:hAnsi="仿宋" w:eastAsia="仿宋" w:cs="仿宋"/>
          <w:sz w:val="32"/>
          <w:szCs w:val="32"/>
        </w:rPr>
        <w:t>640.13</w:t>
      </w:r>
      <w:r>
        <w:rPr>
          <w:rFonts w:hint="eastAsia" w:ascii="仿宋" w:hAnsi="仿宋" w:eastAsia="仿宋" w:cs="仿宋"/>
          <w:sz w:val="32"/>
          <w:szCs w:val="32"/>
        </w:rPr>
        <w:t>万元；项目支出</w:t>
      </w:r>
      <w:r>
        <w:rPr>
          <w:rFonts w:ascii="仿宋" w:hAnsi="仿宋" w:eastAsia="仿宋" w:cs="仿宋"/>
          <w:sz w:val="32"/>
          <w:szCs w:val="32"/>
        </w:rPr>
        <w:t>18904.02</w:t>
      </w:r>
      <w:r>
        <w:rPr>
          <w:rFonts w:hint="eastAsia" w:ascii="仿宋" w:hAnsi="仿宋" w:eastAsia="仿宋" w:cs="仿宋"/>
          <w:sz w:val="32"/>
          <w:szCs w:val="32"/>
        </w:rPr>
        <w:t>万元，，主要为基础设施建设、城乡规划、企业服务及招商等项目。</w:t>
      </w:r>
    </w:p>
    <w:p w14:paraId="06574867">
      <w:pPr>
        <w:ind w:firstLine="640" w:firstLineChars="200"/>
        <w:rPr>
          <w:rFonts w:hint="eastAsia" w:ascii="仿宋" w:hAnsi="仿宋" w:eastAsia="仿宋" w:cs="仿宋"/>
          <w:sz w:val="32"/>
          <w:szCs w:val="32"/>
          <w:lang w:val="en-US" w:eastAsia="zh-CN"/>
        </w:rPr>
      </w:pPr>
      <w:r>
        <w:rPr>
          <w:rFonts w:ascii="仿宋" w:hAnsi="仿宋" w:eastAsia="仿宋" w:cs="仿宋"/>
          <w:sz w:val="32"/>
          <w:szCs w:val="32"/>
        </w:rPr>
        <w:t>3</w:t>
      </w:r>
      <w:r>
        <w:rPr>
          <w:rFonts w:hint="eastAsia" w:ascii="仿宋" w:hAnsi="仿宋" w:eastAsia="仿宋" w:cs="仿宋"/>
          <w:sz w:val="32"/>
          <w:szCs w:val="32"/>
        </w:rPr>
        <w:t>、比上年增减情况</w:t>
      </w:r>
    </w:p>
    <w:p w14:paraId="74EDF625">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年预算收支安排</w:t>
      </w:r>
      <w:r>
        <w:rPr>
          <w:rFonts w:ascii="仿宋" w:hAnsi="仿宋" w:eastAsia="仿宋" w:cs="仿宋"/>
          <w:sz w:val="32"/>
          <w:szCs w:val="32"/>
        </w:rPr>
        <w:t>20608.96</w:t>
      </w:r>
      <w:r>
        <w:rPr>
          <w:rFonts w:hint="eastAsia" w:ascii="仿宋" w:hAnsi="仿宋" w:eastAsia="仿宋" w:cs="仿宋"/>
          <w:sz w:val="32"/>
          <w:szCs w:val="32"/>
        </w:rPr>
        <w:t>万元，较</w:t>
      </w:r>
      <w:r>
        <w:rPr>
          <w:rFonts w:ascii="仿宋" w:hAnsi="仿宋" w:eastAsia="仿宋" w:cs="仿宋"/>
          <w:sz w:val="32"/>
          <w:szCs w:val="32"/>
        </w:rPr>
        <w:t>2018</w:t>
      </w:r>
      <w:r>
        <w:rPr>
          <w:rFonts w:hint="eastAsia" w:ascii="仿宋" w:hAnsi="仿宋" w:eastAsia="仿宋" w:cs="仿宋"/>
          <w:sz w:val="32"/>
          <w:szCs w:val="32"/>
        </w:rPr>
        <w:t>年预算增加</w:t>
      </w:r>
      <w:r>
        <w:rPr>
          <w:rFonts w:ascii="仿宋" w:hAnsi="仿宋" w:eastAsia="仿宋" w:cs="仿宋"/>
          <w:sz w:val="32"/>
          <w:szCs w:val="32"/>
        </w:rPr>
        <w:t>7860.29</w:t>
      </w:r>
      <w:r>
        <w:rPr>
          <w:rFonts w:hint="eastAsia" w:ascii="仿宋" w:hAnsi="仿宋" w:eastAsia="仿宋" w:cs="仿宋"/>
          <w:sz w:val="32"/>
          <w:szCs w:val="32"/>
        </w:rPr>
        <w:t>万元，其中：基本支出减少</w:t>
      </w:r>
      <w:r>
        <w:rPr>
          <w:rFonts w:ascii="仿宋" w:hAnsi="仿宋" w:eastAsia="仿宋" w:cs="仿宋"/>
          <w:sz w:val="32"/>
          <w:szCs w:val="32"/>
        </w:rPr>
        <w:t>85.05</w:t>
      </w:r>
      <w:r>
        <w:rPr>
          <w:rFonts w:hint="eastAsia" w:ascii="仿宋" w:hAnsi="仿宋" w:eastAsia="仿宋" w:cs="仿宋"/>
          <w:sz w:val="32"/>
          <w:szCs w:val="32"/>
        </w:rPr>
        <w:t>万元，主要为减少人员经费支出；项目支出增加</w:t>
      </w:r>
      <w:r>
        <w:rPr>
          <w:rFonts w:hint="eastAsia" w:ascii="仿宋" w:hAnsi="仿宋" w:eastAsia="仿宋" w:cs="仿宋"/>
          <w:sz w:val="32"/>
          <w:szCs w:val="32"/>
          <w:lang w:val="en-US" w:eastAsia="zh-CN"/>
        </w:rPr>
        <w:t>7945.34</w:t>
      </w:r>
      <w:r>
        <w:rPr>
          <w:rFonts w:hint="eastAsia" w:ascii="仿宋" w:hAnsi="仿宋" w:eastAsia="仿宋" w:cs="仿宋"/>
          <w:sz w:val="32"/>
          <w:szCs w:val="32"/>
        </w:rPr>
        <w:t>万元，主要为加大基础设施建设，改善民生。</w:t>
      </w:r>
    </w:p>
    <w:p w14:paraId="655E9485">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14:paraId="59E041E2">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年，我单位机关运行经费共计安排</w:t>
      </w:r>
      <w:r>
        <w:rPr>
          <w:rFonts w:ascii="仿宋" w:hAnsi="仿宋" w:eastAsia="仿宋" w:cs="仿宋"/>
          <w:sz w:val="32"/>
          <w:szCs w:val="32"/>
        </w:rPr>
        <w:t>640.13</w:t>
      </w:r>
      <w:r>
        <w:rPr>
          <w:rFonts w:hint="eastAsia" w:ascii="仿宋" w:hAnsi="仿宋" w:eastAsia="仿宋" w:cs="仿宋"/>
          <w:sz w:val="32"/>
          <w:szCs w:val="32"/>
        </w:rPr>
        <w:t>万元，主要用于办公区的日常维修、办公用房水电费、办公用房取暖费、办公用房物业管理费等日常运行支出。</w:t>
      </w:r>
    </w:p>
    <w:p w14:paraId="5C8A9F13">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14:paraId="3139A543">
      <w:pPr>
        <w:ind w:firstLine="640" w:firstLineChars="200"/>
        <w:rPr>
          <w:rFonts w:ascii="仿宋" w:hAnsi="仿宋" w:eastAsia="仿宋" w:cs="仿宋"/>
          <w:sz w:val="32"/>
          <w:szCs w:val="32"/>
        </w:rPr>
      </w:pPr>
      <w:r>
        <w:rPr>
          <w:rFonts w:ascii="仿宋" w:hAnsi="仿宋" w:eastAsia="仿宋" w:cs="仿宋"/>
          <w:sz w:val="32"/>
          <w:szCs w:val="32"/>
        </w:rPr>
        <w:t>2019</w:t>
      </w:r>
      <w:r>
        <w:rPr>
          <w:rFonts w:hint="eastAsia" w:ascii="仿宋" w:hAnsi="仿宋" w:eastAsia="仿宋" w:cs="仿宋"/>
          <w:sz w:val="32"/>
          <w:szCs w:val="32"/>
        </w:rPr>
        <w:t>年，我单位财政拨款“三公”经费预算安排</w:t>
      </w:r>
      <w:r>
        <w:rPr>
          <w:rFonts w:ascii="仿宋" w:hAnsi="仿宋" w:eastAsia="仿宋" w:cs="仿宋"/>
          <w:sz w:val="32"/>
          <w:szCs w:val="32"/>
        </w:rPr>
        <w:t>14.37</w:t>
      </w:r>
      <w:r>
        <w:rPr>
          <w:rFonts w:hint="eastAsia" w:ascii="仿宋" w:hAnsi="仿宋" w:eastAsia="仿宋" w:cs="仿宋"/>
          <w:sz w:val="32"/>
          <w:szCs w:val="32"/>
        </w:rPr>
        <w:t>万元，其中因公出国（境）费</w:t>
      </w:r>
      <w:r>
        <w:rPr>
          <w:rFonts w:ascii="仿宋" w:hAnsi="仿宋" w:eastAsia="仿宋" w:cs="仿宋"/>
          <w:sz w:val="32"/>
          <w:szCs w:val="32"/>
        </w:rPr>
        <w:t>10</w:t>
      </w:r>
      <w:r>
        <w:rPr>
          <w:rFonts w:hint="eastAsia" w:ascii="仿宋" w:hAnsi="仿宋" w:eastAsia="仿宋" w:cs="仿宋"/>
          <w:sz w:val="32"/>
          <w:szCs w:val="32"/>
        </w:rPr>
        <w:t>万元；公务用车购置及运维费</w:t>
      </w:r>
      <w:r>
        <w:rPr>
          <w:rFonts w:ascii="仿宋" w:hAnsi="仿宋" w:eastAsia="仿宋" w:cs="仿宋"/>
          <w:sz w:val="32"/>
          <w:szCs w:val="32"/>
        </w:rPr>
        <w:t>2.7</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w:t>
      </w:r>
      <w:r>
        <w:rPr>
          <w:rFonts w:ascii="仿宋" w:hAnsi="仿宋" w:eastAsia="仿宋" w:cs="仿宋"/>
          <w:sz w:val="32"/>
          <w:szCs w:val="32"/>
        </w:rPr>
        <w:t>2.7</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1.67</w:t>
      </w:r>
      <w:r>
        <w:rPr>
          <w:rFonts w:hint="eastAsia" w:ascii="仿宋" w:hAnsi="仿宋" w:eastAsia="仿宋" w:cs="仿宋"/>
          <w:sz w:val="32"/>
          <w:szCs w:val="32"/>
        </w:rPr>
        <w:t>万元。与</w:t>
      </w:r>
      <w:r>
        <w:rPr>
          <w:rFonts w:ascii="仿宋" w:hAnsi="仿宋" w:eastAsia="仿宋" w:cs="仿宋"/>
          <w:sz w:val="32"/>
          <w:szCs w:val="32"/>
        </w:rPr>
        <w:t>2018</w:t>
      </w:r>
      <w:r>
        <w:rPr>
          <w:rFonts w:hint="eastAsia" w:ascii="仿宋" w:hAnsi="仿宋" w:eastAsia="仿宋" w:cs="仿宋"/>
          <w:sz w:val="32"/>
          <w:szCs w:val="32"/>
        </w:rPr>
        <w:t>年相比增加</w:t>
      </w:r>
      <w:r>
        <w:rPr>
          <w:rFonts w:ascii="仿宋" w:hAnsi="仿宋" w:eastAsia="仿宋" w:cs="仿宋"/>
          <w:sz w:val="32"/>
          <w:szCs w:val="32"/>
        </w:rPr>
        <w:t>10</w:t>
      </w:r>
      <w:r>
        <w:rPr>
          <w:rFonts w:hint="eastAsia" w:ascii="仿宋" w:hAnsi="仿宋" w:eastAsia="仿宋" w:cs="仿宋"/>
          <w:sz w:val="32"/>
          <w:szCs w:val="32"/>
        </w:rPr>
        <w:t>万元，增加的主要原因是：</w:t>
      </w:r>
      <w:r>
        <w:rPr>
          <w:rFonts w:hint="eastAsia" w:ascii="仿宋" w:hAnsi="仿宋" w:eastAsia="仿宋" w:cs="仿宋"/>
          <w:sz w:val="32"/>
          <w:szCs w:val="32"/>
          <w:lang w:val="en-US" w:eastAsia="zh-CN"/>
        </w:rPr>
        <w:t>招商引资力度加大，因公出国经费增加。</w:t>
      </w:r>
    </w:p>
    <w:p w14:paraId="2EB5CAB8">
      <w:pPr>
        <w:ind w:firstLine="640"/>
        <w:rPr>
          <w:rFonts w:ascii="黑体" w:hAnsi="黑体" w:eastAsia="黑体"/>
          <w:sz w:val="32"/>
          <w:szCs w:val="32"/>
        </w:rPr>
      </w:pPr>
      <w:r>
        <w:rPr>
          <w:rFonts w:hint="eastAsia" w:ascii="黑体" w:hAnsi="黑体" w:eastAsia="黑体"/>
          <w:sz w:val="32"/>
          <w:szCs w:val="32"/>
        </w:rPr>
        <w:t>五、绩效预算信息</w:t>
      </w:r>
    </w:p>
    <w:p w14:paraId="7722132D">
      <w:pPr>
        <w:ind w:firstLine="560" w:firstLineChars="200"/>
        <w:jc w:val="left"/>
        <w:rPr>
          <w:rFonts w:ascii="方正楷体_GBK" w:eastAsia="方正楷体_GBK"/>
          <w:b/>
          <w:sz w:val="28"/>
        </w:rPr>
      </w:pPr>
      <w:bookmarkStart w:id="0" w:name="_Toc471398463"/>
      <w:r>
        <w:rPr>
          <w:rFonts w:hint="eastAsia" w:ascii="方正楷体_GBK" w:eastAsia="方正楷体_GBK"/>
          <w:b/>
          <w:sz w:val="28"/>
        </w:rPr>
        <w:t>总体目标：</w:t>
      </w:r>
    </w:p>
    <w:p w14:paraId="495B27E9">
      <w:pPr>
        <w:ind w:firstLine="640" w:firstLineChars="200"/>
        <w:rPr>
          <w:rFonts w:ascii="仿宋" w:hAnsi="仿宋" w:eastAsia="仿宋" w:cs="仿宋"/>
          <w:sz w:val="32"/>
          <w:szCs w:val="32"/>
        </w:rPr>
      </w:pPr>
      <w:r>
        <w:rPr>
          <w:rFonts w:hint="eastAsia" w:ascii="仿宋" w:hAnsi="仿宋" w:eastAsia="仿宋" w:cs="仿宋"/>
          <w:sz w:val="32"/>
          <w:szCs w:val="32"/>
        </w:rPr>
        <w:t>主营业务收入达到</w:t>
      </w:r>
      <w:r>
        <w:rPr>
          <w:rFonts w:ascii="仿宋" w:hAnsi="仿宋" w:eastAsia="仿宋" w:cs="仿宋"/>
          <w:sz w:val="32"/>
          <w:szCs w:val="32"/>
        </w:rPr>
        <w:t>1440</w:t>
      </w:r>
      <w:r>
        <w:rPr>
          <w:rFonts w:hint="eastAsia" w:ascii="仿宋" w:hAnsi="仿宋" w:eastAsia="仿宋" w:cs="仿宋"/>
          <w:sz w:val="32"/>
          <w:szCs w:val="32"/>
        </w:rPr>
        <w:t>亿元，同比增长</w:t>
      </w:r>
      <w:r>
        <w:rPr>
          <w:rFonts w:ascii="仿宋" w:hAnsi="仿宋" w:eastAsia="仿宋" w:cs="仿宋"/>
          <w:sz w:val="32"/>
          <w:szCs w:val="32"/>
        </w:rPr>
        <w:t>20%</w:t>
      </w:r>
      <w:r>
        <w:rPr>
          <w:rFonts w:hint="eastAsia" w:ascii="仿宋" w:hAnsi="仿宋" w:eastAsia="仿宋" w:cs="仿宋"/>
          <w:sz w:val="32"/>
          <w:szCs w:val="32"/>
        </w:rPr>
        <w:t>；税收总额达到</w:t>
      </w:r>
      <w:r>
        <w:rPr>
          <w:rFonts w:ascii="仿宋" w:hAnsi="仿宋" w:eastAsia="仿宋" w:cs="仿宋"/>
          <w:sz w:val="32"/>
          <w:szCs w:val="32"/>
        </w:rPr>
        <w:t>25.2</w:t>
      </w:r>
      <w:r>
        <w:rPr>
          <w:rFonts w:hint="eastAsia" w:ascii="仿宋" w:hAnsi="仿宋" w:eastAsia="仿宋" w:cs="仿宋"/>
          <w:sz w:val="32"/>
          <w:szCs w:val="32"/>
        </w:rPr>
        <w:t>亿元，同比增长</w:t>
      </w:r>
      <w:r>
        <w:rPr>
          <w:rFonts w:ascii="仿宋" w:hAnsi="仿宋" w:eastAsia="仿宋" w:cs="仿宋"/>
          <w:sz w:val="32"/>
          <w:szCs w:val="32"/>
        </w:rPr>
        <w:t>20%</w:t>
      </w:r>
      <w:r>
        <w:rPr>
          <w:rFonts w:hint="eastAsia" w:ascii="仿宋" w:hAnsi="仿宋" w:eastAsia="仿宋" w:cs="仿宋"/>
          <w:sz w:val="32"/>
          <w:szCs w:val="32"/>
        </w:rPr>
        <w:t>；贸易出口总值达到</w:t>
      </w:r>
      <w:r>
        <w:rPr>
          <w:rFonts w:ascii="仿宋" w:hAnsi="仿宋" w:eastAsia="仿宋" w:cs="仿宋"/>
          <w:sz w:val="32"/>
          <w:szCs w:val="32"/>
        </w:rPr>
        <w:t>2.2</w:t>
      </w:r>
      <w:r>
        <w:rPr>
          <w:rFonts w:hint="eastAsia" w:ascii="仿宋" w:hAnsi="仿宋" w:eastAsia="仿宋" w:cs="仿宋"/>
          <w:sz w:val="32"/>
          <w:szCs w:val="32"/>
        </w:rPr>
        <w:t>亿美元，同比增长</w:t>
      </w:r>
      <w:r>
        <w:rPr>
          <w:rFonts w:ascii="仿宋" w:hAnsi="仿宋" w:eastAsia="仿宋" w:cs="仿宋"/>
          <w:sz w:val="32"/>
          <w:szCs w:val="32"/>
        </w:rPr>
        <w:t>30%</w:t>
      </w:r>
      <w:r>
        <w:rPr>
          <w:rFonts w:hint="eastAsia" w:ascii="仿宋" w:hAnsi="仿宋" w:eastAsia="仿宋" w:cs="仿宋"/>
          <w:sz w:val="32"/>
          <w:szCs w:val="32"/>
        </w:rPr>
        <w:t>；固定资产投资达到</w:t>
      </w:r>
      <w:r>
        <w:rPr>
          <w:rFonts w:ascii="仿宋" w:hAnsi="仿宋" w:eastAsia="仿宋" w:cs="仿宋"/>
          <w:sz w:val="32"/>
          <w:szCs w:val="32"/>
        </w:rPr>
        <w:t>252</w:t>
      </w:r>
      <w:r>
        <w:rPr>
          <w:rFonts w:hint="eastAsia" w:ascii="仿宋" w:hAnsi="仿宋" w:eastAsia="仿宋" w:cs="仿宋"/>
          <w:sz w:val="32"/>
          <w:szCs w:val="32"/>
        </w:rPr>
        <w:t>亿元，同比增长</w:t>
      </w:r>
      <w:r>
        <w:rPr>
          <w:rFonts w:ascii="仿宋" w:hAnsi="仿宋" w:eastAsia="仿宋" w:cs="仿宋"/>
          <w:sz w:val="32"/>
          <w:szCs w:val="32"/>
        </w:rPr>
        <w:t>20%</w:t>
      </w:r>
      <w:r>
        <w:rPr>
          <w:rFonts w:hint="eastAsia" w:ascii="仿宋" w:hAnsi="仿宋" w:eastAsia="仿宋" w:cs="仿宋"/>
          <w:sz w:val="32"/>
          <w:szCs w:val="32"/>
        </w:rPr>
        <w:t>；实际利用外资达到</w:t>
      </w:r>
      <w:r>
        <w:rPr>
          <w:rFonts w:ascii="仿宋" w:hAnsi="仿宋" w:eastAsia="仿宋" w:cs="仿宋"/>
          <w:sz w:val="32"/>
          <w:szCs w:val="32"/>
        </w:rPr>
        <w:t>8000</w:t>
      </w:r>
      <w:r>
        <w:rPr>
          <w:rFonts w:hint="eastAsia" w:ascii="仿宋" w:hAnsi="仿宋" w:eastAsia="仿宋" w:cs="仿宋"/>
          <w:sz w:val="32"/>
          <w:szCs w:val="32"/>
        </w:rPr>
        <w:t>万美元，同比增长</w:t>
      </w:r>
      <w:r>
        <w:rPr>
          <w:rFonts w:ascii="仿宋" w:hAnsi="仿宋" w:eastAsia="仿宋" w:cs="仿宋"/>
          <w:sz w:val="32"/>
          <w:szCs w:val="32"/>
        </w:rPr>
        <w:t>22%</w:t>
      </w:r>
      <w:r>
        <w:rPr>
          <w:rFonts w:hint="eastAsia" w:ascii="仿宋" w:hAnsi="仿宋" w:eastAsia="仿宋" w:cs="仿宋"/>
          <w:sz w:val="32"/>
          <w:szCs w:val="32"/>
        </w:rPr>
        <w:t>；年内引进</w:t>
      </w:r>
      <w:r>
        <w:rPr>
          <w:rFonts w:ascii="仿宋" w:hAnsi="仿宋" w:eastAsia="仿宋" w:cs="仿宋"/>
          <w:sz w:val="32"/>
          <w:szCs w:val="32"/>
        </w:rPr>
        <w:t>5</w:t>
      </w:r>
      <w:r>
        <w:rPr>
          <w:rFonts w:hint="eastAsia" w:ascii="仿宋" w:hAnsi="仿宋" w:eastAsia="仿宋" w:cs="仿宋"/>
          <w:sz w:val="32"/>
          <w:szCs w:val="32"/>
        </w:rPr>
        <w:t>亿元以上项目</w:t>
      </w:r>
      <w:r>
        <w:rPr>
          <w:rFonts w:ascii="仿宋" w:hAnsi="仿宋" w:eastAsia="仿宋" w:cs="仿宋"/>
          <w:sz w:val="32"/>
          <w:szCs w:val="32"/>
        </w:rPr>
        <w:t>3</w:t>
      </w:r>
      <w:r>
        <w:rPr>
          <w:rFonts w:hint="eastAsia" w:ascii="仿宋" w:hAnsi="仿宋" w:eastAsia="仿宋" w:cs="仿宋"/>
          <w:sz w:val="32"/>
          <w:szCs w:val="32"/>
        </w:rPr>
        <w:t>个以上、新增企业</w:t>
      </w:r>
      <w:r>
        <w:rPr>
          <w:rFonts w:ascii="仿宋" w:hAnsi="仿宋" w:eastAsia="仿宋" w:cs="仿宋"/>
          <w:sz w:val="32"/>
          <w:szCs w:val="32"/>
        </w:rPr>
        <w:t>200</w:t>
      </w:r>
      <w:r>
        <w:rPr>
          <w:rFonts w:hint="eastAsia" w:ascii="仿宋" w:hAnsi="仿宋" w:eastAsia="仿宋" w:cs="仿宋"/>
          <w:sz w:val="32"/>
          <w:szCs w:val="32"/>
        </w:rPr>
        <w:t>家以上；力促海康威视石家庄科技园、梦巢小镇、中信国安光通信等项目全面开工，远东通信二期、中瓷电子二期等项目竣工投产；电子信息园基础设施及湿地公园</w:t>
      </w:r>
      <w:r>
        <w:rPr>
          <w:rFonts w:ascii="仿宋" w:hAnsi="仿宋" w:eastAsia="仿宋" w:cs="仿宋"/>
          <w:sz w:val="32"/>
          <w:szCs w:val="32"/>
        </w:rPr>
        <w:t>PPP</w:t>
      </w:r>
      <w:r>
        <w:rPr>
          <w:rFonts w:hint="eastAsia" w:ascii="仿宋" w:hAnsi="仿宋" w:eastAsia="仿宋" w:cs="仿宋"/>
          <w:sz w:val="32"/>
          <w:szCs w:val="32"/>
        </w:rPr>
        <w:t>项目全面开工，启动绿岛产业园基础设施</w:t>
      </w:r>
      <w:r>
        <w:rPr>
          <w:rFonts w:ascii="仿宋" w:hAnsi="仿宋" w:eastAsia="仿宋" w:cs="仿宋"/>
          <w:sz w:val="32"/>
          <w:szCs w:val="32"/>
        </w:rPr>
        <w:t>PPP</w:t>
      </w:r>
      <w:r>
        <w:rPr>
          <w:rFonts w:hint="eastAsia" w:ascii="仿宋" w:hAnsi="仿宋" w:eastAsia="仿宋" w:cs="仿宋"/>
          <w:sz w:val="32"/>
          <w:szCs w:val="32"/>
        </w:rPr>
        <w:t>项目，加快推进</w:t>
      </w:r>
      <w:r>
        <w:rPr>
          <w:rFonts w:ascii="仿宋" w:hAnsi="仿宋" w:eastAsia="仿宋" w:cs="仿宋"/>
          <w:sz w:val="32"/>
          <w:szCs w:val="32"/>
        </w:rPr>
        <w:t>“</w:t>
      </w:r>
      <w:r>
        <w:rPr>
          <w:rFonts w:hint="eastAsia" w:ascii="仿宋" w:hAnsi="仿宋" w:eastAsia="仿宋" w:cs="仿宋"/>
          <w:sz w:val="32"/>
          <w:szCs w:val="32"/>
        </w:rPr>
        <w:t>新九通一平</w:t>
      </w:r>
      <w:r>
        <w:rPr>
          <w:rFonts w:ascii="仿宋" w:hAnsi="仿宋" w:eastAsia="仿宋" w:cs="仿宋"/>
          <w:sz w:val="32"/>
          <w:szCs w:val="32"/>
        </w:rPr>
        <w:t>”</w:t>
      </w:r>
      <w:r>
        <w:rPr>
          <w:rFonts w:hint="eastAsia" w:ascii="仿宋" w:hAnsi="仿宋" w:eastAsia="仿宋" w:cs="仿宋"/>
          <w:sz w:val="32"/>
          <w:szCs w:val="32"/>
        </w:rPr>
        <w:t>；实施园区循环化改造，推进绿色集约发展；抓好大气污染防治工作，稳定退出全市倒</w:t>
      </w:r>
      <w:r>
        <w:rPr>
          <w:rFonts w:ascii="仿宋" w:hAnsi="仿宋" w:eastAsia="仿宋" w:cs="仿宋"/>
          <w:sz w:val="32"/>
          <w:szCs w:val="32"/>
        </w:rPr>
        <w:t>20</w:t>
      </w:r>
      <w:r>
        <w:rPr>
          <w:rFonts w:hint="eastAsia" w:ascii="仿宋" w:hAnsi="仿宋" w:eastAsia="仿宋" w:cs="仿宋"/>
          <w:sz w:val="32"/>
          <w:szCs w:val="32"/>
        </w:rPr>
        <w:t>；扎实做好社会保障工作，新农合参保率达到</w:t>
      </w:r>
      <w:r>
        <w:rPr>
          <w:rFonts w:ascii="仿宋" w:hAnsi="仿宋" w:eastAsia="仿宋" w:cs="仿宋"/>
          <w:sz w:val="32"/>
          <w:szCs w:val="32"/>
        </w:rPr>
        <w:t>100%</w:t>
      </w:r>
      <w:r>
        <w:rPr>
          <w:rFonts w:hint="eastAsia" w:ascii="仿宋" w:hAnsi="仿宋" w:eastAsia="仿宋" w:cs="仿宋"/>
          <w:sz w:val="32"/>
          <w:szCs w:val="32"/>
        </w:rPr>
        <w:t>、城镇居民养老保险参合率达到</w:t>
      </w:r>
      <w:r>
        <w:rPr>
          <w:rFonts w:ascii="仿宋" w:hAnsi="仿宋" w:eastAsia="仿宋" w:cs="仿宋"/>
          <w:sz w:val="32"/>
          <w:szCs w:val="32"/>
        </w:rPr>
        <w:t>98%</w:t>
      </w:r>
      <w:r>
        <w:rPr>
          <w:rFonts w:hint="eastAsia" w:ascii="仿宋" w:hAnsi="仿宋" w:eastAsia="仿宋" w:cs="仿宋"/>
          <w:sz w:val="32"/>
          <w:szCs w:val="32"/>
        </w:rPr>
        <w:t>以上；提升卫生计生服务水平，做好全镇</w:t>
      </w:r>
      <w:r>
        <w:rPr>
          <w:rFonts w:ascii="仿宋" w:hAnsi="仿宋" w:eastAsia="仿宋" w:cs="仿宋"/>
          <w:sz w:val="32"/>
          <w:szCs w:val="32"/>
        </w:rPr>
        <w:t>0-6</w:t>
      </w:r>
      <w:r>
        <w:rPr>
          <w:rFonts w:hint="eastAsia" w:ascii="仿宋" w:hAnsi="仿宋" w:eastAsia="仿宋" w:cs="仿宋"/>
          <w:sz w:val="32"/>
          <w:szCs w:val="32"/>
        </w:rPr>
        <w:t>岁儿童保健、预防工作及</w:t>
      </w:r>
      <w:r>
        <w:rPr>
          <w:rFonts w:ascii="仿宋" w:hAnsi="仿宋" w:eastAsia="仿宋" w:cs="仿宋"/>
          <w:sz w:val="32"/>
          <w:szCs w:val="32"/>
        </w:rPr>
        <w:t>65</w:t>
      </w:r>
      <w:r>
        <w:rPr>
          <w:rFonts w:hint="eastAsia" w:ascii="仿宋" w:hAnsi="仿宋" w:eastAsia="仿宋" w:cs="仿宋"/>
          <w:sz w:val="32"/>
          <w:szCs w:val="32"/>
        </w:rPr>
        <w:t>岁以上重点人群高血压、糖尿病人群摸底上报工作；防范安全生产事故，营造安全氛围；加强食品安全监管，与各村（居）签订《</w:t>
      </w:r>
      <w:r>
        <w:rPr>
          <w:rFonts w:ascii="仿宋" w:hAnsi="仿宋" w:eastAsia="仿宋" w:cs="仿宋"/>
          <w:sz w:val="32"/>
          <w:szCs w:val="32"/>
        </w:rPr>
        <w:t>2019</w:t>
      </w:r>
      <w:r>
        <w:rPr>
          <w:rFonts w:hint="eastAsia" w:ascii="仿宋" w:hAnsi="仿宋" w:eastAsia="仿宋" w:cs="仿宋"/>
          <w:sz w:val="32"/>
          <w:szCs w:val="32"/>
        </w:rPr>
        <w:t>年食品安全工作目标管理责任书》；抓好信访稳定工作，大力化解信访积案，确保不发生进京赴省非访；加强新一届农村</w:t>
      </w:r>
      <w:r>
        <w:rPr>
          <w:rFonts w:ascii="仿宋" w:hAnsi="仿宋" w:eastAsia="仿宋" w:cs="仿宋"/>
          <w:sz w:val="32"/>
          <w:szCs w:val="32"/>
        </w:rPr>
        <w:t>“</w:t>
      </w:r>
      <w:r>
        <w:rPr>
          <w:rFonts w:hint="eastAsia" w:ascii="仿宋" w:hAnsi="仿宋" w:eastAsia="仿宋" w:cs="仿宋"/>
          <w:sz w:val="32"/>
          <w:szCs w:val="32"/>
        </w:rPr>
        <w:t>两委</w:t>
      </w:r>
      <w:r>
        <w:rPr>
          <w:rFonts w:ascii="仿宋" w:hAnsi="仿宋" w:eastAsia="仿宋" w:cs="仿宋"/>
          <w:sz w:val="32"/>
          <w:szCs w:val="32"/>
        </w:rPr>
        <w:t>”</w:t>
      </w:r>
      <w:r>
        <w:rPr>
          <w:rFonts w:hint="eastAsia" w:ascii="仿宋" w:hAnsi="仿宋" w:eastAsia="仿宋" w:cs="仿宋"/>
          <w:sz w:val="32"/>
          <w:szCs w:val="32"/>
        </w:rPr>
        <w:t>班子队伍建设，进一步发挥社区居委会作用。</w:t>
      </w:r>
    </w:p>
    <w:p w14:paraId="17B7A2EF">
      <w:pPr>
        <w:jc w:val="left"/>
        <w:rPr>
          <w:rFonts w:ascii="方正楷体_GBK" w:eastAsia="方正楷体_GBK"/>
          <w:b/>
          <w:sz w:val="28"/>
        </w:rPr>
      </w:pPr>
      <w:r>
        <w:rPr>
          <w:rFonts w:ascii="方正楷体_GBK" w:eastAsia="方正楷体_GBK"/>
          <w:b/>
          <w:sz w:val="28"/>
        </w:rPr>
        <w:t xml:space="preserve">    </w:t>
      </w:r>
      <w:r>
        <w:rPr>
          <w:rFonts w:hint="eastAsia" w:ascii="方正楷体_GBK" w:eastAsia="方正楷体_GBK"/>
          <w:b/>
          <w:sz w:val="28"/>
        </w:rPr>
        <w:t>职责分类绩效目标：</w:t>
      </w:r>
    </w:p>
    <w:p w14:paraId="503DB7D2">
      <w:pPr>
        <w:ind w:firstLine="640" w:firstLineChars="200"/>
        <w:rPr>
          <w:rFonts w:ascii="仿宋" w:hAnsi="仿宋" w:eastAsia="仿宋" w:cs="仿宋"/>
          <w:sz w:val="32"/>
          <w:szCs w:val="32"/>
        </w:rPr>
      </w:pPr>
      <w:r>
        <w:rPr>
          <w:rFonts w:hint="eastAsia" w:ascii="仿宋" w:hAnsi="仿宋" w:eastAsia="仿宋" w:cs="仿宋"/>
          <w:sz w:val="32"/>
          <w:szCs w:val="32"/>
        </w:rPr>
        <w:t>（一）提高项目建设质量。全面落实项目分包机制，完善定期调度、督导、通报机制，全力加快项目建设，力促海康威视石家庄科技园、梦巢小镇等重点项目开工建设。</w:t>
      </w:r>
    </w:p>
    <w:p w14:paraId="160A6BEE">
      <w:pPr>
        <w:ind w:firstLine="640" w:firstLineChars="200"/>
        <w:rPr>
          <w:rFonts w:ascii="仿宋" w:hAnsi="仿宋" w:eastAsia="仿宋" w:cs="仿宋"/>
          <w:sz w:val="32"/>
          <w:szCs w:val="32"/>
        </w:rPr>
      </w:pPr>
      <w:r>
        <w:rPr>
          <w:rFonts w:hint="eastAsia" w:ascii="仿宋" w:hAnsi="仿宋" w:eastAsia="仿宋" w:cs="仿宋"/>
          <w:sz w:val="32"/>
          <w:szCs w:val="32"/>
        </w:rPr>
        <w:t>（二）提升招商引资实效。聚焦国内外知名企业，强化招商推介，力争落户</w:t>
      </w:r>
      <w:r>
        <w:rPr>
          <w:rFonts w:ascii="仿宋" w:hAnsi="仿宋" w:eastAsia="仿宋" w:cs="仿宋"/>
          <w:sz w:val="32"/>
          <w:szCs w:val="32"/>
        </w:rPr>
        <w:t>5</w:t>
      </w:r>
      <w:r>
        <w:rPr>
          <w:rFonts w:hint="eastAsia" w:ascii="仿宋" w:hAnsi="仿宋" w:eastAsia="仿宋" w:cs="仿宋"/>
          <w:sz w:val="32"/>
          <w:szCs w:val="32"/>
        </w:rPr>
        <w:t>亿元以上项目</w:t>
      </w:r>
      <w:r>
        <w:rPr>
          <w:rFonts w:ascii="仿宋" w:hAnsi="仿宋" w:eastAsia="仿宋" w:cs="仿宋"/>
          <w:sz w:val="32"/>
          <w:szCs w:val="32"/>
        </w:rPr>
        <w:t>3</w:t>
      </w:r>
      <w:r>
        <w:rPr>
          <w:rFonts w:hint="eastAsia" w:ascii="仿宋" w:hAnsi="仿宋" w:eastAsia="仿宋" w:cs="仿宋"/>
          <w:sz w:val="32"/>
          <w:szCs w:val="32"/>
        </w:rPr>
        <w:t>个以上；抢抓京津食品产业外迁机遇，力争引进</w:t>
      </w:r>
      <w:r>
        <w:rPr>
          <w:rFonts w:ascii="仿宋" w:hAnsi="仿宋" w:eastAsia="仿宋" w:cs="仿宋"/>
          <w:sz w:val="32"/>
          <w:szCs w:val="32"/>
        </w:rPr>
        <w:t>2</w:t>
      </w:r>
      <w:r>
        <w:rPr>
          <w:rFonts w:hint="eastAsia" w:ascii="仿宋" w:hAnsi="仿宋" w:eastAsia="仿宋" w:cs="仿宋"/>
          <w:sz w:val="32"/>
          <w:szCs w:val="32"/>
        </w:rPr>
        <w:t>个绿色食品产业项目。</w:t>
      </w:r>
    </w:p>
    <w:p w14:paraId="09B3BDAE">
      <w:pPr>
        <w:ind w:firstLine="640" w:firstLineChars="200"/>
        <w:rPr>
          <w:rFonts w:ascii="仿宋" w:hAnsi="仿宋" w:eastAsia="仿宋" w:cs="仿宋"/>
          <w:sz w:val="32"/>
          <w:szCs w:val="32"/>
        </w:rPr>
      </w:pPr>
      <w:r>
        <w:rPr>
          <w:rFonts w:hint="eastAsia" w:ascii="仿宋" w:hAnsi="仿宋" w:eastAsia="仿宋" w:cs="仿宋"/>
          <w:sz w:val="32"/>
          <w:szCs w:val="32"/>
        </w:rPr>
        <w:t>（三）加速主导产业发展。强化与中电科</w:t>
      </w:r>
      <w:r>
        <w:rPr>
          <w:rFonts w:ascii="仿宋" w:hAnsi="仿宋" w:eastAsia="仿宋" w:cs="仿宋"/>
          <w:sz w:val="32"/>
          <w:szCs w:val="32"/>
        </w:rPr>
        <w:t>13</w:t>
      </w:r>
      <w:r>
        <w:rPr>
          <w:rFonts w:hint="eastAsia" w:ascii="仿宋" w:hAnsi="仿宋" w:eastAsia="仿宋" w:cs="仿宋"/>
          <w:sz w:val="32"/>
          <w:szCs w:val="32"/>
        </w:rPr>
        <w:t>所、</w:t>
      </w:r>
      <w:r>
        <w:rPr>
          <w:rFonts w:ascii="仿宋" w:hAnsi="仿宋" w:eastAsia="仿宋" w:cs="仿宋"/>
          <w:sz w:val="32"/>
          <w:szCs w:val="32"/>
        </w:rPr>
        <w:t>54</w:t>
      </w:r>
      <w:r>
        <w:rPr>
          <w:rFonts w:hint="eastAsia" w:ascii="仿宋" w:hAnsi="仿宋" w:eastAsia="仿宋" w:cs="仿宋"/>
          <w:sz w:val="32"/>
          <w:szCs w:val="32"/>
        </w:rPr>
        <w:t>所深度合作，谋划</w:t>
      </w:r>
      <w:r>
        <w:rPr>
          <w:rFonts w:ascii="仿宋" w:hAnsi="仿宋" w:eastAsia="仿宋" w:cs="仿宋"/>
          <w:sz w:val="32"/>
          <w:szCs w:val="32"/>
        </w:rPr>
        <w:t>“</w:t>
      </w:r>
      <w:r>
        <w:rPr>
          <w:rFonts w:hint="eastAsia" w:ascii="仿宋" w:hAnsi="仿宋" w:eastAsia="仿宋" w:cs="仿宋"/>
          <w:sz w:val="32"/>
          <w:szCs w:val="32"/>
        </w:rPr>
        <w:t>两所</w:t>
      </w:r>
      <w:r>
        <w:rPr>
          <w:rFonts w:ascii="仿宋" w:hAnsi="仿宋" w:eastAsia="仿宋" w:cs="仿宋"/>
          <w:sz w:val="32"/>
          <w:szCs w:val="32"/>
        </w:rPr>
        <w:t>”</w:t>
      </w:r>
      <w:r>
        <w:rPr>
          <w:rFonts w:hint="eastAsia" w:ascii="仿宋" w:hAnsi="仿宋" w:eastAsia="仿宋" w:cs="仿宋"/>
          <w:sz w:val="32"/>
          <w:szCs w:val="32"/>
        </w:rPr>
        <w:t>科技成果转化基地，全力支持君乐宝集团发展，加快华北白酒灌装基地建设，推动光电导航和绿色食品产业加速聚集、裂变增长。</w:t>
      </w:r>
    </w:p>
    <w:p w14:paraId="1589406D">
      <w:pPr>
        <w:ind w:firstLine="640" w:firstLineChars="200"/>
        <w:rPr>
          <w:rFonts w:ascii="仿宋" w:hAnsi="仿宋" w:eastAsia="仿宋" w:cs="仿宋"/>
          <w:sz w:val="32"/>
          <w:szCs w:val="32"/>
        </w:rPr>
      </w:pPr>
      <w:r>
        <w:rPr>
          <w:rFonts w:hint="eastAsia" w:ascii="仿宋" w:hAnsi="仿宋" w:eastAsia="仿宋" w:cs="仿宋"/>
          <w:sz w:val="32"/>
          <w:szCs w:val="32"/>
        </w:rPr>
        <w:t>（四）加快改革创新步伐。深化投融资体制改革，进一步盘活社会优质资产。深化土地收储改革，提高项目落地效率。深化人才机制改革，落实人才奖励政策，充分激发市场活力和社会创造力。引导企业加大研发投入，培育一批创新型领军企业和重点科技支撑项目。进一步完善研发</w:t>
      </w:r>
      <w:r>
        <w:rPr>
          <w:rFonts w:ascii="仿宋" w:hAnsi="仿宋" w:eastAsia="仿宋" w:cs="仿宋"/>
          <w:sz w:val="32"/>
          <w:szCs w:val="32"/>
        </w:rPr>
        <w:t>-</w:t>
      </w:r>
      <w:r>
        <w:rPr>
          <w:rFonts w:hint="eastAsia" w:ascii="仿宋" w:hAnsi="仿宋" w:eastAsia="仿宋" w:cs="仿宋"/>
          <w:sz w:val="32"/>
          <w:szCs w:val="32"/>
        </w:rPr>
        <w:t>交易</w:t>
      </w:r>
      <w:r>
        <w:rPr>
          <w:rFonts w:ascii="仿宋" w:hAnsi="仿宋" w:eastAsia="仿宋" w:cs="仿宋"/>
          <w:sz w:val="32"/>
          <w:szCs w:val="32"/>
        </w:rPr>
        <w:t>-</w:t>
      </w:r>
      <w:r>
        <w:rPr>
          <w:rFonts w:hint="eastAsia" w:ascii="仿宋" w:hAnsi="仿宋" w:eastAsia="仿宋" w:cs="仿宋"/>
          <w:sz w:val="32"/>
          <w:szCs w:val="32"/>
        </w:rPr>
        <w:t>孵化</w:t>
      </w:r>
      <w:r>
        <w:rPr>
          <w:rFonts w:ascii="仿宋" w:hAnsi="仿宋" w:eastAsia="仿宋" w:cs="仿宋"/>
          <w:sz w:val="32"/>
          <w:szCs w:val="32"/>
        </w:rPr>
        <w:t>-</w:t>
      </w:r>
      <w:r>
        <w:rPr>
          <w:rFonts w:hint="eastAsia" w:ascii="仿宋" w:hAnsi="仿宋" w:eastAsia="仿宋" w:cs="仿宋"/>
          <w:sz w:val="32"/>
          <w:szCs w:val="32"/>
        </w:rPr>
        <w:t>落地</w:t>
      </w:r>
      <w:r>
        <w:rPr>
          <w:rFonts w:ascii="仿宋" w:hAnsi="仿宋" w:eastAsia="仿宋" w:cs="仿宋"/>
          <w:sz w:val="32"/>
          <w:szCs w:val="32"/>
        </w:rPr>
        <w:t>-</w:t>
      </w:r>
      <w:r>
        <w:rPr>
          <w:rFonts w:hint="eastAsia" w:ascii="仿宋" w:hAnsi="仿宋" w:eastAsia="仿宋" w:cs="仿宋"/>
          <w:sz w:val="32"/>
          <w:szCs w:val="32"/>
        </w:rPr>
        <w:t>成长</w:t>
      </w:r>
      <w:r>
        <w:rPr>
          <w:rFonts w:ascii="仿宋" w:hAnsi="仿宋" w:eastAsia="仿宋" w:cs="仿宋"/>
          <w:sz w:val="32"/>
          <w:szCs w:val="32"/>
        </w:rPr>
        <w:t>-</w:t>
      </w:r>
      <w:r>
        <w:rPr>
          <w:rFonts w:hint="eastAsia" w:ascii="仿宋" w:hAnsi="仿宋" w:eastAsia="仿宋" w:cs="仿宋"/>
          <w:sz w:val="32"/>
          <w:szCs w:val="32"/>
        </w:rPr>
        <w:t>裂变式增长的全链式培育体系，加快新旧动能深度转换，助力新兴产业集群做大做强。</w:t>
      </w:r>
    </w:p>
    <w:p w14:paraId="0F28E4EE">
      <w:pPr>
        <w:ind w:firstLine="640" w:firstLineChars="200"/>
        <w:rPr>
          <w:rFonts w:ascii="仿宋" w:hAnsi="仿宋" w:eastAsia="仿宋" w:cs="仿宋"/>
          <w:sz w:val="32"/>
          <w:szCs w:val="32"/>
        </w:rPr>
      </w:pPr>
      <w:r>
        <w:rPr>
          <w:rFonts w:hint="eastAsia" w:ascii="仿宋" w:hAnsi="仿宋" w:eastAsia="仿宋" w:cs="仿宋"/>
          <w:sz w:val="32"/>
          <w:szCs w:val="32"/>
        </w:rPr>
        <w:t>（五）完善园区基础设施。加快推进电子信息园基础设施及湿地公园</w:t>
      </w:r>
      <w:r>
        <w:rPr>
          <w:rFonts w:ascii="仿宋" w:hAnsi="仿宋" w:eastAsia="仿宋" w:cs="仿宋"/>
          <w:sz w:val="32"/>
          <w:szCs w:val="32"/>
        </w:rPr>
        <w:t>PPP</w:t>
      </w:r>
      <w:r>
        <w:rPr>
          <w:rFonts w:hint="eastAsia" w:ascii="仿宋" w:hAnsi="仿宋" w:eastAsia="仿宋" w:cs="仿宋"/>
          <w:sz w:val="32"/>
          <w:szCs w:val="32"/>
        </w:rPr>
        <w:t>项目，启动总投资</w:t>
      </w:r>
      <w:r>
        <w:rPr>
          <w:rFonts w:ascii="仿宋" w:hAnsi="仿宋" w:eastAsia="仿宋" w:cs="仿宋"/>
          <w:sz w:val="32"/>
          <w:szCs w:val="32"/>
        </w:rPr>
        <w:t>3</w:t>
      </w:r>
      <w:r>
        <w:rPr>
          <w:rFonts w:hint="eastAsia" w:ascii="仿宋" w:hAnsi="仿宋" w:eastAsia="仿宋" w:cs="仿宋"/>
          <w:sz w:val="32"/>
          <w:szCs w:val="32"/>
        </w:rPr>
        <w:t>亿元的绿岛产业园基础设施</w:t>
      </w:r>
      <w:r>
        <w:rPr>
          <w:rFonts w:ascii="仿宋" w:hAnsi="仿宋" w:eastAsia="仿宋" w:cs="仿宋"/>
          <w:sz w:val="32"/>
          <w:szCs w:val="32"/>
        </w:rPr>
        <w:t>PPP</w:t>
      </w:r>
      <w:r>
        <w:rPr>
          <w:rFonts w:hint="eastAsia" w:ascii="仿宋" w:hAnsi="仿宋" w:eastAsia="仿宋" w:cs="仿宋"/>
          <w:sz w:val="32"/>
          <w:szCs w:val="32"/>
        </w:rPr>
        <w:t>项目，实现全域</w:t>
      </w:r>
      <w:r>
        <w:rPr>
          <w:rFonts w:ascii="仿宋" w:hAnsi="仿宋" w:eastAsia="仿宋" w:cs="仿宋"/>
          <w:sz w:val="32"/>
          <w:szCs w:val="32"/>
        </w:rPr>
        <w:t>“</w:t>
      </w:r>
      <w:r>
        <w:rPr>
          <w:rFonts w:hint="eastAsia" w:ascii="仿宋" w:hAnsi="仿宋" w:eastAsia="仿宋" w:cs="仿宋"/>
          <w:sz w:val="32"/>
          <w:szCs w:val="32"/>
        </w:rPr>
        <w:t>九通一平</w:t>
      </w:r>
      <w:r>
        <w:rPr>
          <w:rFonts w:ascii="仿宋" w:hAnsi="仿宋" w:eastAsia="仿宋" w:cs="仿宋"/>
          <w:sz w:val="32"/>
          <w:szCs w:val="32"/>
        </w:rPr>
        <w:t>”</w:t>
      </w:r>
      <w:r>
        <w:rPr>
          <w:rFonts w:hint="eastAsia" w:ascii="仿宋" w:hAnsi="仿宋" w:eastAsia="仿宋" w:cs="仿宋"/>
          <w:sz w:val="32"/>
          <w:szCs w:val="32"/>
        </w:rPr>
        <w:t>。</w:t>
      </w:r>
    </w:p>
    <w:p w14:paraId="58F2A3BF">
      <w:pPr>
        <w:ind w:firstLine="640" w:firstLineChars="200"/>
        <w:rPr>
          <w:rFonts w:ascii="仿宋" w:hAnsi="仿宋" w:eastAsia="仿宋" w:cs="仿宋"/>
          <w:sz w:val="32"/>
          <w:szCs w:val="32"/>
        </w:rPr>
      </w:pPr>
      <w:r>
        <w:rPr>
          <w:rFonts w:hint="eastAsia" w:ascii="仿宋" w:hAnsi="仿宋" w:eastAsia="仿宋" w:cs="仿宋"/>
          <w:sz w:val="32"/>
          <w:szCs w:val="32"/>
        </w:rPr>
        <w:t>（六）推动产城融合发展。加快和平路、新华路、昌盛大街等主要道路两侧整体开发，大力引进适合产城融合、服务产业发展的商贸金融、休闲娱乐等新业态，打造城市综合功能区。</w:t>
      </w:r>
    </w:p>
    <w:p w14:paraId="2642D228">
      <w:pPr>
        <w:ind w:firstLine="640" w:firstLineChars="200"/>
        <w:rPr>
          <w:rFonts w:ascii="仿宋" w:hAnsi="仿宋" w:eastAsia="仿宋" w:cs="仿宋"/>
          <w:sz w:val="32"/>
          <w:szCs w:val="32"/>
        </w:rPr>
      </w:pPr>
      <w:r>
        <w:rPr>
          <w:rFonts w:hint="eastAsia" w:ascii="仿宋" w:hAnsi="仿宋" w:eastAsia="仿宋" w:cs="仿宋"/>
          <w:sz w:val="32"/>
          <w:szCs w:val="32"/>
        </w:rPr>
        <w:t>（七）全面优化生态环境。以第二届省旅发大会为契机，高标准大力度整治主要街道和农村环境容貌，推进城市管理精细化、标准化；实行大气污染防治网格化管理，深入推进大气污染治理，进一步提升空气质量；抓好</w:t>
      </w:r>
      <w:r>
        <w:rPr>
          <w:rFonts w:ascii="仿宋" w:hAnsi="仿宋" w:eastAsia="仿宋" w:cs="仿宋"/>
          <w:sz w:val="32"/>
          <w:szCs w:val="32"/>
        </w:rPr>
        <w:t>“</w:t>
      </w:r>
      <w:r>
        <w:rPr>
          <w:rFonts w:hint="eastAsia" w:ascii="仿宋" w:hAnsi="仿宋" w:eastAsia="仿宋" w:cs="仿宋"/>
          <w:sz w:val="32"/>
          <w:szCs w:val="32"/>
        </w:rPr>
        <w:t>散乱污</w:t>
      </w:r>
      <w:r>
        <w:rPr>
          <w:rFonts w:ascii="仿宋" w:hAnsi="仿宋" w:eastAsia="仿宋" w:cs="仿宋"/>
          <w:sz w:val="32"/>
          <w:szCs w:val="32"/>
        </w:rPr>
        <w:t>”</w:t>
      </w:r>
      <w:r>
        <w:rPr>
          <w:rFonts w:hint="eastAsia" w:ascii="仿宋" w:hAnsi="仿宋" w:eastAsia="仿宋" w:cs="仿宋"/>
          <w:sz w:val="32"/>
          <w:szCs w:val="32"/>
        </w:rPr>
        <w:t>企业治理，严防已关停企业</w:t>
      </w:r>
      <w:r>
        <w:rPr>
          <w:rFonts w:ascii="仿宋" w:hAnsi="仿宋" w:eastAsia="仿宋" w:cs="仿宋"/>
          <w:sz w:val="32"/>
          <w:szCs w:val="32"/>
        </w:rPr>
        <w:t>“</w:t>
      </w:r>
      <w:r>
        <w:rPr>
          <w:rFonts w:hint="eastAsia" w:ascii="仿宋" w:hAnsi="仿宋" w:eastAsia="仿宋" w:cs="仿宋"/>
          <w:sz w:val="32"/>
          <w:szCs w:val="32"/>
        </w:rPr>
        <w:t>死灰复燃</w:t>
      </w:r>
      <w:r>
        <w:rPr>
          <w:rFonts w:ascii="仿宋" w:hAnsi="仿宋" w:eastAsia="仿宋" w:cs="仿宋"/>
          <w:sz w:val="32"/>
          <w:szCs w:val="32"/>
        </w:rPr>
        <w:t>”</w:t>
      </w:r>
      <w:r>
        <w:rPr>
          <w:rFonts w:hint="eastAsia" w:ascii="仿宋" w:hAnsi="仿宋" w:eastAsia="仿宋" w:cs="仿宋"/>
          <w:sz w:val="32"/>
          <w:szCs w:val="32"/>
        </w:rPr>
        <w:t>。</w:t>
      </w:r>
    </w:p>
    <w:p w14:paraId="6BECDDAC">
      <w:pPr>
        <w:ind w:firstLine="640" w:firstLineChars="200"/>
        <w:rPr>
          <w:rFonts w:ascii="仿宋" w:hAnsi="仿宋" w:eastAsia="仿宋" w:cs="仿宋"/>
          <w:sz w:val="32"/>
          <w:szCs w:val="32"/>
        </w:rPr>
      </w:pPr>
      <w:r>
        <w:rPr>
          <w:rFonts w:hint="eastAsia" w:ascii="仿宋" w:hAnsi="仿宋" w:eastAsia="仿宋" w:cs="仿宋"/>
          <w:sz w:val="32"/>
          <w:szCs w:val="32"/>
        </w:rPr>
        <w:t>（八）全面优化营商环境。进一步优化企业开办环境、投资建设环境、地区融资环境、企业经营环境、政务服务环境，打造宜居宜业宜创的升级版投资环境。</w:t>
      </w:r>
    </w:p>
    <w:p w14:paraId="1EED36A2">
      <w:pPr>
        <w:ind w:firstLine="640" w:firstLineChars="200"/>
        <w:rPr>
          <w:rFonts w:ascii="仿宋" w:hAnsi="仿宋" w:eastAsia="仿宋" w:cs="仿宋"/>
          <w:sz w:val="32"/>
          <w:szCs w:val="32"/>
        </w:rPr>
      </w:pPr>
      <w:r>
        <w:rPr>
          <w:rFonts w:hint="eastAsia" w:ascii="仿宋" w:hAnsi="仿宋" w:eastAsia="仿宋" w:cs="仿宋"/>
          <w:sz w:val="32"/>
          <w:szCs w:val="32"/>
        </w:rPr>
        <w:t>（九）加强基层组织建设。组织开展新一届农村</w:t>
      </w:r>
      <w:r>
        <w:rPr>
          <w:rFonts w:ascii="仿宋" w:hAnsi="仿宋" w:eastAsia="仿宋" w:cs="仿宋"/>
          <w:sz w:val="32"/>
          <w:szCs w:val="32"/>
        </w:rPr>
        <w:t>“</w:t>
      </w:r>
      <w:r>
        <w:rPr>
          <w:rFonts w:hint="eastAsia" w:ascii="仿宋" w:hAnsi="仿宋" w:eastAsia="仿宋" w:cs="仿宋"/>
          <w:sz w:val="32"/>
          <w:szCs w:val="32"/>
        </w:rPr>
        <w:t>两委</w:t>
      </w:r>
      <w:r>
        <w:rPr>
          <w:rFonts w:ascii="仿宋" w:hAnsi="仿宋" w:eastAsia="仿宋" w:cs="仿宋"/>
          <w:sz w:val="32"/>
          <w:szCs w:val="32"/>
        </w:rPr>
        <w:t>”</w:t>
      </w:r>
      <w:r>
        <w:rPr>
          <w:rFonts w:hint="eastAsia" w:ascii="仿宋" w:hAnsi="仿宋" w:eastAsia="仿宋" w:cs="仿宋"/>
          <w:sz w:val="32"/>
          <w:szCs w:val="32"/>
        </w:rPr>
        <w:t>班子学习培训，激励各村谋发展、上项目、惠民生，增强农村</w:t>
      </w:r>
      <w:r>
        <w:rPr>
          <w:rFonts w:ascii="仿宋" w:hAnsi="仿宋" w:eastAsia="仿宋" w:cs="仿宋"/>
          <w:sz w:val="32"/>
          <w:szCs w:val="32"/>
        </w:rPr>
        <w:t>“</w:t>
      </w:r>
      <w:r>
        <w:rPr>
          <w:rFonts w:hint="eastAsia" w:ascii="仿宋" w:hAnsi="仿宋" w:eastAsia="仿宋" w:cs="仿宋"/>
          <w:sz w:val="32"/>
          <w:szCs w:val="32"/>
        </w:rPr>
        <w:t>两委</w:t>
      </w:r>
      <w:r>
        <w:rPr>
          <w:rFonts w:ascii="仿宋" w:hAnsi="仿宋" w:eastAsia="仿宋" w:cs="仿宋"/>
          <w:sz w:val="32"/>
          <w:szCs w:val="32"/>
        </w:rPr>
        <w:t>”</w:t>
      </w:r>
      <w:r>
        <w:rPr>
          <w:rFonts w:hint="eastAsia" w:ascii="仿宋" w:hAnsi="仿宋" w:eastAsia="仿宋" w:cs="仿宋"/>
          <w:sz w:val="32"/>
          <w:szCs w:val="32"/>
        </w:rPr>
        <w:t>凝聚力、战斗力。</w:t>
      </w:r>
    </w:p>
    <w:p w14:paraId="3DBA0099">
      <w:pPr>
        <w:ind w:firstLine="640" w:firstLineChars="200"/>
        <w:rPr>
          <w:rFonts w:ascii="仿宋" w:hAnsi="仿宋" w:eastAsia="仿宋" w:cs="仿宋"/>
          <w:sz w:val="32"/>
          <w:szCs w:val="32"/>
        </w:rPr>
      </w:pPr>
      <w:r>
        <w:rPr>
          <w:rFonts w:hint="eastAsia" w:ascii="仿宋" w:hAnsi="仿宋" w:eastAsia="仿宋" w:cs="仿宋"/>
          <w:sz w:val="32"/>
          <w:szCs w:val="32"/>
        </w:rPr>
        <w:t>（十）提高群众生活水平。做好社保、医保、低保、卫生、计生服务工作，让群众更有幸福感、获得感；加强安全生产宣传教育和培训工作，扎实开展危险化学品、粉尘防爆、建筑施工、烟花爆竹、人员密集场所、食品安全、消防安全、道路交通安全等专项检查；加强社会治安综合治理，大力化解信访积案，确保全区和谐稳定。</w:t>
      </w:r>
    </w:p>
    <w:p w14:paraId="5865727D">
      <w:pPr>
        <w:ind w:firstLine="560"/>
        <w:rPr>
          <w:rFonts w:ascii="楷体_GB2312" w:hAnsi="Times New Roman" w:eastAsia="楷体_GB2312"/>
          <w:b/>
          <w:sz w:val="32"/>
          <w:szCs w:val="24"/>
        </w:rPr>
      </w:pPr>
      <w:r>
        <w:rPr>
          <w:rFonts w:hint="eastAsia" w:ascii="楷体_GB2312" w:hAnsi="黑体" w:eastAsia="楷体_GB2312"/>
          <w:b/>
          <w:sz w:val="32"/>
          <w:szCs w:val="32"/>
        </w:rPr>
        <w:t>部门职责及工作活动绩效目标指标：</w:t>
      </w:r>
    </w:p>
    <w:bookmarkEnd w:id="0"/>
    <w:p w14:paraId="2105265F">
      <w:pPr>
        <w:jc w:val="center"/>
        <w:outlineLvl w:val="0"/>
        <w:rPr>
          <w:rFonts w:ascii="方正小标宋_GBK" w:eastAsia="方正小标宋_GBK"/>
          <w:sz w:val="32"/>
        </w:rPr>
      </w:pPr>
      <w:bookmarkStart w:id="1" w:name="_Toc2540281"/>
      <w:r>
        <w:rPr>
          <w:rFonts w:hint="eastAsia" w:ascii="方正小标宋_GBK" w:eastAsia="方正小标宋_GBK"/>
          <w:sz w:val="32"/>
        </w:rPr>
        <w:t>部门职责</w:t>
      </w:r>
      <w:r>
        <w:rPr>
          <w:rFonts w:ascii="方正小标宋_GBK" w:eastAsia="方正小标宋_GBK"/>
          <w:sz w:val="32"/>
        </w:rPr>
        <w:t>-</w:t>
      </w:r>
      <w:r>
        <w:rPr>
          <w:rFonts w:hint="eastAsia" w:ascii="方正小标宋_GBK" w:eastAsia="方正小标宋_GBK"/>
          <w:sz w:val="32"/>
        </w:rPr>
        <w:t>工作活动绩效目标</w:t>
      </w:r>
      <w:r>
        <w:rPr>
          <w:rStyle w:val="14"/>
          <w:rFonts w:hint="eastAsia" w:ascii="方正小标宋_GBK" w:hAnsi="Symbol" w:eastAsia="方正小标宋_GBK"/>
          <w:sz w:val="32"/>
          <w:szCs w:val="32"/>
        </w:rPr>
        <w:footnoteReference w:id="0" w:customMarkFollows="1"/>
        <w:sym w:font="Symbol" w:char="F020"/>
      </w:r>
      <w:bookmarkEnd w:id="1"/>
    </w:p>
    <w:tbl>
      <w:tblPr>
        <w:tblStyle w:val="10"/>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1B46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14:paraId="0595F792">
            <w:pPr>
              <w:spacing w:line="300" w:lineRule="exact"/>
              <w:jc w:val="left"/>
              <w:rPr>
                <w:rFonts w:ascii="方正小标宋_GBK" w:eastAsia="方正小标宋_GBK"/>
                <w:sz w:val="24"/>
              </w:rPr>
            </w:pPr>
            <w:r>
              <w:rPr>
                <w:rFonts w:ascii="方正小标宋_GBK" w:eastAsia="方正小标宋_GBK"/>
                <w:sz w:val="24"/>
              </w:rPr>
              <w:t>823</w:t>
            </w:r>
            <w:r>
              <w:rPr>
                <w:rFonts w:hint="eastAsia" w:ascii="方正小标宋_GBK" w:eastAsia="方正小标宋_GBK"/>
                <w:sz w:val="24"/>
              </w:rPr>
              <w:t>河北鹿泉经济开发管理委员会</w:t>
            </w:r>
          </w:p>
        </w:tc>
        <w:tc>
          <w:tcPr>
            <w:tcW w:w="2948" w:type="dxa"/>
            <w:gridSpan w:val="4"/>
            <w:tcBorders>
              <w:top w:val="single" w:color="FFFFFF" w:sz="6" w:space="0"/>
              <w:left w:val="single" w:color="FFFFFF" w:sz="6" w:space="0"/>
              <w:right w:val="single" w:color="FFFFFF" w:sz="6" w:space="0"/>
            </w:tcBorders>
            <w:vAlign w:val="center"/>
          </w:tcPr>
          <w:p w14:paraId="6F1FAC90">
            <w:pPr>
              <w:spacing w:line="300" w:lineRule="exact"/>
              <w:jc w:val="right"/>
              <w:rPr>
                <w:rFonts w:ascii="方正书宋_GBK" w:eastAsia="方正书宋_GBK"/>
                <w:sz w:val="24"/>
              </w:rPr>
            </w:pPr>
            <w:r>
              <w:rPr>
                <w:rFonts w:hint="eastAsia" w:ascii="方正书宋_GBK" w:eastAsia="方正书宋_GBK"/>
                <w:sz w:val="24"/>
              </w:rPr>
              <w:t>单位：万元</w:t>
            </w:r>
          </w:p>
        </w:tc>
      </w:tr>
      <w:tr w14:paraId="1235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14:paraId="4237B009">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14:paraId="78FDF582">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14:paraId="13379C4F">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14:paraId="6FDE0BDF">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14:paraId="0B5E5132">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14:paraId="5C2F6440">
            <w:pPr>
              <w:spacing w:line="300" w:lineRule="exact"/>
              <w:jc w:val="center"/>
              <w:rPr>
                <w:rFonts w:ascii="方正书宋_GBK" w:eastAsia="方正书宋_GBK"/>
                <w:b/>
              </w:rPr>
            </w:pPr>
            <w:r>
              <w:rPr>
                <w:rFonts w:hint="eastAsia" w:ascii="方正书宋_GBK" w:eastAsia="方正书宋_GBK"/>
                <w:b/>
              </w:rPr>
              <w:t>评价标准</w:t>
            </w:r>
          </w:p>
        </w:tc>
      </w:tr>
      <w:tr w14:paraId="1578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14:paraId="7CA21305">
            <w:pPr>
              <w:spacing w:line="300" w:lineRule="exact"/>
              <w:jc w:val="left"/>
              <w:outlineLvl w:val="0"/>
            </w:pPr>
          </w:p>
        </w:tc>
        <w:tc>
          <w:tcPr>
            <w:tcW w:w="1276" w:type="dxa"/>
            <w:vMerge w:val="continue"/>
            <w:vAlign w:val="center"/>
          </w:tcPr>
          <w:p w14:paraId="77E524CA">
            <w:pPr>
              <w:spacing w:line="300" w:lineRule="exact"/>
              <w:jc w:val="left"/>
              <w:outlineLvl w:val="0"/>
            </w:pPr>
          </w:p>
        </w:tc>
        <w:tc>
          <w:tcPr>
            <w:tcW w:w="2976" w:type="dxa"/>
            <w:vMerge w:val="continue"/>
            <w:vAlign w:val="center"/>
          </w:tcPr>
          <w:p w14:paraId="13B09DF5">
            <w:pPr>
              <w:spacing w:line="300" w:lineRule="exact"/>
              <w:jc w:val="left"/>
              <w:outlineLvl w:val="0"/>
            </w:pPr>
          </w:p>
        </w:tc>
        <w:tc>
          <w:tcPr>
            <w:tcW w:w="2976" w:type="dxa"/>
            <w:vMerge w:val="continue"/>
            <w:vAlign w:val="center"/>
          </w:tcPr>
          <w:p w14:paraId="62EA74CB">
            <w:pPr>
              <w:spacing w:line="300" w:lineRule="exact"/>
              <w:jc w:val="left"/>
              <w:outlineLvl w:val="0"/>
            </w:pPr>
          </w:p>
        </w:tc>
        <w:tc>
          <w:tcPr>
            <w:tcW w:w="1417" w:type="dxa"/>
            <w:vMerge w:val="continue"/>
            <w:vAlign w:val="center"/>
          </w:tcPr>
          <w:p w14:paraId="2859A9C2">
            <w:pPr>
              <w:spacing w:line="300" w:lineRule="exact"/>
              <w:jc w:val="left"/>
              <w:outlineLvl w:val="0"/>
            </w:pPr>
          </w:p>
        </w:tc>
        <w:tc>
          <w:tcPr>
            <w:tcW w:w="737" w:type="dxa"/>
            <w:vAlign w:val="center"/>
          </w:tcPr>
          <w:p w14:paraId="27113EFF">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14:paraId="67B43D0E">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14:paraId="73B71969">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14:paraId="3FE96E60">
            <w:pPr>
              <w:spacing w:line="300" w:lineRule="exact"/>
              <w:jc w:val="center"/>
              <w:rPr>
                <w:rFonts w:ascii="方正书宋_GBK" w:eastAsia="方正书宋_GBK"/>
                <w:b/>
              </w:rPr>
            </w:pPr>
            <w:r>
              <w:rPr>
                <w:rFonts w:hint="eastAsia" w:ascii="方正书宋_GBK" w:eastAsia="方正书宋_GBK"/>
                <w:b/>
              </w:rPr>
              <w:t>差</w:t>
            </w:r>
          </w:p>
        </w:tc>
      </w:tr>
      <w:tr w14:paraId="0D46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77FAAA1F">
            <w:pPr>
              <w:spacing w:line="300" w:lineRule="exact"/>
              <w:jc w:val="left"/>
              <w:rPr>
                <w:rFonts w:ascii="方正书宋_GBK" w:eastAsia="方正书宋_GBK"/>
                <w:b/>
              </w:rPr>
            </w:pPr>
            <w:r>
              <w:rPr>
                <w:rFonts w:hint="eastAsia" w:ascii="方正书宋_GBK" w:eastAsia="方正书宋_GBK"/>
                <w:b/>
              </w:rPr>
              <w:t>一、机关事务管理</w:t>
            </w:r>
          </w:p>
        </w:tc>
        <w:tc>
          <w:tcPr>
            <w:tcW w:w="1276" w:type="dxa"/>
            <w:vAlign w:val="center"/>
          </w:tcPr>
          <w:p w14:paraId="1057B409">
            <w:pPr>
              <w:spacing w:line="300" w:lineRule="exact"/>
              <w:jc w:val="left"/>
              <w:rPr>
                <w:rFonts w:ascii="方正书宋_GBK" w:eastAsia="方正书宋_GBK"/>
              </w:rPr>
            </w:pPr>
            <w:r>
              <w:rPr>
                <w:rFonts w:ascii="方正书宋_GBK" w:eastAsia="方正书宋_GBK"/>
              </w:rPr>
              <w:t>223.24</w:t>
            </w:r>
          </w:p>
        </w:tc>
        <w:tc>
          <w:tcPr>
            <w:tcW w:w="2976" w:type="dxa"/>
            <w:vAlign w:val="center"/>
          </w:tcPr>
          <w:p w14:paraId="2C402D46">
            <w:pPr>
              <w:spacing w:line="300" w:lineRule="exact"/>
              <w:jc w:val="left"/>
              <w:rPr>
                <w:rFonts w:ascii="方正书宋_GBK" w:eastAsia="方正书宋_GBK"/>
              </w:rPr>
            </w:pPr>
            <w:r>
              <w:rPr>
                <w:rFonts w:hint="eastAsia" w:ascii="方正书宋_GBK" w:eastAsia="方正书宋_GBK"/>
              </w:rPr>
              <w:t>贯彻落实党的路线、方针、政策和上级党委的决议、指示；负责辖区内党的组织、思想党风廉政建设和其他党务工作；负责开发区机关和所属单位的基层党组织建设、群团、人民武装和新农村建设等相关工作；负责与人大、政协的联系；负责宣传、精神文明建设、知识分子、综合治理等方面的工作；负责重大经济社会发展问题的调研工作；负责机关公文以及行政、后勤、保密的工作。按照授权和管理权限负责辖区内干部管理；按照有关规定负责机构编制和人力资源相关工作；负责人事和薪酬改革工作，建立和维护绩效考核体系；按有关规定负责干部和职工的考核、奖惩、培训、教育工作。负责招才引智，负责人才、劳动力市场建设与管理。</w:t>
            </w:r>
          </w:p>
        </w:tc>
        <w:tc>
          <w:tcPr>
            <w:tcW w:w="2976" w:type="dxa"/>
            <w:vAlign w:val="center"/>
          </w:tcPr>
          <w:p w14:paraId="76522298">
            <w:pPr>
              <w:spacing w:line="300" w:lineRule="exact"/>
              <w:jc w:val="left"/>
              <w:rPr>
                <w:rFonts w:ascii="方正书宋_GBK" w:eastAsia="方正书宋_GBK"/>
              </w:rPr>
            </w:pPr>
            <w:r>
              <w:rPr>
                <w:rFonts w:hint="eastAsia" w:ascii="方正书宋_GBK" w:eastAsia="方正书宋_GBK"/>
              </w:rPr>
              <w:t>完成党委、管委各项工作；做好信访工作，维护社会稳定；做好与各职责部门的社会事务工作。</w:t>
            </w:r>
          </w:p>
        </w:tc>
        <w:tc>
          <w:tcPr>
            <w:tcW w:w="1417" w:type="dxa"/>
            <w:vAlign w:val="center"/>
          </w:tcPr>
          <w:p w14:paraId="3BC52CCA">
            <w:pPr>
              <w:spacing w:line="300" w:lineRule="exact"/>
              <w:jc w:val="left"/>
              <w:rPr>
                <w:rFonts w:ascii="方正书宋_GBK" w:eastAsia="方正书宋_GBK"/>
              </w:rPr>
            </w:pPr>
          </w:p>
        </w:tc>
        <w:tc>
          <w:tcPr>
            <w:tcW w:w="737" w:type="dxa"/>
            <w:vAlign w:val="center"/>
          </w:tcPr>
          <w:p w14:paraId="3A15E392">
            <w:pPr>
              <w:spacing w:line="300" w:lineRule="exact"/>
              <w:jc w:val="center"/>
              <w:rPr>
                <w:rFonts w:ascii="方正书宋_GBK" w:eastAsia="方正书宋_GBK"/>
              </w:rPr>
            </w:pPr>
          </w:p>
        </w:tc>
        <w:tc>
          <w:tcPr>
            <w:tcW w:w="737" w:type="dxa"/>
            <w:vAlign w:val="center"/>
          </w:tcPr>
          <w:p w14:paraId="36F097B3">
            <w:pPr>
              <w:spacing w:line="300" w:lineRule="exact"/>
              <w:jc w:val="center"/>
              <w:rPr>
                <w:rFonts w:ascii="方正书宋_GBK" w:eastAsia="方正书宋_GBK"/>
              </w:rPr>
            </w:pPr>
          </w:p>
        </w:tc>
        <w:tc>
          <w:tcPr>
            <w:tcW w:w="737" w:type="dxa"/>
            <w:vAlign w:val="center"/>
          </w:tcPr>
          <w:p w14:paraId="42F3086B">
            <w:pPr>
              <w:spacing w:line="300" w:lineRule="exact"/>
              <w:jc w:val="center"/>
              <w:rPr>
                <w:rFonts w:ascii="方正书宋_GBK" w:eastAsia="方正书宋_GBK"/>
              </w:rPr>
            </w:pPr>
          </w:p>
        </w:tc>
        <w:tc>
          <w:tcPr>
            <w:tcW w:w="737" w:type="dxa"/>
            <w:vAlign w:val="center"/>
          </w:tcPr>
          <w:p w14:paraId="1F6B8066">
            <w:pPr>
              <w:spacing w:line="300" w:lineRule="exact"/>
              <w:jc w:val="center"/>
              <w:rPr>
                <w:rFonts w:ascii="方正书宋_GBK" w:eastAsia="方正书宋_GBK"/>
              </w:rPr>
            </w:pPr>
          </w:p>
        </w:tc>
      </w:tr>
      <w:tr w14:paraId="1649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40B0EE7D">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vAlign w:val="center"/>
          </w:tcPr>
          <w:p w14:paraId="4B0B850B">
            <w:pPr>
              <w:spacing w:line="300" w:lineRule="exact"/>
              <w:jc w:val="left"/>
              <w:rPr>
                <w:rFonts w:ascii="方正书宋_GBK" w:eastAsia="方正书宋_GBK"/>
              </w:rPr>
            </w:pPr>
            <w:r>
              <w:rPr>
                <w:rFonts w:ascii="方正书宋_GBK" w:eastAsia="方正书宋_GBK"/>
              </w:rPr>
              <w:t>14.00</w:t>
            </w:r>
          </w:p>
        </w:tc>
        <w:tc>
          <w:tcPr>
            <w:tcW w:w="2976" w:type="dxa"/>
            <w:vMerge w:val="restart"/>
            <w:vAlign w:val="center"/>
          </w:tcPr>
          <w:p w14:paraId="5AF17DC7">
            <w:pPr>
              <w:spacing w:line="300" w:lineRule="exact"/>
              <w:jc w:val="left"/>
              <w:rPr>
                <w:rFonts w:ascii="方正书宋_GBK" w:eastAsia="方正书宋_GBK"/>
              </w:rPr>
            </w:pPr>
            <w:r>
              <w:rPr>
                <w:rFonts w:hint="eastAsia" w:ascii="方正书宋_GBK" w:eastAsia="方正书宋_GBK"/>
              </w:rPr>
              <w:t>负责人大代表议政、人代会，做好各项工作的迎查、考核，做好统计、审计工作；做好与各职责部门的社会事务工作。</w:t>
            </w:r>
          </w:p>
        </w:tc>
        <w:tc>
          <w:tcPr>
            <w:tcW w:w="2976" w:type="dxa"/>
            <w:vMerge w:val="restart"/>
            <w:vAlign w:val="center"/>
          </w:tcPr>
          <w:p w14:paraId="75DCDA43">
            <w:pPr>
              <w:spacing w:line="300" w:lineRule="exact"/>
              <w:jc w:val="left"/>
              <w:rPr>
                <w:rFonts w:ascii="方正书宋_GBK" w:eastAsia="方正书宋_GBK"/>
              </w:rPr>
            </w:pPr>
            <w:r>
              <w:rPr>
                <w:rFonts w:hint="eastAsia" w:ascii="方正书宋_GBK" w:eastAsia="方正书宋_GBK"/>
              </w:rPr>
              <w:t>完成人大代表议政、人大会，做好各项工作的迎查、考核；做好与国税、地税、工商等部门的社会事务工作。</w:t>
            </w:r>
          </w:p>
        </w:tc>
        <w:tc>
          <w:tcPr>
            <w:tcW w:w="1417" w:type="dxa"/>
            <w:vAlign w:val="center"/>
          </w:tcPr>
          <w:p w14:paraId="57DAA6A1">
            <w:pPr>
              <w:spacing w:line="300" w:lineRule="exact"/>
              <w:jc w:val="left"/>
              <w:rPr>
                <w:rFonts w:ascii="方正书宋_GBK" w:eastAsia="方正书宋_GBK"/>
              </w:rPr>
            </w:pPr>
            <w:r>
              <w:rPr>
                <w:rFonts w:hint="eastAsia" w:ascii="方正书宋_GBK" w:eastAsia="方正书宋_GBK"/>
              </w:rPr>
              <w:t>开展与国税、地税、工商等部门的社会事务工作完成率</w:t>
            </w:r>
          </w:p>
        </w:tc>
        <w:tc>
          <w:tcPr>
            <w:tcW w:w="737" w:type="dxa"/>
            <w:vAlign w:val="center"/>
          </w:tcPr>
          <w:p w14:paraId="2C3EB2D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5B6C197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86D663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2831D1F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6B58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548E72FB">
            <w:pPr>
              <w:spacing w:line="300" w:lineRule="exact"/>
              <w:jc w:val="left"/>
              <w:rPr>
                <w:rFonts w:ascii="方正书宋_GBK" w:eastAsia="方正书宋_GBK"/>
                <w:b/>
              </w:rPr>
            </w:pPr>
          </w:p>
        </w:tc>
        <w:tc>
          <w:tcPr>
            <w:tcW w:w="1276" w:type="dxa"/>
            <w:vMerge w:val="continue"/>
            <w:vAlign w:val="center"/>
          </w:tcPr>
          <w:p w14:paraId="0E37AC32">
            <w:pPr>
              <w:spacing w:line="300" w:lineRule="exact"/>
              <w:jc w:val="left"/>
              <w:rPr>
                <w:rFonts w:ascii="方正书宋_GBK" w:eastAsia="方正书宋_GBK"/>
              </w:rPr>
            </w:pPr>
          </w:p>
        </w:tc>
        <w:tc>
          <w:tcPr>
            <w:tcW w:w="2976" w:type="dxa"/>
            <w:vMerge w:val="continue"/>
            <w:vAlign w:val="center"/>
          </w:tcPr>
          <w:p w14:paraId="6935A4DB">
            <w:pPr>
              <w:spacing w:line="300" w:lineRule="exact"/>
              <w:jc w:val="left"/>
              <w:rPr>
                <w:rFonts w:ascii="方正书宋_GBK" w:eastAsia="方正书宋_GBK"/>
              </w:rPr>
            </w:pPr>
          </w:p>
        </w:tc>
        <w:tc>
          <w:tcPr>
            <w:tcW w:w="2976" w:type="dxa"/>
            <w:vMerge w:val="continue"/>
            <w:vAlign w:val="center"/>
          </w:tcPr>
          <w:p w14:paraId="4B73B310">
            <w:pPr>
              <w:spacing w:line="300" w:lineRule="exact"/>
              <w:jc w:val="left"/>
              <w:rPr>
                <w:rFonts w:ascii="方正书宋_GBK" w:eastAsia="方正书宋_GBK"/>
              </w:rPr>
            </w:pPr>
          </w:p>
        </w:tc>
        <w:tc>
          <w:tcPr>
            <w:tcW w:w="1417" w:type="dxa"/>
            <w:vAlign w:val="center"/>
          </w:tcPr>
          <w:p w14:paraId="29B717DA">
            <w:pPr>
              <w:spacing w:line="300" w:lineRule="exact"/>
              <w:jc w:val="left"/>
              <w:rPr>
                <w:rFonts w:ascii="方正书宋_GBK" w:eastAsia="方正书宋_GBK"/>
              </w:rPr>
            </w:pPr>
            <w:r>
              <w:rPr>
                <w:rFonts w:hint="eastAsia" w:ascii="方正书宋_GBK" w:eastAsia="方正书宋_GBK"/>
              </w:rPr>
              <w:t>开展人大代表议政、人大会工作完成率</w:t>
            </w:r>
          </w:p>
        </w:tc>
        <w:tc>
          <w:tcPr>
            <w:tcW w:w="737" w:type="dxa"/>
            <w:vAlign w:val="center"/>
          </w:tcPr>
          <w:p w14:paraId="3FD8092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19F9E0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D57064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92A27C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3F03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2C294E8E">
            <w:pPr>
              <w:spacing w:line="300" w:lineRule="exact"/>
              <w:jc w:val="left"/>
              <w:rPr>
                <w:rFonts w:ascii="方正书宋_GBK" w:eastAsia="方正书宋_GBK"/>
                <w:b/>
              </w:rPr>
            </w:pPr>
          </w:p>
        </w:tc>
        <w:tc>
          <w:tcPr>
            <w:tcW w:w="1276" w:type="dxa"/>
            <w:vMerge w:val="continue"/>
            <w:vAlign w:val="center"/>
          </w:tcPr>
          <w:p w14:paraId="62511A67">
            <w:pPr>
              <w:spacing w:line="300" w:lineRule="exact"/>
              <w:jc w:val="left"/>
              <w:rPr>
                <w:rFonts w:ascii="方正书宋_GBK" w:eastAsia="方正书宋_GBK"/>
              </w:rPr>
            </w:pPr>
          </w:p>
        </w:tc>
        <w:tc>
          <w:tcPr>
            <w:tcW w:w="2976" w:type="dxa"/>
            <w:vMerge w:val="continue"/>
            <w:vAlign w:val="center"/>
          </w:tcPr>
          <w:p w14:paraId="6062413C">
            <w:pPr>
              <w:spacing w:line="300" w:lineRule="exact"/>
              <w:jc w:val="left"/>
              <w:rPr>
                <w:rFonts w:ascii="方正书宋_GBK" w:eastAsia="方正书宋_GBK"/>
              </w:rPr>
            </w:pPr>
          </w:p>
        </w:tc>
        <w:tc>
          <w:tcPr>
            <w:tcW w:w="2976" w:type="dxa"/>
            <w:vMerge w:val="continue"/>
            <w:vAlign w:val="center"/>
          </w:tcPr>
          <w:p w14:paraId="71BDB2A2">
            <w:pPr>
              <w:spacing w:line="300" w:lineRule="exact"/>
              <w:jc w:val="left"/>
              <w:rPr>
                <w:rFonts w:ascii="方正书宋_GBK" w:eastAsia="方正书宋_GBK"/>
              </w:rPr>
            </w:pPr>
          </w:p>
        </w:tc>
        <w:tc>
          <w:tcPr>
            <w:tcW w:w="1417" w:type="dxa"/>
            <w:vAlign w:val="center"/>
          </w:tcPr>
          <w:p w14:paraId="1480C52B">
            <w:pPr>
              <w:spacing w:line="300" w:lineRule="exact"/>
              <w:jc w:val="left"/>
              <w:rPr>
                <w:rFonts w:ascii="方正书宋_GBK" w:eastAsia="方正书宋_GBK"/>
              </w:rPr>
            </w:pPr>
            <w:r>
              <w:rPr>
                <w:rFonts w:hint="eastAsia" w:ascii="方正书宋_GBK" w:eastAsia="方正书宋_GBK"/>
              </w:rPr>
              <w:t>接受迎查、考核各项工作完成率</w:t>
            </w:r>
          </w:p>
        </w:tc>
        <w:tc>
          <w:tcPr>
            <w:tcW w:w="737" w:type="dxa"/>
            <w:vAlign w:val="center"/>
          </w:tcPr>
          <w:p w14:paraId="6CA4E04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A1A9AC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F79CDF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47B577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5A66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7087C43D">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vAlign w:val="center"/>
          </w:tcPr>
          <w:p w14:paraId="5359B989">
            <w:pPr>
              <w:spacing w:line="300" w:lineRule="exact"/>
              <w:jc w:val="left"/>
              <w:rPr>
                <w:rFonts w:ascii="方正书宋_GBK" w:eastAsia="方正书宋_GBK"/>
              </w:rPr>
            </w:pPr>
            <w:r>
              <w:rPr>
                <w:rFonts w:ascii="方正书宋_GBK" w:eastAsia="方正书宋_GBK"/>
              </w:rPr>
              <w:t>209.24</w:t>
            </w:r>
          </w:p>
        </w:tc>
        <w:tc>
          <w:tcPr>
            <w:tcW w:w="2976" w:type="dxa"/>
            <w:vMerge w:val="restart"/>
            <w:vAlign w:val="center"/>
          </w:tcPr>
          <w:p w14:paraId="68C46B65">
            <w:pPr>
              <w:spacing w:line="300" w:lineRule="exact"/>
              <w:jc w:val="left"/>
              <w:rPr>
                <w:rFonts w:ascii="方正书宋_GBK" w:eastAsia="方正书宋_GBK"/>
              </w:rPr>
            </w:pPr>
            <w:r>
              <w:rPr>
                <w:rFonts w:hint="eastAsia" w:ascii="方正书宋_GBK" w:eastAsia="方正书宋_GBK"/>
              </w:rPr>
              <w:t>完成机关日常事务，搞好文秘、档案管理、政务公开和机关后勤保障工作；</w:t>
            </w:r>
          </w:p>
        </w:tc>
        <w:tc>
          <w:tcPr>
            <w:tcW w:w="2976" w:type="dxa"/>
            <w:vMerge w:val="restart"/>
            <w:vAlign w:val="center"/>
          </w:tcPr>
          <w:p w14:paraId="407DDDEA">
            <w:pPr>
              <w:spacing w:line="300" w:lineRule="exact"/>
              <w:jc w:val="left"/>
              <w:rPr>
                <w:rFonts w:ascii="方正书宋_GBK" w:eastAsia="方正书宋_GBK"/>
              </w:rPr>
            </w:pPr>
            <w:r>
              <w:rPr>
                <w:rFonts w:hint="eastAsia" w:ascii="方正书宋_GBK" w:eastAsia="方正书宋_GBK"/>
              </w:rPr>
              <w:t>完成机关日常事务，搞好文秘、档案管理、政务公开和机关后勤保障工作，做好单位在职、退休及临时人员社保、管理等工作。</w:t>
            </w:r>
          </w:p>
        </w:tc>
        <w:tc>
          <w:tcPr>
            <w:tcW w:w="1417" w:type="dxa"/>
            <w:vAlign w:val="center"/>
          </w:tcPr>
          <w:p w14:paraId="40D93095">
            <w:pPr>
              <w:spacing w:line="300" w:lineRule="exact"/>
              <w:jc w:val="left"/>
              <w:rPr>
                <w:rFonts w:ascii="方正书宋_GBK" w:eastAsia="方正书宋_GBK"/>
              </w:rPr>
            </w:pPr>
            <w:r>
              <w:rPr>
                <w:rFonts w:hint="eastAsia" w:ascii="方正书宋_GBK" w:eastAsia="方正书宋_GBK"/>
              </w:rPr>
              <w:t>对单位在职、退休及临时人员进行社保、管理工作完成率</w:t>
            </w:r>
          </w:p>
        </w:tc>
        <w:tc>
          <w:tcPr>
            <w:tcW w:w="737" w:type="dxa"/>
            <w:vAlign w:val="center"/>
          </w:tcPr>
          <w:p w14:paraId="6F4E233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49C714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D6AF91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532DBA0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511C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3B115868">
            <w:pPr>
              <w:spacing w:line="300" w:lineRule="exact"/>
              <w:jc w:val="left"/>
              <w:rPr>
                <w:rFonts w:ascii="方正书宋_GBK" w:eastAsia="方正书宋_GBK"/>
                <w:b/>
              </w:rPr>
            </w:pPr>
          </w:p>
        </w:tc>
        <w:tc>
          <w:tcPr>
            <w:tcW w:w="1276" w:type="dxa"/>
            <w:vMerge w:val="continue"/>
            <w:vAlign w:val="center"/>
          </w:tcPr>
          <w:p w14:paraId="3A61B7EA">
            <w:pPr>
              <w:spacing w:line="300" w:lineRule="exact"/>
              <w:jc w:val="left"/>
              <w:rPr>
                <w:rFonts w:ascii="方正书宋_GBK" w:eastAsia="方正书宋_GBK"/>
              </w:rPr>
            </w:pPr>
          </w:p>
        </w:tc>
        <w:tc>
          <w:tcPr>
            <w:tcW w:w="2976" w:type="dxa"/>
            <w:vMerge w:val="continue"/>
            <w:vAlign w:val="center"/>
          </w:tcPr>
          <w:p w14:paraId="6D4D94EE">
            <w:pPr>
              <w:spacing w:line="300" w:lineRule="exact"/>
              <w:jc w:val="left"/>
              <w:rPr>
                <w:rFonts w:ascii="方正书宋_GBK" w:eastAsia="方正书宋_GBK"/>
              </w:rPr>
            </w:pPr>
          </w:p>
        </w:tc>
        <w:tc>
          <w:tcPr>
            <w:tcW w:w="2976" w:type="dxa"/>
            <w:vMerge w:val="continue"/>
            <w:vAlign w:val="center"/>
          </w:tcPr>
          <w:p w14:paraId="3D34FAB7">
            <w:pPr>
              <w:spacing w:line="300" w:lineRule="exact"/>
              <w:jc w:val="left"/>
              <w:rPr>
                <w:rFonts w:ascii="方正书宋_GBK" w:eastAsia="方正书宋_GBK"/>
              </w:rPr>
            </w:pPr>
          </w:p>
        </w:tc>
        <w:tc>
          <w:tcPr>
            <w:tcW w:w="1417" w:type="dxa"/>
            <w:vAlign w:val="center"/>
          </w:tcPr>
          <w:p w14:paraId="4B9F7CC6">
            <w:pPr>
              <w:spacing w:line="300" w:lineRule="exact"/>
              <w:jc w:val="left"/>
              <w:rPr>
                <w:rFonts w:ascii="方正书宋_GBK" w:eastAsia="方正书宋_GBK"/>
              </w:rPr>
            </w:pPr>
            <w:r>
              <w:rPr>
                <w:rFonts w:hint="eastAsia" w:ascii="方正书宋_GBK" w:eastAsia="方正书宋_GBK"/>
              </w:rPr>
              <w:t>开展机关日常事务，文秘、档案管理、政务公开和机关后勤保障工作完成率</w:t>
            </w:r>
          </w:p>
        </w:tc>
        <w:tc>
          <w:tcPr>
            <w:tcW w:w="737" w:type="dxa"/>
            <w:vAlign w:val="center"/>
          </w:tcPr>
          <w:p w14:paraId="4380555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AF90A7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A71DFA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15CEC5C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25E24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4A0BFF15">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、信访专项</w:t>
            </w:r>
          </w:p>
        </w:tc>
        <w:tc>
          <w:tcPr>
            <w:tcW w:w="1276" w:type="dxa"/>
            <w:vMerge w:val="restart"/>
            <w:vAlign w:val="center"/>
          </w:tcPr>
          <w:p w14:paraId="5E918D20">
            <w:pPr>
              <w:spacing w:line="300" w:lineRule="exact"/>
              <w:jc w:val="left"/>
              <w:rPr>
                <w:rFonts w:ascii="方正书宋_GBK" w:eastAsia="方正书宋_GBK"/>
              </w:rPr>
            </w:pPr>
          </w:p>
        </w:tc>
        <w:tc>
          <w:tcPr>
            <w:tcW w:w="2976" w:type="dxa"/>
            <w:vMerge w:val="restart"/>
            <w:vAlign w:val="center"/>
          </w:tcPr>
          <w:p w14:paraId="3C32B2B3">
            <w:pPr>
              <w:spacing w:line="300" w:lineRule="exact"/>
              <w:jc w:val="left"/>
              <w:rPr>
                <w:rFonts w:ascii="方正书宋_GBK" w:eastAsia="方正书宋_GBK"/>
              </w:rPr>
            </w:pPr>
            <w:r>
              <w:rPr>
                <w:rFonts w:hint="eastAsia" w:ascii="方正书宋_GBK" w:eastAsia="方正书宋_GBK"/>
              </w:rPr>
              <w:t>处理正常信访、非访、突发性及群体性事件的办理；提供相关的服务保障；协助上级信访局处理越级上访；做好相关的信访工作。</w:t>
            </w:r>
          </w:p>
        </w:tc>
        <w:tc>
          <w:tcPr>
            <w:tcW w:w="2976" w:type="dxa"/>
            <w:vMerge w:val="restart"/>
            <w:vAlign w:val="center"/>
          </w:tcPr>
          <w:p w14:paraId="09940160">
            <w:pPr>
              <w:spacing w:line="300" w:lineRule="exact"/>
              <w:jc w:val="left"/>
              <w:rPr>
                <w:rFonts w:ascii="方正书宋_GBK" w:eastAsia="方正书宋_GBK"/>
              </w:rPr>
            </w:pPr>
            <w:r>
              <w:rPr>
                <w:rFonts w:hint="eastAsia" w:ascii="方正书宋_GBK" w:eastAsia="方正书宋_GBK"/>
              </w:rPr>
              <w:t>受理来信，接待来访，为信访人提供服务。敏感时期对重点信访人稳控。进京、赴省、到市值班</w:t>
            </w:r>
          </w:p>
        </w:tc>
        <w:tc>
          <w:tcPr>
            <w:tcW w:w="1417" w:type="dxa"/>
            <w:vAlign w:val="center"/>
          </w:tcPr>
          <w:p w14:paraId="441DF6B6">
            <w:pPr>
              <w:spacing w:line="300" w:lineRule="exact"/>
              <w:jc w:val="left"/>
              <w:rPr>
                <w:rFonts w:ascii="方正书宋_GBK" w:eastAsia="方正书宋_GBK"/>
              </w:rPr>
            </w:pPr>
            <w:r>
              <w:rPr>
                <w:rFonts w:hint="eastAsia" w:ascii="方正书宋_GBK" w:eastAsia="方正书宋_GBK"/>
              </w:rPr>
              <w:t>不出现越级访，进京访</w:t>
            </w:r>
          </w:p>
        </w:tc>
        <w:tc>
          <w:tcPr>
            <w:tcW w:w="737" w:type="dxa"/>
            <w:vAlign w:val="center"/>
          </w:tcPr>
          <w:p w14:paraId="4B4B555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2198D0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EC53DC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D881E5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11CC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22B4B0F9">
            <w:pPr>
              <w:spacing w:line="300" w:lineRule="exact"/>
              <w:jc w:val="left"/>
              <w:rPr>
                <w:rFonts w:ascii="方正书宋_GBK" w:eastAsia="方正书宋_GBK"/>
                <w:b/>
              </w:rPr>
            </w:pPr>
          </w:p>
        </w:tc>
        <w:tc>
          <w:tcPr>
            <w:tcW w:w="1276" w:type="dxa"/>
            <w:vMerge w:val="continue"/>
            <w:vAlign w:val="center"/>
          </w:tcPr>
          <w:p w14:paraId="4E0234B9">
            <w:pPr>
              <w:spacing w:line="300" w:lineRule="exact"/>
              <w:jc w:val="left"/>
              <w:rPr>
                <w:rFonts w:ascii="方正书宋_GBK" w:eastAsia="方正书宋_GBK"/>
              </w:rPr>
            </w:pPr>
          </w:p>
        </w:tc>
        <w:tc>
          <w:tcPr>
            <w:tcW w:w="2976" w:type="dxa"/>
            <w:vMerge w:val="continue"/>
            <w:vAlign w:val="center"/>
          </w:tcPr>
          <w:p w14:paraId="39EE1B5F">
            <w:pPr>
              <w:spacing w:line="300" w:lineRule="exact"/>
              <w:jc w:val="left"/>
              <w:rPr>
                <w:rFonts w:ascii="方正书宋_GBK" w:eastAsia="方正书宋_GBK"/>
              </w:rPr>
            </w:pPr>
          </w:p>
        </w:tc>
        <w:tc>
          <w:tcPr>
            <w:tcW w:w="2976" w:type="dxa"/>
            <w:vMerge w:val="continue"/>
            <w:vAlign w:val="center"/>
          </w:tcPr>
          <w:p w14:paraId="53FC2575">
            <w:pPr>
              <w:spacing w:line="300" w:lineRule="exact"/>
              <w:jc w:val="left"/>
              <w:rPr>
                <w:rFonts w:ascii="方正书宋_GBK" w:eastAsia="方正书宋_GBK"/>
              </w:rPr>
            </w:pPr>
          </w:p>
        </w:tc>
        <w:tc>
          <w:tcPr>
            <w:tcW w:w="1417" w:type="dxa"/>
            <w:vAlign w:val="center"/>
          </w:tcPr>
          <w:p w14:paraId="5F21A11F">
            <w:pPr>
              <w:spacing w:line="300" w:lineRule="exact"/>
              <w:jc w:val="left"/>
              <w:rPr>
                <w:rFonts w:ascii="方正书宋_GBK" w:eastAsia="方正书宋_GBK"/>
              </w:rPr>
            </w:pPr>
            <w:r>
              <w:rPr>
                <w:rFonts w:hint="eastAsia" w:ascii="方正书宋_GBK" w:eastAsia="方正书宋_GBK"/>
              </w:rPr>
              <w:t>信访案件减少率</w:t>
            </w:r>
          </w:p>
        </w:tc>
        <w:tc>
          <w:tcPr>
            <w:tcW w:w="737" w:type="dxa"/>
            <w:vAlign w:val="center"/>
          </w:tcPr>
          <w:p w14:paraId="3992281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14:paraId="102EA78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vAlign w:val="center"/>
          </w:tcPr>
          <w:p w14:paraId="622142B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14:paraId="10CB5FC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14:paraId="3BCF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35B37C8">
            <w:pPr>
              <w:spacing w:line="300" w:lineRule="exact"/>
              <w:jc w:val="left"/>
              <w:rPr>
                <w:rFonts w:ascii="方正书宋_GBK" w:eastAsia="方正书宋_GBK"/>
                <w:b/>
              </w:rPr>
            </w:pPr>
          </w:p>
        </w:tc>
        <w:tc>
          <w:tcPr>
            <w:tcW w:w="1276" w:type="dxa"/>
            <w:vMerge w:val="continue"/>
            <w:vAlign w:val="center"/>
          </w:tcPr>
          <w:p w14:paraId="4B7E6483">
            <w:pPr>
              <w:spacing w:line="300" w:lineRule="exact"/>
              <w:jc w:val="left"/>
              <w:rPr>
                <w:rFonts w:ascii="方正书宋_GBK" w:eastAsia="方正书宋_GBK"/>
              </w:rPr>
            </w:pPr>
          </w:p>
        </w:tc>
        <w:tc>
          <w:tcPr>
            <w:tcW w:w="2976" w:type="dxa"/>
            <w:vMerge w:val="continue"/>
            <w:vAlign w:val="center"/>
          </w:tcPr>
          <w:p w14:paraId="68AAA263">
            <w:pPr>
              <w:spacing w:line="300" w:lineRule="exact"/>
              <w:jc w:val="left"/>
              <w:rPr>
                <w:rFonts w:ascii="方正书宋_GBK" w:eastAsia="方正书宋_GBK"/>
              </w:rPr>
            </w:pPr>
          </w:p>
        </w:tc>
        <w:tc>
          <w:tcPr>
            <w:tcW w:w="2976" w:type="dxa"/>
            <w:vMerge w:val="continue"/>
            <w:vAlign w:val="center"/>
          </w:tcPr>
          <w:p w14:paraId="50DECF9D">
            <w:pPr>
              <w:spacing w:line="300" w:lineRule="exact"/>
              <w:jc w:val="left"/>
              <w:rPr>
                <w:rFonts w:ascii="方正书宋_GBK" w:eastAsia="方正书宋_GBK"/>
              </w:rPr>
            </w:pPr>
          </w:p>
        </w:tc>
        <w:tc>
          <w:tcPr>
            <w:tcW w:w="1417" w:type="dxa"/>
            <w:vAlign w:val="center"/>
          </w:tcPr>
          <w:p w14:paraId="229F1DAB">
            <w:pPr>
              <w:spacing w:line="300" w:lineRule="exact"/>
              <w:jc w:val="left"/>
              <w:rPr>
                <w:rFonts w:ascii="方正书宋_GBK" w:eastAsia="方正书宋_GBK"/>
              </w:rPr>
            </w:pPr>
            <w:r>
              <w:rPr>
                <w:rFonts w:hint="eastAsia" w:ascii="方正书宋_GBK" w:eastAsia="方正书宋_GBK"/>
              </w:rPr>
              <w:t>信访案件解决率</w:t>
            </w:r>
          </w:p>
        </w:tc>
        <w:tc>
          <w:tcPr>
            <w:tcW w:w="737" w:type="dxa"/>
            <w:vAlign w:val="center"/>
          </w:tcPr>
          <w:p w14:paraId="1102B07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099297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1397E8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63B5AA1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43BC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75333BC">
            <w:pPr>
              <w:spacing w:line="300" w:lineRule="exact"/>
              <w:jc w:val="left"/>
              <w:rPr>
                <w:rFonts w:ascii="方正书宋_GBK" w:eastAsia="方正书宋_GBK"/>
                <w:b/>
              </w:rPr>
            </w:pPr>
            <w:r>
              <w:rPr>
                <w:rFonts w:hint="eastAsia" w:ascii="方正书宋_GBK" w:eastAsia="方正书宋_GBK"/>
                <w:b/>
              </w:rPr>
              <w:t>二、农业综合服务</w:t>
            </w:r>
          </w:p>
        </w:tc>
        <w:tc>
          <w:tcPr>
            <w:tcW w:w="1276" w:type="dxa"/>
            <w:vAlign w:val="center"/>
          </w:tcPr>
          <w:p w14:paraId="5AFA73E4">
            <w:pPr>
              <w:spacing w:line="300" w:lineRule="exact"/>
              <w:jc w:val="left"/>
              <w:rPr>
                <w:rFonts w:ascii="方正书宋_GBK" w:eastAsia="方正书宋_GBK"/>
              </w:rPr>
            </w:pPr>
            <w:r>
              <w:rPr>
                <w:rFonts w:ascii="方正书宋_GBK" w:eastAsia="方正书宋_GBK"/>
              </w:rPr>
              <w:t>266.80</w:t>
            </w:r>
          </w:p>
        </w:tc>
        <w:tc>
          <w:tcPr>
            <w:tcW w:w="2976" w:type="dxa"/>
            <w:vAlign w:val="center"/>
          </w:tcPr>
          <w:p w14:paraId="0AF6D188">
            <w:pPr>
              <w:spacing w:line="300" w:lineRule="exact"/>
              <w:jc w:val="left"/>
              <w:rPr>
                <w:rFonts w:ascii="方正书宋_GBK" w:eastAsia="方正书宋_GBK"/>
              </w:rPr>
            </w:pPr>
            <w:r>
              <w:rPr>
                <w:rFonts w:hint="eastAsia" w:ascii="方正书宋_GBK" w:eastAsia="方正书宋_GBK"/>
              </w:rPr>
              <w:t>负责配合农口部门（农、林、牧、水）做好农业技术服务和技术推广工作，动物防疫工作；加强农田水利基本建设，增强农业抗御自然灾害的能力。做好农村一事一议项目管理</w:t>
            </w:r>
          </w:p>
        </w:tc>
        <w:tc>
          <w:tcPr>
            <w:tcW w:w="2976" w:type="dxa"/>
            <w:vAlign w:val="center"/>
          </w:tcPr>
          <w:p w14:paraId="49A37B6E">
            <w:pPr>
              <w:spacing w:line="300" w:lineRule="exact"/>
              <w:jc w:val="left"/>
              <w:rPr>
                <w:rFonts w:ascii="方正书宋_GBK" w:eastAsia="方正书宋_GBK"/>
              </w:rPr>
            </w:pPr>
            <w:r>
              <w:rPr>
                <w:rFonts w:hint="eastAsia" w:ascii="方正书宋_GBK" w:eastAsia="方正书宋_GBK"/>
              </w:rPr>
              <w:t>配合农口部门（农、林、牧、水）做好农业技术服务和技术推广工作，动物防疫工作；加强农田水利基本建设，增强农业抗御自然灾害的能力做好森林培育和护林防火工作。做好农村一事一议项目管理</w:t>
            </w:r>
          </w:p>
        </w:tc>
        <w:tc>
          <w:tcPr>
            <w:tcW w:w="1417" w:type="dxa"/>
            <w:vAlign w:val="center"/>
          </w:tcPr>
          <w:p w14:paraId="59EAAB62">
            <w:pPr>
              <w:spacing w:line="300" w:lineRule="exact"/>
              <w:jc w:val="left"/>
              <w:rPr>
                <w:rFonts w:ascii="方正书宋_GBK" w:eastAsia="方正书宋_GBK"/>
              </w:rPr>
            </w:pPr>
          </w:p>
        </w:tc>
        <w:tc>
          <w:tcPr>
            <w:tcW w:w="737" w:type="dxa"/>
            <w:vAlign w:val="center"/>
          </w:tcPr>
          <w:p w14:paraId="7DCC5F3E">
            <w:pPr>
              <w:spacing w:line="300" w:lineRule="exact"/>
              <w:jc w:val="center"/>
              <w:rPr>
                <w:rFonts w:ascii="方正书宋_GBK" w:eastAsia="方正书宋_GBK"/>
              </w:rPr>
            </w:pPr>
          </w:p>
        </w:tc>
        <w:tc>
          <w:tcPr>
            <w:tcW w:w="737" w:type="dxa"/>
            <w:vAlign w:val="center"/>
          </w:tcPr>
          <w:p w14:paraId="19700234">
            <w:pPr>
              <w:spacing w:line="300" w:lineRule="exact"/>
              <w:jc w:val="center"/>
              <w:rPr>
                <w:rFonts w:ascii="方正书宋_GBK" w:eastAsia="方正书宋_GBK"/>
              </w:rPr>
            </w:pPr>
          </w:p>
        </w:tc>
        <w:tc>
          <w:tcPr>
            <w:tcW w:w="737" w:type="dxa"/>
            <w:vAlign w:val="center"/>
          </w:tcPr>
          <w:p w14:paraId="32AC015E">
            <w:pPr>
              <w:spacing w:line="300" w:lineRule="exact"/>
              <w:jc w:val="center"/>
              <w:rPr>
                <w:rFonts w:ascii="方正书宋_GBK" w:eastAsia="方正书宋_GBK"/>
              </w:rPr>
            </w:pPr>
          </w:p>
        </w:tc>
        <w:tc>
          <w:tcPr>
            <w:tcW w:w="737" w:type="dxa"/>
            <w:vAlign w:val="center"/>
          </w:tcPr>
          <w:p w14:paraId="3CF2F4D6">
            <w:pPr>
              <w:spacing w:line="300" w:lineRule="exact"/>
              <w:jc w:val="center"/>
              <w:rPr>
                <w:rFonts w:ascii="方正书宋_GBK" w:eastAsia="方正书宋_GBK"/>
              </w:rPr>
            </w:pPr>
          </w:p>
        </w:tc>
      </w:tr>
      <w:tr w14:paraId="0318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065A41F">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、农业专项</w:t>
            </w:r>
          </w:p>
        </w:tc>
        <w:tc>
          <w:tcPr>
            <w:tcW w:w="1276" w:type="dxa"/>
            <w:vMerge w:val="restart"/>
            <w:vAlign w:val="center"/>
          </w:tcPr>
          <w:p w14:paraId="4D6C7A1F">
            <w:pPr>
              <w:spacing w:line="300" w:lineRule="exact"/>
              <w:jc w:val="left"/>
              <w:rPr>
                <w:rFonts w:ascii="方正书宋_GBK" w:eastAsia="方正书宋_GBK"/>
              </w:rPr>
            </w:pPr>
            <w:r>
              <w:rPr>
                <w:rFonts w:ascii="方正书宋_GBK" w:eastAsia="方正书宋_GBK"/>
              </w:rPr>
              <w:t>266.80</w:t>
            </w:r>
          </w:p>
        </w:tc>
        <w:tc>
          <w:tcPr>
            <w:tcW w:w="2976" w:type="dxa"/>
            <w:vMerge w:val="restart"/>
            <w:vAlign w:val="center"/>
          </w:tcPr>
          <w:p w14:paraId="7AEE9631">
            <w:pPr>
              <w:spacing w:line="300" w:lineRule="exact"/>
              <w:jc w:val="left"/>
              <w:rPr>
                <w:rFonts w:ascii="方正书宋_GBK" w:eastAsia="方正书宋_GBK"/>
              </w:rPr>
            </w:pPr>
            <w:r>
              <w:rPr>
                <w:rFonts w:hint="eastAsia" w:ascii="方正书宋_GBK" w:eastAsia="方正书宋_GBK"/>
              </w:rPr>
              <w:t>配合农业部门做好农业技术服务和技术推广及动物防疫，加强农业基本建设，增强农业抗御自然灾害的能力。</w:t>
            </w:r>
          </w:p>
        </w:tc>
        <w:tc>
          <w:tcPr>
            <w:tcW w:w="2976" w:type="dxa"/>
            <w:vMerge w:val="restart"/>
            <w:vAlign w:val="center"/>
          </w:tcPr>
          <w:p w14:paraId="3E1508F8">
            <w:pPr>
              <w:spacing w:line="300" w:lineRule="exact"/>
              <w:jc w:val="left"/>
              <w:rPr>
                <w:rFonts w:ascii="方正书宋_GBK" w:eastAsia="方正书宋_GBK"/>
              </w:rPr>
            </w:pPr>
            <w:r>
              <w:rPr>
                <w:rFonts w:hint="eastAsia" w:ascii="方正书宋_GBK" w:eastAsia="方正书宋_GBK"/>
              </w:rPr>
              <w:t>进一步完善农村土地承包关系，保护农民利益，促进规模化经营。</w:t>
            </w:r>
          </w:p>
        </w:tc>
        <w:tc>
          <w:tcPr>
            <w:tcW w:w="1417" w:type="dxa"/>
            <w:vAlign w:val="center"/>
          </w:tcPr>
          <w:p w14:paraId="7E7641DD">
            <w:pPr>
              <w:spacing w:line="300" w:lineRule="exact"/>
              <w:jc w:val="left"/>
              <w:rPr>
                <w:rFonts w:ascii="方正书宋_GBK" w:eastAsia="方正书宋_GBK"/>
              </w:rPr>
            </w:pPr>
            <w:r>
              <w:rPr>
                <w:rFonts w:hint="eastAsia" w:ascii="方正书宋_GBK" w:eastAsia="方正书宋_GBK"/>
              </w:rPr>
              <w:t>农业技术服务和技术推广完成率</w:t>
            </w:r>
          </w:p>
        </w:tc>
        <w:tc>
          <w:tcPr>
            <w:tcW w:w="737" w:type="dxa"/>
            <w:vAlign w:val="center"/>
          </w:tcPr>
          <w:p w14:paraId="7348F56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580233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4A1FB9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0032D35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372B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2F75D747">
            <w:pPr>
              <w:spacing w:line="300" w:lineRule="exact"/>
              <w:jc w:val="left"/>
              <w:rPr>
                <w:rFonts w:ascii="方正书宋_GBK" w:eastAsia="方正书宋_GBK"/>
                <w:b/>
              </w:rPr>
            </w:pPr>
          </w:p>
        </w:tc>
        <w:tc>
          <w:tcPr>
            <w:tcW w:w="1276" w:type="dxa"/>
            <w:vMerge w:val="continue"/>
            <w:vAlign w:val="center"/>
          </w:tcPr>
          <w:p w14:paraId="7A1AA90C">
            <w:pPr>
              <w:spacing w:line="300" w:lineRule="exact"/>
              <w:jc w:val="left"/>
              <w:rPr>
                <w:rFonts w:ascii="方正书宋_GBK" w:eastAsia="方正书宋_GBK"/>
              </w:rPr>
            </w:pPr>
          </w:p>
        </w:tc>
        <w:tc>
          <w:tcPr>
            <w:tcW w:w="2976" w:type="dxa"/>
            <w:vMerge w:val="continue"/>
            <w:vAlign w:val="center"/>
          </w:tcPr>
          <w:p w14:paraId="7AD6C771">
            <w:pPr>
              <w:spacing w:line="300" w:lineRule="exact"/>
              <w:jc w:val="left"/>
              <w:rPr>
                <w:rFonts w:ascii="方正书宋_GBK" w:eastAsia="方正书宋_GBK"/>
              </w:rPr>
            </w:pPr>
          </w:p>
        </w:tc>
        <w:tc>
          <w:tcPr>
            <w:tcW w:w="2976" w:type="dxa"/>
            <w:vMerge w:val="continue"/>
            <w:vAlign w:val="center"/>
          </w:tcPr>
          <w:p w14:paraId="79DC1831">
            <w:pPr>
              <w:spacing w:line="300" w:lineRule="exact"/>
              <w:jc w:val="left"/>
              <w:rPr>
                <w:rFonts w:ascii="方正书宋_GBK" w:eastAsia="方正书宋_GBK"/>
              </w:rPr>
            </w:pPr>
          </w:p>
        </w:tc>
        <w:tc>
          <w:tcPr>
            <w:tcW w:w="1417" w:type="dxa"/>
            <w:vAlign w:val="center"/>
          </w:tcPr>
          <w:p w14:paraId="61E2660E">
            <w:pPr>
              <w:spacing w:line="300" w:lineRule="exact"/>
              <w:jc w:val="left"/>
              <w:rPr>
                <w:rFonts w:ascii="方正书宋_GBK" w:eastAsia="方正书宋_GBK"/>
              </w:rPr>
            </w:pPr>
            <w:r>
              <w:rPr>
                <w:rFonts w:hint="eastAsia" w:ascii="方正书宋_GBK" w:eastAsia="方正书宋_GBK"/>
              </w:rPr>
              <w:t>年度内确权村数完成率</w:t>
            </w:r>
          </w:p>
        </w:tc>
        <w:tc>
          <w:tcPr>
            <w:tcW w:w="737" w:type="dxa"/>
            <w:vAlign w:val="center"/>
          </w:tcPr>
          <w:p w14:paraId="71E66A5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BE3017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778528F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5F12D6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0460F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1F1C9F8A">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、林业专项</w:t>
            </w:r>
          </w:p>
        </w:tc>
        <w:tc>
          <w:tcPr>
            <w:tcW w:w="1276" w:type="dxa"/>
            <w:vMerge w:val="restart"/>
            <w:vAlign w:val="center"/>
          </w:tcPr>
          <w:p w14:paraId="5222554B">
            <w:pPr>
              <w:spacing w:line="300" w:lineRule="exact"/>
              <w:jc w:val="left"/>
              <w:rPr>
                <w:rFonts w:ascii="方正书宋_GBK" w:eastAsia="方正书宋_GBK"/>
              </w:rPr>
            </w:pPr>
          </w:p>
        </w:tc>
        <w:tc>
          <w:tcPr>
            <w:tcW w:w="2976" w:type="dxa"/>
            <w:vMerge w:val="restart"/>
            <w:vAlign w:val="center"/>
          </w:tcPr>
          <w:p w14:paraId="4B81A8D0">
            <w:pPr>
              <w:spacing w:line="300" w:lineRule="exact"/>
              <w:jc w:val="left"/>
              <w:rPr>
                <w:rFonts w:ascii="方正书宋_GBK" w:eastAsia="方正书宋_GBK"/>
              </w:rPr>
            </w:pPr>
            <w:r>
              <w:rPr>
                <w:rFonts w:hint="eastAsia" w:ascii="方正书宋_GBK" w:eastAsia="方正书宋_GBK"/>
              </w:rPr>
              <w:t>配合林业部门做好林业技术服务和技术推广，做好森林培育和护林防火工作。</w:t>
            </w:r>
          </w:p>
        </w:tc>
        <w:tc>
          <w:tcPr>
            <w:tcW w:w="2976" w:type="dxa"/>
            <w:vMerge w:val="restart"/>
            <w:vAlign w:val="center"/>
          </w:tcPr>
          <w:p w14:paraId="7ACFC101">
            <w:pPr>
              <w:spacing w:line="300" w:lineRule="exact"/>
              <w:jc w:val="left"/>
              <w:rPr>
                <w:rFonts w:ascii="方正书宋_GBK" w:eastAsia="方正书宋_GBK"/>
              </w:rPr>
            </w:pPr>
            <w:r>
              <w:rPr>
                <w:rFonts w:hint="eastAsia" w:ascii="方正书宋_GBK" w:eastAsia="方正书宋_GBK"/>
              </w:rPr>
              <w:t>做好护林防火工作</w:t>
            </w:r>
          </w:p>
        </w:tc>
        <w:tc>
          <w:tcPr>
            <w:tcW w:w="1417" w:type="dxa"/>
            <w:vAlign w:val="center"/>
          </w:tcPr>
          <w:p w14:paraId="42B8988D">
            <w:pPr>
              <w:spacing w:line="300" w:lineRule="exact"/>
              <w:jc w:val="left"/>
              <w:rPr>
                <w:rFonts w:ascii="方正书宋_GBK" w:eastAsia="方正书宋_GBK"/>
              </w:rPr>
            </w:pPr>
            <w:r>
              <w:rPr>
                <w:rFonts w:hint="eastAsia" w:ascii="方正书宋_GBK" w:eastAsia="方正书宋_GBK"/>
              </w:rPr>
              <w:t>林业技术服务和技术推广工作完成率</w:t>
            </w:r>
          </w:p>
        </w:tc>
        <w:tc>
          <w:tcPr>
            <w:tcW w:w="737" w:type="dxa"/>
            <w:vAlign w:val="center"/>
          </w:tcPr>
          <w:p w14:paraId="51DE4B6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B8321A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960197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7B009D6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2598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77FCDE8A">
            <w:pPr>
              <w:spacing w:line="300" w:lineRule="exact"/>
              <w:jc w:val="left"/>
              <w:rPr>
                <w:rFonts w:ascii="方正书宋_GBK" w:eastAsia="方正书宋_GBK"/>
                <w:b/>
              </w:rPr>
            </w:pPr>
          </w:p>
        </w:tc>
        <w:tc>
          <w:tcPr>
            <w:tcW w:w="1276" w:type="dxa"/>
            <w:vMerge w:val="continue"/>
            <w:vAlign w:val="center"/>
          </w:tcPr>
          <w:p w14:paraId="7B663529">
            <w:pPr>
              <w:spacing w:line="300" w:lineRule="exact"/>
              <w:jc w:val="left"/>
              <w:rPr>
                <w:rFonts w:ascii="方正书宋_GBK" w:eastAsia="方正书宋_GBK"/>
              </w:rPr>
            </w:pPr>
          </w:p>
        </w:tc>
        <w:tc>
          <w:tcPr>
            <w:tcW w:w="2976" w:type="dxa"/>
            <w:vMerge w:val="continue"/>
            <w:vAlign w:val="center"/>
          </w:tcPr>
          <w:p w14:paraId="7668E2C1">
            <w:pPr>
              <w:spacing w:line="300" w:lineRule="exact"/>
              <w:jc w:val="left"/>
              <w:rPr>
                <w:rFonts w:ascii="方正书宋_GBK" w:eastAsia="方正书宋_GBK"/>
              </w:rPr>
            </w:pPr>
          </w:p>
        </w:tc>
        <w:tc>
          <w:tcPr>
            <w:tcW w:w="2976" w:type="dxa"/>
            <w:vMerge w:val="continue"/>
            <w:vAlign w:val="center"/>
          </w:tcPr>
          <w:p w14:paraId="4923AC2E">
            <w:pPr>
              <w:spacing w:line="300" w:lineRule="exact"/>
              <w:jc w:val="left"/>
              <w:rPr>
                <w:rFonts w:ascii="方正书宋_GBK" w:eastAsia="方正书宋_GBK"/>
              </w:rPr>
            </w:pPr>
          </w:p>
        </w:tc>
        <w:tc>
          <w:tcPr>
            <w:tcW w:w="1417" w:type="dxa"/>
            <w:vAlign w:val="center"/>
          </w:tcPr>
          <w:p w14:paraId="13D533C8">
            <w:pPr>
              <w:spacing w:line="300" w:lineRule="exact"/>
              <w:jc w:val="left"/>
              <w:rPr>
                <w:rFonts w:ascii="方正书宋_GBK" w:eastAsia="方正书宋_GBK"/>
              </w:rPr>
            </w:pPr>
            <w:r>
              <w:rPr>
                <w:rFonts w:hint="eastAsia" w:ascii="方正书宋_GBK" w:eastAsia="方正书宋_GBK"/>
              </w:rPr>
              <w:t>绿化项目完成率</w:t>
            </w:r>
          </w:p>
        </w:tc>
        <w:tc>
          <w:tcPr>
            <w:tcW w:w="737" w:type="dxa"/>
            <w:vAlign w:val="center"/>
          </w:tcPr>
          <w:p w14:paraId="32FA010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78C76C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3210CC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5DFE1B7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16998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EE8943B">
            <w:pPr>
              <w:spacing w:line="300" w:lineRule="exact"/>
              <w:jc w:val="left"/>
              <w:rPr>
                <w:rFonts w:ascii="方正书宋_GBK" w:eastAsia="方正书宋_GBK"/>
                <w:b/>
              </w:rPr>
            </w:pPr>
          </w:p>
        </w:tc>
        <w:tc>
          <w:tcPr>
            <w:tcW w:w="1276" w:type="dxa"/>
            <w:vMerge w:val="continue"/>
            <w:vAlign w:val="center"/>
          </w:tcPr>
          <w:p w14:paraId="33E536D3">
            <w:pPr>
              <w:spacing w:line="300" w:lineRule="exact"/>
              <w:jc w:val="left"/>
              <w:rPr>
                <w:rFonts w:ascii="方正书宋_GBK" w:eastAsia="方正书宋_GBK"/>
              </w:rPr>
            </w:pPr>
          </w:p>
        </w:tc>
        <w:tc>
          <w:tcPr>
            <w:tcW w:w="2976" w:type="dxa"/>
            <w:vMerge w:val="continue"/>
            <w:vAlign w:val="center"/>
          </w:tcPr>
          <w:p w14:paraId="4EBEBE7E">
            <w:pPr>
              <w:spacing w:line="300" w:lineRule="exact"/>
              <w:jc w:val="left"/>
              <w:rPr>
                <w:rFonts w:ascii="方正书宋_GBK" w:eastAsia="方正书宋_GBK"/>
              </w:rPr>
            </w:pPr>
          </w:p>
        </w:tc>
        <w:tc>
          <w:tcPr>
            <w:tcW w:w="2976" w:type="dxa"/>
            <w:vMerge w:val="continue"/>
            <w:vAlign w:val="center"/>
          </w:tcPr>
          <w:p w14:paraId="239AFE74">
            <w:pPr>
              <w:spacing w:line="300" w:lineRule="exact"/>
              <w:jc w:val="left"/>
              <w:rPr>
                <w:rFonts w:ascii="方正书宋_GBK" w:eastAsia="方正书宋_GBK"/>
              </w:rPr>
            </w:pPr>
          </w:p>
        </w:tc>
        <w:tc>
          <w:tcPr>
            <w:tcW w:w="1417" w:type="dxa"/>
            <w:vAlign w:val="center"/>
          </w:tcPr>
          <w:p w14:paraId="514FA931">
            <w:pPr>
              <w:spacing w:line="300" w:lineRule="exact"/>
              <w:jc w:val="left"/>
              <w:rPr>
                <w:rFonts w:ascii="方正书宋_GBK" w:eastAsia="方正书宋_GBK"/>
              </w:rPr>
            </w:pPr>
            <w:r>
              <w:rPr>
                <w:rFonts w:hint="eastAsia" w:ascii="方正书宋_GBK" w:eastAsia="方正书宋_GBK"/>
              </w:rPr>
              <w:t>减少火灾发生率</w:t>
            </w:r>
          </w:p>
        </w:tc>
        <w:tc>
          <w:tcPr>
            <w:tcW w:w="737" w:type="dxa"/>
            <w:vAlign w:val="center"/>
          </w:tcPr>
          <w:p w14:paraId="7DDD1E0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9BEB6E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28B48D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04DBC64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56492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457F9ABD">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、水利专项</w:t>
            </w:r>
          </w:p>
        </w:tc>
        <w:tc>
          <w:tcPr>
            <w:tcW w:w="1276" w:type="dxa"/>
            <w:vMerge w:val="restart"/>
            <w:vAlign w:val="center"/>
          </w:tcPr>
          <w:p w14:paraId="22796F57">
            <w:pPr>
              <w:spacing w:line="300" w:lineRule="exact"/>
              <w:jc w:val="left"/>
              <w:rPr>
                <w:rFonts w:ascii="方正书宋_GBK" w:eastAsia="方正书宋_GBK"/>
              </w:rPr>
            </w:pPr>
          </w:p>
        </w:tc>
        <w:tc>
          <w:tcPr>
            <w:tcW w:w="2976" w:type="dxa"/>
            <w:vMerge w:val="restart"/>
            <w:vAlign w:val="center"/>
          </w:tcPr>
          <w:p w14:paraId="3138DE1D">
            <w:pPr>
              <w:spacing w:line="300" w:lineRule="exact"/>
              <w:jc w:val="left"/>
              <w:rPr>
                <w:rFonts w:ascii="方正书宋_GBK" w:eastAsia="方正书宋_GBK"/>
              </w:rPr>
            </w:pPr>
            <w:r>
              <w:rPr>
                <w:rFonts w:hint="eastAsia" w:ascii="方正书宋_GBK" w:eastAsia="方正书宋_GBK"/>
              </w:rPr>
              <w:t>配合水利部门做好农田水机基础设施建设、开展群众安全饮水项目</w:t>
            </w:r>
          </w:p>
        </w:tc>
        <w:tc>
          <w:tcPr>
            <w:tcW w:w="2976" w:type="dxa"/>
            <w:vMerge w:val="restart"/>
            <w:vAlign w:val="center"/>
          </w:tcPr>
          <w:p w14:paraId="3D97A85C">
            <w:pPr>
              <w:spacing w:line="300" w:lineRule="exact"/>
              <w:jc w:val="left"/>
              <w:rPr>
                <w:rFonts w:ascii="方正书宋_GBK" w:eastAsia="方正书宋_GBK"/>
              </w:rPr>
            </w:pPr>
            <w:r>
              <w:rPr>
                <w:rFonts w:hint="eastAsia" w:ascii="方正书宋_GBK" w:eastAsia="方正书宋_GBK"/>
              </w:rPr>
              <w:t>解决农村饮水安全问题</w:t>
            </w:r>
          </w:p>
        </w:tc>
        <w:tc>
          <w:tcPr>
            <w:tcW w:w="1417" w:type="dxa"/>
            <w:vAlign w:val="center"/>
          </w:tcPr>
          <w:p w14:paraId="66AF70F2">
            <w:pPr>
              <w:spacing w:line="300" w:lineRule="exact"/>
              <w:jc w:val="left"/>
              <w:rPr>
                <w:rFonts w:ascii="方正书宋_GBK" w:eastAsia="方正书宋_GBK"/>
              </w:rPr>
            </w:pPr>
            <w:r>
              <w:rPr>
                <w:rFonts w:hint="eastAsia" w:ascii="方正书宋_GBK" w:eastAsia="方正书宋_GBK"/>
              </w:rPr>
              <w:t>项目完成率</w:t>
            </w:r>
          </w:p>
        </w:tc>
        <w:tc>
          <w:tcPr>
            <w:tcW w:w="737" w:type="dxa"/>
            <w:vAlign w:val="center"/>
          </w:tcPr>
          <w:p w14:paraId="3936910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11DB42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E7E843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072EA4D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62A1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02B2475">
            <w:pPr>
              <w:spacing w:line="300" w:lineRule="exact"/>
              <w:jc w:val="left"/>
              <w:rPr>
                <w:rFonts w:ascii="方正书宋_GBK" w:eastAsia="方正书宋_GBK"/>
                <w:b/>
              </w:rPr>
            </w:pPr>
          </w:p>
        </w:tc>
        <w:tc>
          <w:tcPr>
            <w:tcW w:w="1276" w:type="dxa"/>
            <w:vMerge w:val="continue"/>
            <w:vAlign w:val="center"/>
          </w:tcPr>
          <w:p w14:paraId="06EF504D">
            <w:pPr>
              <w:spacing w:line="300" w:lineRule="exact"/>
              <w:jc w:val="left"/>
              <w:rPr>
                <w:rFonts w:ascii="方正书宋_GBK" w:eastAsia="方正书宋_GBK"/>
              </w:rPr>
            </w:pPr>
          </w:p>
        </w:tc>
        <w:tc>
          <w:tcPr>
            <w:tcW w:w="2976" w:type="dxa"/>
            <w:vMerge w:val="continue"/>
            <w:vAlign w:val="center"/>
          </w:tcPr>
          <w:p w14:paraId="29D0B054">
            <w:pPr>
              <w:spacing w:line="300" w:lineRule="exact"/>
              <w:jc w:val="left"/>
              <w:rPr>
                <w:rFonts w:ascii="方正书宋_GBK" w:eastAsia="方正书宋_GBK"/>
              </w:rPr>
            </w:pPr>
          </w:p>
        </w:tc>
        <w:tc>
          <w:tcPr>
            <w:tcW w:w="2976" w:type="dxa"/>
            <w:vMerge w:val="continue"/>
            <w:vAlign w:val="center"/>
          </w:tcPr>
          <w:p w14:paraId="0D91DB5D">
            <w:pPr>
              <w:spacing w:line="300" w:lineRule="exact"/>
              <w:jc w:val="left"/>
              <w:rPr>
                <w:rFonts w:ascii="方正书宋_GBK" w:eastAsia="方正书宋_GBK"/>
              </w:rPr>
            </w:pPr>
          </w:p>
        </w:tc>
        <w:tc>
          <w:tcPr>
            <w:tcW w:w="1417" w:type="dxa"/>
            <w:vAlign w:val="center"/>
          </w:tcPr>
          <w:p w14:paraId="27501320">
            <w:pPr>
              <w:spacing w:line="300" w:lineRule="exact"/>
              <w:jc w:val="left"/>
              <w:rPr>
                <w:rFonts w:ascii="方正书宋_GBK" w:eastAsia="方正书宋_GBK"/>
              </w:rPr>
            </w:pPr>
            <w:r>
              <w:rPr>
                <w:rFonts w:hint="eastAsia" w:ascii="方正书宋_GBK" w:eastAsia="方正书宋_GBK"/>
              </w:rPr>
              <w:t>节水灌溉面积完成率</w:t>
            </w:r>
          </w:p>
        </w:tc>
        <w:tc>
          <w:tcPr>
            <w:tcW w:w="737" w:type="dxa"/>
            <w:vAlign w:val="center"/>
          </w:tcPr>
          <w:p w14:paraId="1E82276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4ABD72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0CBD9D7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671E6CF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723B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8657BD5">
            <w:pPr>
              <w:spacing w:line="300" w:lineRule="exact"/>
              <w:jc w:val="left"/>
              <w:rPr>
                <w:rFonts w:ascii="方正书宋_GBK" w:eastAsia="方正书宋_GBK"/>
                <w:b/>
              </w:rPr>
            </w:pPr>
          </w:p>
        </w:tc>
        <w:tc>
          <w:tcPr>
            <w:tcW w:w="1276" w:type="dxa"/>
            <w:vMerge w:val="continue"/>
            <w:vAlign w:val="center"/>
          </w:tcPr>
          <w:p w14:paraId="3A06CC00">
            <w:pPr>
              <w:spacing w:line="300" w:lineRule="exact"/>
              <w:jc w:val="left"/>
              <w:rPr>
                <w:rFonts w:ascii="方正书宋_GBK" w:eastAsia="方正书宋_GBK"/>
              </w:rPr>
            </w:pPr>
          </w:p>
        </w:tc>
        <w:tc>
          <w:tcPr>
            <w:tcW w:w="2976" w:type="dxa"/>
            <w:vMerge w:val="continue"/>
            <w:vAlign w:val="center"/>
          </w:tcPr>
          <w:p w14:paraId="6DBBB194">
            <w:pPr>
              <w:spacing w:line="300" w:lineRule="exact"/>
              <w:jc w:val="left"/>
              <w:rPr>
                <w:rFonts w:ascii="方正书宋_GBK" w:eastAsia="方正书宋_GBK"/>
              </w:rPr>
            </w:pPr>
          </w:p>
        </w:tc>
        <w:tc>
          <w:tcPr>
            <w:tcW w:w="2976" w:type="dxa"/>
            <w:vMerge w:val="continue"/>
            <w:vAlign w:val="center"/>
          </w:tcPr>
          <w:p w14:paraId="477C1AC5">
            <w:pPr>
              <w:spacing w:line="300" w:lineRule="exact"/>
              <w:jc w:val="left"/>
              <w:rPr>
                <w:rFonts w:ascii="方正书宋_GBK" w:eastAsia="方正书宋_GBK"/>
              </w:rPr>
            </w:pPr>
          </w:p>
        </w:tc>
        <w:tc>
          <w:tcPr>
            <w:tcW w:w="1417" w:type="dxa"/>
            <w:vAlign w:val="center"/>
          </w:tcPr>
          <w:p w14:paraId="7C4F0B01">
            <w:pPr>
              <w:spacing w:line="300" w:lineRule="exact"/>
              <w:jc w:val="left"/>
              <w:rPr>
                <w:rFonts w:ascii="方正书宋_GBK" w:eastAsia="方正书宋_GBK"/>
              </w:rPr>
            </w:pPr>
            <w:r>
              <w:rPr>
                <w:rFonts w:hint="eastAsia" w:ascii="方正书宋_GBK" w:eastAsia="方正书宋_GBK"/>
              </w:rPr>
              <w:t>解决农村引用水安全人口比例</w:t>
            </w:r>
          </w:p>
        </w:tc>
        <w:tc>
          <w:tcPr>
            <w:tcW w:w="737" w:type="dxa"/>
            <w:vAlign w:val="center"/>
          </w:tcPr>
          <w:p w14:paraId="04CBB15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2443E3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0FCBFC2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14:paraId="635D20E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6837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42507E63">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、一事一议专项</w:t>
            </w:r>
          </w:p>
        </w:tc>
        <w:tc>
          <w:tcPr>
            <w:tcW w:w="1276" w:type="dxa"/>
            <w:vAlign w:val="center"/>
          </w:tcPr>
          <w:p w14:paraId="273F84F8">
            <w:pPr>
              <w:spacing w:line="300" w:lineRule="exact"/>
              <w:jc w:val="left"/>
              <w:rPr>
                <w:rFonts w:ascii="方正书宋_GBK" w:eastAsia="方正书宋_GBK"/>
              </w:rPr>
            </w:pPr>
          </w:p>
        </w:tc>
        <w:tc>
          <w:tcPr>
            <w:tcW w:w="2976" w:type="dxa"/>
            <w:vAlign w:val="center"/>
          </w:tcPr>
          <w:p w14:paraId="3F8C0245">
            <w:pPr>
              <w:spacing w:line="300" w:lineRule="exact"/>
              <w:jc w:val="left"/>
              <w:rPr>
                <w:rFonts w:ascii="方正书宋_GBK" w:eastAsia="方正书宋_GBK"/>
              </w:rPr>
            </w:pPr>
            <w:r>
              <w:rPr>
                <w:rFonts w:hint="eastAsia" w:ascii="方正书宋_GBK" w:eastAsia="方正书宋_GBK"/>
              </w:rPr>
              <w:t>做好农村一事一议档案的统一管理、监督项目的运行情况、督促项目的及时完成及确保完成质量</w:t>
            </w:r>
          </w:p>
        </w:tc>
        <w:tc>
          <w:tcPr>
            <w:tcW w:w="2976" w:type="dxa"/>
            <w:vAlign w:val="center"/>
          </w:tcPr>
          <w:p w14:paraId="500D47D0">
            <w:pPr>
              <w:spacing w:line="300" w:lineRule="exact"/>
              <w:jc w:val="left"/>
              <w:rPr>
                <w:rFonts w:ascii="方正书宋_GBK" w:eastAsia="方正书宋_GBK"/>
              </w:rPr>
            </w:pPr>
            <w:r>
              <w:rPr>
                <w:rFonts w:hint="eastAsia" w:ascii="方正书宋_GBK" w:eastAsia="方正书宋_GBK"/>
              </w:rPr>
              <w:t>确保一事一议项目的顺利运行及实施。</w:t>
            </w:r>
          </w:p>
        </w:tc>
        <w:tc>
          <w:tcPr>
            <w:tcW w:w="1417" w:type="dxa"/>
            <w:vAlign w:val="center"/>
          </w:tcPr>
          <w:p w14:paraId="4A685D5A">
            <w:pPr>
              <w:spacing w:line="300" w:lineRule="exact"/>
              <w:jc w:val="left"/>
              <w:rPr>
                <w:rFonts w:ascii="方正书宋_GBK" w:eastAsia="方正书宋_GBK"/>
              </w:rPr>
            </w:pPr>
            <w:r>
              <w:rPr>
                <w:rFonts w:hint="eastAsia" w:ascii="方正书宋_GBK" w:eastAsia="方正书宋_GBK"/>
              </w:rPr>
              <w:t>一事一议项目工作完成率</w:t>
            </w:r>
          </w:p>
        </w:tc>
        <w:tc>
          <w:tcPr>
            <w:tcW w:w="737" w:type="dxa"/>
            <w:vAlign w:val="center"/>
          </w:tcPr>
          <w:p w14:paraId="273125E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54C3292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EAD093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3E81865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6467E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4AAC21C2">
            <w:pPr>
              <w:spacing w:line="300" w:lineRule="exact"/>
              <w:jc w:val="left"/>
              <w:rPr>
                <w:rFonts w:ascii="方正书宋_GBK" w:eastAsia="方正书宋_GBK"/>
                <w:b/>
              </w:rPr>
            </w:pPr>
            <w:r>
              <w:rPr>
                <w:rFonts w:hint="eastAsia" w:ascii="方正书宋_GBK" w:eastAsia="方正书宋_GBK"/>
                <w:b/>
              </w:rPr>
              <w:t>三、卫生计生服务</w:t>
            </w:r>
          </w:p>
        </w:tc>
        <w:tc>
          <w:tcPr>
            <w:tcW w:w="1276" w:type="dxa"/>
            <w:vAlign w:val="center"/>
          </w:tcPr>
          <w:p w14:paraId="2D17C65D">
            <w:pPr>
              <w:spacing w:line="300" w:lineRule="exact"/>
              <w:jc w:val="left"/>
              <w:rPr>
                <w:rFonts w:ascii="方正书宋_GBK" w:eastAsia="方正书宋_GBK"/>
              </w:rPr>
            </w:pPr>
            <w:r>
              <w:rPr>
                <w:rFonts w:ascii="方正书宋_GBK" w:eastAsia="方正书宋_GBK"/>
              </w:rPr>
              <w:t>70.00</w:t>
            </w:r>
          </w:p>
        </w:tc>
        <w:tc>
          <w:tcPr>
            <w:tcW w:w="2976" w:type="dxa"/>
            <w:vAlign w:val="center"/>
          </w:tcPr>
          <w:p w14:paraId="3DC8BAE8">
            <w:pPr>
              <w:spacing w:line="300" w:lineRule="exact"/>
              <w:jc w:val="left"/>
              <w:rPr>
                <w:rFonts w:ascii="方正书宋_GBK" w:eastAsia="方正书宋_GBK"/>
              </w:rPr>
            </w:pPr>
            <w:r>
              <w:rPr>
                <w:rFonts w:hint="eastAsia" w:ascii="方正书宋_GBK" w:eastAsia="方正书宋_GBK"/>
              </w:rPr>
              <w:t>配合食品药品监督管理的协调、督导，做好新型农村合作医疗等卫生方面工作，负责计划生育技术服务及人口生育管理，负责育龄妇女普查、妇女病防治、四术及协会等项工作。</w:t>
            </w:r>
          </w:p>
        </w:tc>
        <w:tc>
          <w:tcPr>
            <w:tcW w:w="2976" w:type="dxa"/>
            <w:vAlign w:val="center"/>
          </w:tcPr>
          <w:p w14:paraId="024634E5">
            <w:pPr>
              <w:spacing w:line="300" w:lineRule="exact"/>
              <w:jc w:val="left"/>
              <w:rPr>
                <w:rFonts w:ascii="方正书宋_GBK" w:eastAsia="方正书宋_GBK"/>
              </w:rPr>
            </w:pPr>
            <w:r>
              <w:rPr>
                <w:rFonts w:hint="eastAsia" w:ascii="方正书宋_GBK" w:eastAsia="方正书宋_GBK"/>
              </w:rPr>
              <w:t>做好与食品药品监督管理的协调、督导及卫生方面工作，做好计划生育技术服务，负责育龄妇女普查、妇女病防治、四术及协会工作。</w:t>
            </w:r>
          </w:p>
        </w:tc>
        <w:tc>
          <w:tcPr>
            <w:tcW w:w="1417" w:type="dxa"/>
            <w:vAlign w:val="center"/>
          </w:tcPr>
          <w:p w14:paraId="7A22F0FA">
            <w:pPr>
              <w:spacing w:line="300" w:lineRule="exact"/>
              <w:jc w:val="left"/>
              <w:rPr>
                <w:rFonts w:ascii="方正书宋_GBK" w:eastAsia="方正书宋_GBK"/>
              </w:rPr>
            </w:pPr>
          </w:p>
        </w:tc>
        <w:tc>
          <w:tcPr>
            <w:tcW w:w="737" w:type="dxa"/>
            <w:vAlign w:val="center"/>
          </w:tcPr>
          <w:p w14:paraId="26443EF3">
            <w:pPr>
              <w:spacing w:line="300" w:lineRule="exact"/>
              <w:jc w:val="center"/>
              <w:rPr>
                <w:rFonts w:ascii="方正书宋_GBK" w:eastAsia="方正书宋_GBK"/>
              </w:rPr>
            </w:pPr>
          </w:p>
        </w:tc>
        <w:tc>
          <w:tcPr>
            <w:tcW w:w="737" w:type="dxa"/>
            <w:vAlign w:val="center"/>
          </w:tcPr>
          <w:p w14:paraId="7B050F8A">
            <w:pPr>
              <w:spacing w:line="300" w:lineRule="exact"/>
              <w:jc w:val="center"/>
              <w:rPr>
                <w:rFonts w:ascii="方正书宋_GBK" w:eastAsia="方正书宋_GBK"/>
              </w:rPr>
            </w:pPr>
          </w:p>
        </w:tc>
        <w:tc>
          <w:tcPr>
            <w:tcW w:w="737" w:type="dxa"/>
            <w:vAlign w:val="center"/>
          </w:tcPr>
          <w:p w14:paraId="54987181">
            <w:pPr>
              <w:spacing w:line="300" w:lineRule="exact"/>
              <w:jc w:val="center"/>
              <w:rPr>
                <w:rFonts w:ascii="方正书宋_GBK" w:eastAsia="方正书宋_GBK"/>
              </w:rPr>
            </w:pPr>
          </w:p>
        </w:tc>
        <w:tc>
          <w:tcPr>
            <w:tcW w:w="737" w:type="dxa"/>
            <w:vAlign w:val="center"/>
          </w:tcPr>
          <w:p w14:paraId="170B85AD">
            <w:pPr>
              <w:spacing w:line="300" w:lineRule="exact"/>
              <w:jc w:val="center"/>
              <w:rPr>
                <w:rFonts w:ascii="方正书宋_GBK" w:eastAsia="方正书宋_GBK"/>
              </w:rPr>
            </w:pPr>
          </w:p>
        </w:tc>
      </w:tr>
      <w:tr w14:paraId="132A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40F5FD69">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、卫生专项</w:t>
            </w:r>
          </w:p>
        </w:tc>
        <w:tc>
          <w:tcPr>
            <w:tcW w:w="1276" w:type="dxa"/>
            <w:vMerge w:val="restart"/>
            <w:vAlign w:val="center"/>
          </w:tcPr>
          <w:p w14:paraId="75FB77C4">
            <w:pPr>
              <w:spacing w:line="300" w:lineRule="exact"/>
              <w:jc w:val="left"/>
              <w:rPr>
                <w:rFonts w:ascii="方正书宋_GBK" w:eastAsia="方正书宋_GBK"/>
              </w:rPr>
            </w:pPr>
            <w:r>
              <w:rPr>
                <w:rFonts w:ascii="方正书宋_GBK" w:eastAsia="方正书宋_GBK"/>
              </w:rPr>
              <w:t>70.00</w:t>
            </w:r>
          </w:p>
        </w:tc>
        <w:tc>
          <w:tcPr>
            <w:tcW w:w="2976" w:type="dxa"/>
            <w:vMerge w:val="restart"/>
            <w:vAlign w:val="center"/>
          </w:tcPr>
          <w:p w14:paraId="2289FE20">
            <w:pPr>
              <w:spacing w:line="300" w:lineRule="exact"/>
              <w:jc w:val="left"/>
              <w:rPr>
                <w:rFonts w:ascii="方正书宋_GBK" w:eastAsia="方正书宋_GBK"/>
              </w:rPr>
            </w:pPr>
            <w:r>
              <w:rPr>
                <w:rFonts w:hint="eastAsia" w:ascii="方正书宋_GBK" w:eastAsia="方正书宋_GBK"/>
              </w:rPr>
              <w:t>配合食品药品监督管理的协调、督导，做好新型农村合作医疗等卫生方面工作。</w:t>
            </w:r>
          </w:p>
        </w:tc>
        <w:tc>
          <w:tcPr>
            <w:tcW w:w="2976" w:type="dxa"/>
            <w:vMerge w:val="restart"/>
            <w:vAlign w:val="center"/>
          </w:tcPr>
          <w:p w14:paraId="6B5611B8">
            <w:pPr>
              <w:spacing w:line="300" w:lineRule="exact"/>
              <w:jc w:val="left"/>
              <w:rPr>
                <w:rFonts w:ascii="方正书宋_GBK" w:eastAsia="方正书宋_GBK"/>
              </w:rPr>
            </w:pPr>
            <w:r>
              <w:rPr>
                <w:rFonts w:hint="eastAsia" w:ascii="方正书宋_GBK" w:eastAsia="方正书宋_GBK"/>
              </w:rPr>
              <w:t>做好与食品药品监督管理的协调、督导及卫生方面工作。</w:t>
            </w:r>
          </w:p>
        </w:tc>
        <w:tc>
          <w:tcPr>
            <w:tcW w:w="1417" w:type="dxa"/>
            <w:vAlign w:val="center"/>
          </w:tcPr>
          <w:p w14:paraId="25FE23E8">
            <w:pPr>
              <w:spacing w:line="300" w:lineRule="exact"/>
              <w:jc w:val="left"/>
              <w:rPr>
                <w:rFonts w:ascii="方正书宋_GBK" w:eastAsia="方正书宋_GBK"/>
              </w:rPr>
            </w:pPr>
            <w:r>
              <w:rPr>
                <w:rFonts w:hint="eastAsia" w:ascii="方正书宋_GBK" w:eastAsia="方正书宋_GBK"/>
              </w:rPr>
              <w:t>患者满意度</w:t>
            </w:r>
          </w:p>
        </w:tc>
        <w:tc>
          <w:tcPr>
            <w:tcW w:w="737" w:type="dxa"/>
            <w:vAlign w:val="center"/>
          </w:tcPr>
          <w:p w14:paraId="1F6C57D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0A07CA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571C7A9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A6FFC5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3EE9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3088CC8">
            <w:pPr>
              <w:spacing w:line="300" w:lineRule="exact"/>
              <w:jc w:val="left"/>
              <w:rPr>
                <w:rFonts w:ascii="方正书宋_GBK" w:eastAsia="方正书宋_GBK"/>
                <w:b/>
              </w:rPr>
            </w:pPr>
          </w:p>
        </w:tc>
        <w:tc>
          <w:tcPr>
            <w:tcW w:w="1276" w:type="dxa"/>
            <w:vMerge w:val="continue"/>
            <w:vAlign w:val="center"/>
          </w:tcPr>
          <w:p w14:paraId="49FE5F70">
            <w:pPr>
              <w:spacing w:line="300" w:lineRule="exact"/>
              <w:jc w:val="left"/>
              <w:rPr>
                <w:rFonts w:ascii="方正书宋_GBK" w:eastAsia="方正书宋_GBK"/>
              </w:rPr>
            </w:pPr>
          </w:p>
        </w:tc>
        <w:tc>
          <w:tcPr>
            <w:tcW w:w="2976" w:type="dxa"/>
            <w:vMerge w:val="continue"/>
            <w:vAlign w:val="center"/>
          </w:tcPr>
          <w:p w14:paraId="638A87E6">
            <w:pPr>
              <w:spacing w:line="300" w:lineRule="exact"/>
              <w:jc w:val="left"/>
              <w:rPr>
                <w:rFonts w:ascii="方正书宋_GBK" w:eastAsia="方正书宋_GBK"/>
              </w:rPr>
            </w:pPr>
          </w:p>
        </w:tc>
        <w:tc>
          <w:tcPr>
            <w:tcW w:w="2976" w:type="dxa"/>
            <w:vMerge w:val="continue"/>
            <w:vAlign w:val="center"/>
          </w:tcPr>
          <w:p w14:paraId="13ECE065">
            <w:pPr>
              <w:spacing w:line="300" w:lineRule="exact"/>
              <w:jc w:val="left"/>
              <w:rPr>
                <w:rFonts w:ascii="方正书宋_GBK" w:eastAsia="方正书宋_GBK"/>
              </w:rPr>
            </w:pPr>
          </w:p>
        </w:tc>
        <w:tc>
          <w:tcPr>
            <w:tcW w:w="1417" w:type="dxa"/>
            <w:vAlign w:val="center"/>
          </w:tcPr>
          <w:p w14:paraId="46596858">
            <w:pPr>
              <w:spacing w:line="300" w:lineRule="exact"/>
              <w:jc w:val="left"/>
              <w:rPr>
                <w:rFonts w:ascii="方正书宋_GBK" w:eastAsia="方正书宋_GBK"/>
              </w:rPr>
            </w:pPr>
            <w:r>
              <w:rPr>
                <w:rFonts w:hint="eastAsia" w:ascii="方正书宋_GBK" w:eastAsia="方正书宋_GBK"/>
              </w:rPr>
              <w:t>重大疾病住院报销比例</w:t>
            </w:r>
          </w:p>
        </w:tc>
        <w:tc>
          <w:tcPr>
            <w:tcW w:w="737" w:type="dxa"/>
            <w:vAlign w:val="center"/>
          </w:tcPr>
          <w:p w14:paraId="3DBEA6A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6F9A4AD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5DF9E23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14:paraId="23E0B8D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r>
      <w:tr w14:paraId="7D06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64A7C1AF">
            <w:pPr>
              <w:spacing w:line="300" w:lineRule="exact"/>
              <w:jc w:val="left"/>
              <w:rPr>
                <w:rFonts w:ascii="方正书宋_GBK" w:eastAsia="方正书宋_GBK"/>
                <w:b/>
              </w:rPr>
            </w:pPr>
          </w:p>
        </w:tc>
        <w:tc>
          <w:tcPr>
            <w:tcW w:w="1276" w:type="dxa"/>
            <w:vMerge w:val="continue"/>
            <w:vAlign w:val="center"/>
          </w:tcPr>
          <w:p w14:paraId="22716A9A">
            <w:pPr>
              <w:spacing w:line="300" w:lineRule="exact"/>
              <w:jc w:val="left"/>
              <w:rPr>
                <w:rFonts w:ascii="方正书宋_GBK" w:eastAsia="方正书宋_GBK"/>
              </w:rPr>
            </w:pPr>
          </w:p>
        </w:tc>
        <w:tc>
          <w:tcPr>
            <w:tcW w:w="2976" w:type="dxa"/>
            <w:vMerge w:val="continue"/>
            <w:vAlign w:val="center"/>
          </w:tcPr>
          <w:p w14:paraId="3A117C6C">
            <w:pPr>
              <w:spacing w:line="300" w:lineRule="exact"/>
              <w:jc w:val="left"/>
              <w:rPr>
                <w:rFonts w:ascii="方正书宋_GBK" w:eastAsia="方正书宋_GBK"/>
              </w:rPr>
            </w:pPr>
          </w:p>
        </w:tc>
        <w:tc>
          <w:tcPr>
            <w:tcW w:w="2976" w:type="dxa"/>
            <w:vMerge w:val="continue"/>
            <w:vAlign w:val="center"/>
          </w:tcPr>
          <w:p w14:paraId="56A37987">
            <w:pPr>
              <w:spacing w:line="300" w:lineRule="exact"/>
              <w:jc w:val="left"/>
              <w:rPr>
                <w:rFonts w:ascii="方正书宋_GBK" w:eastAsia="方正书宋_GBK"/>
              </w:rPr>
            </w:pPr>
          </w:p>
        </w:tc>
        <w:tc>
          <w:tcPr>
            <w:tcW w:w="1417" w:type="dxa"/>
            <w:vAlign w:val="center"/>
          </w:tcPr>
          <w:p w14:paraId="37B4BC15">
            <w:pPr>
              <w:spacing w:line="300" w:lineRule="exact"/>
              <w:jc w:val="left"/>
              <w:rPr>
                <w:rFonts w:ascii="方正书宋_GBK" w:eastAsia="方正书宋_GBK"/>
              </w:rPr>
            </w:pPr>
            <w:r>
              <w:rPr>
                <w:rFonts w:hint="eastAsia" w:ascii="方正书宋_GBK" w:eastAsia="方正书宋_GBK"/>
              </w:rPr>
              <w:t>卫生工作完成率</w:t>
            </w:r>
          </w:p>
        </w:tc>
        <w:tc>
          <w:tcPr>
            <w:tcW w:w="737" w:type="dxa"/>
            <w:vAlign w:val="center"/>
          </w:tcPr>
          <w:p w14:paraId="65509E9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B6B89D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3653B3D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9474CB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775C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297A3ADD">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、计生专项</w:t>
            </w:r>
          </w:p>
        </w:tc>
        <w:tc>
          <w:tcPr>
            <w:tcW w:w="1276" w:type="dxa"/>
            <w:vMerge w:val="restart"/>
            <w:vAlign w:val="center"/>
          </w:tcPr>
          <w:p w14:paraId="34F87EE5">
            <w:pPr>
              <w:spacing w:line="300" w:lineRule="exact"/>
              <w:jc w:val="left"/>
              <w:rPr>
                <w:rFonts w:ascii="方正书宋_GBK" w:eastAsia="方正书宋_GBK"/>
              </w:rPr>
            </w:pPr>
          </w:p>
        </w:tc>
        <w:tc>
          <w:tcPr>
            <w:tcW w:w="2976" w:type="dxa"/>
            <w:vMerge w:val="restart"/>
            <w:vAlign w:val="center"/>
          </w:tcPr>
          <w:p w14:paraId="43571BAE">
            <w:pPr>
              <w:spacing w:line="300" w:lineRule="exact"/>
              <w:jc w:val="left"/>
              <w:rPr>
                <w:rFonts w:ascii="方正书宋_GBK" w:eastAsia="方正书宋_GBK"/>
              </w:rPr>
            </w:pPr>
            <w:r>
              <w:rPr>
                <w:rFonts w:hint="eastAsia" w:ascii="方正书宋_GBK" w:eastAsia="方正书宋_GBK"/>
              </w:rPr>
              <w:t>负责计划生育技术服务及人口生育管理，负责育龄妇女普查、妇女病防治、四术及协会等项工作。</w:t>
            </w:r>
          </w:p>
        </w:tc>
        <w:tc>
          <w:tcPr>
            <w:tcW w:w="2976" w:type="dxa"/>
            <w:vMerge w:val="restart"/>
            <w:vAlign w:val="center"/>
          </w:tcPr>
          <w:p w14:paraId="540C5BC7">
            <w:pPr>
              <w:spacing w:line="300" w:lineRule="exact"/>
              <w:jc w:val="left"/>
              <w:rPr>
                <w:rFonts w:ascii="方正书宋_GBK" w:eastAsia="方正书宋_GBK"/>
              </w:rPr>
            </w:pPr>
            <w:r>
              <w:rPr>
                <w:rFonts w:hint="eastAsia" w:ascii="方正书宋_GBK" w:eastAsia="方正书宋_GBK"/>
              </w:rPr>
              <w:t>完成已婚育龄妇女生殖健康检查及普查工作，做好孕前优生检测指导。</w:t>
            </w:r>
          </w:p>
        </w:tc>
        <w:tc>
          <w:tcPr>
            <w:tcW w:w="1417" w:type="dxa"/>
            <w:vAlign w:val="center"/>
          </w:tcPr>
          <w:p w14:paraId="27E594BA">
            <w:pPr>
              <w:spacing w:line="300" w:lineRule="exact"/>
              <w:jc w:val="left"/>
              <w:rPr>
                <w:rFonts w:ascii="方正书宋_GBK" w:eastAsia="方正书宋_GBK"/>
              </w:rPr>
            </w:pPr>
            <w:r>
              <w:rPr>
                <w:rFonts w:hint="eastAsia" w:ascii="方正书宋_GBK" w:eastAsia="方正书宋_GBK"/>
              </w:rPr>
              <w:t>各项计生奖励扶助、关怀资金发放率</w:t>
            </w:r>
          </w:p>
        </w:tc>
        <w:tc>
          <w:tcPr>
            <w:tcW w:w="737" w:type="dxa"/>
            <w:vAlign w:val="center"/>
          </w:tcPr>
          <w:p w14:paraId="2E42F227">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5D97C90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3C5199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F165AF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14:paraId="5E2A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164335A8">
            <w:pPr>
              <w:spacing w:line="300" w:lineRule="exact"/>
              <w:jc w:val="left"/>
              <w:rPr>
                <w:rFonts w:ascii="方正书宋_GBK" w:eastAsia="方正书宋_GBK"/>
                <w:b/>
              </w:rPr>
            </w:pPr>
          </w:p>
        </w:tc>
        <w:tc>
          <w:tcPr>
            <w:tcW w:w="1276" w:type="dxa"/>
            <w:vMerge w:val="continue"/>
            <w:vAlign w:val="center"/>
          </w:tcPr>
          <w:p w14:paraId="77C237F4">
            <w:pPr>
              <w:spacing w:line="300" w:lineRule="exact"/>
              <w:jc w:val="left"/>
              <w:rPr>
                <w:rFonts w:ascii="方正书宋_GBK" w:eastAsia="方正书宋_GBK"/>
              </w:rPr>
            </w:pPr>
          </w:p>
        </w:tc>
        <w:tc>
          <w:tcPr>
            <w:tcW w:w="2976" w:type="dxa"/>
            <w:vMerge w:val="continue"/>
            <w:vAlign w:val="center"/>
          </w:tcPr>
          <w:p w14:paraId="6FF5D936">
            <w:pPr>
              <w:spacing w:line="300" w:lineRule="exact"/>
              <w:jc w:val="left"/>
              <w:rPr>
                <w:rFonts w:ascii="方正书宋_GBK" w:eastAsia="方正书宋_GBK"/>
              </w:rPr>
            </w:pPr>
          </w:p>
        </w:tc>
        <w:tc>
          <w:tcPr>
            <w:tcW w:w="2976" w:type="dxa"/>
            <w:vMerge w:val="continue"/>
            <w:vAlign w:val="center"/>
          </w:tcPr>
          <w:p w14:paraId="66A9C1A5">
            <w:pPr>
              <w:spacing w:line="300" w:lineRule="exact"/>
              <w:jc w:val="left"/>
              <w:rPr>
                <w:rFonts w:ascii="方正书宋_GBK" w:eastAsia="方正书宋_GBK"/>
              </w:rPr>
            </w:pPr>
          </w:p>
        </w:tc>
        <w:tc>
          <w:tcPr>
            <w:tcW w:w="1417" w:type="dxa"/>
            <w:vAlign w:val="center"/>
          </w:tcPr>
          <w:p w14:paraId="69821FDB">
            <w:pPr>
              <w:spacing w:line="300" w:lineRule="exact"/>
              <w:jc w:val="left"/>
              <w:rPr>
                <w:rFonts w:ascii="方正书宋_GBK" w:eastAsia="方正书宋_GBK"/>
              </w:rPr>
            </w:pPr>
            <w:r>
              <w:rPr>
                <w:rFonts w:hint="eastAsia" w:ascii="方正书宋_GBK" w:eastAsia="方正书宋_GBK"/>
              </w:rPr>
              <w:t>计划生育家庭特别扶助专项资金发放率</w:t>
            </w:r>
          </w:p>
        </w:tc>
        <w:tc>
          <w:tcPr>
            <w:tcW w:w="737" w:type="dxa"/>
            <w:vAlign w:val="center"/>
          </w:tcPr>
          <w:p w14:paraId="57003843">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3664238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ED68DE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C3CEA3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14:paraId="685B5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7C1E43CA">
            <w:pPr>
              <w:spacing w:line="300" w:lineRule="exact"/>
              <w:jc w:val="left"/>
              <w:rPr>
                <w:rFonts w:ascii="方正书宋_GBK" w:eastAsia="方正书宋_GBK"/>
                <w:b/>
              </w:rPr>
            </w:pPr>
          </w:p>
        </w:tc>
        <w:tc>
          <w:tcPr>
            <w:tcW w:w="1276" w:type="dxa"/>
            <w:vMerge w:val="continue"/>
            <w:vAlign w:val="center"/>
          </w:tcPr>
          <w:p w14:paraId="608319DC">
            <w:pPr>
              <w:spacing w:line="300" w:lineRule="exact"/>
              <w:jc w:val="left"/>
              <w:rPr>
                <w:rFonts w:ascii="方正书宋_GBK" w:eastAsia="方正书宋_GBK"/>
              </w:rPr>
            </w:pPr>
          </w:p>
        </w:tc>
        <w:tc>
          <w:tcPr>
            <w:tcW w:w="2976" w:type="dxa"/>
            <w:vMerge w:val="continue"/>
            <w:vAlign w:val="center"/>
          </w:tcPr>
          <w:p w14:paraId="15D6E3CC">
            <w:pPr>
              <w:spacing w:line="300" w:lineRule="exact"/>
              <w:jc w:val="left"/>
              <w:rPr>
                <w:rFonts w:ascii="方正书宋_GBK" w:eastAsia="方正书宋_GBK"/>
              </w:rPr>
            </w:pPr>
          </w:p>
        </w:tc>
        <w:tc>
          <w:tcPr>
            <w:tcW w:w="2976" w:type="dxa"/>
            <w:vMerge w:val="continue"/>
            <w:vAlign w:val="center"/>
          </w:tcPr>
          <w:p w14:paraId="378EB89D">
            <w:pPr>
              <w:spacing w:line="300" w:lineRule="exact"/>
              <w:jc w:val="left"/>
              <w:rPr>
                <w:rFonts w:ascii="方正书宋_GBK" w:eastAsia="方正书宋_GBK"/>
              </w:rPr>
            </w:pPr>
          </w:p>
        </w:tc>
        <w:tc>
          <w:tcPr>
            <w:tcW w:w="1417" w:type="dxa"/>
            <w:vAlign w:val="center"/>
          </w:tcPr>
          <w:p w14:paraId="6A6E254F">
            <w:pPr>
              <w:spacing w:line="300" w:lineRule="exact"/>
              <w:jc w:val="left"/>
              <w:rPr>
                <w:rFonts w:ascii="方正书宋_GBK" w:eastAsia="方正书宋_GBK"/>
              </w:rPr>
            </w:pPr>
            <w:r>
              <w:rPr>
                <w:rFonts w:hint="eastAsia" w:ascii="方正书宋_GBK" w:eastAsia="方正书宋_GBK"/>
              </w:rPr>
              <w:t>孕前优生参检率</w:t>
            </w:r>
          </w:p>
        </w:tc>
        <w:tc>
          <w:tcPr>
            <w:tcW w:w="737" w:type="dxa"/>
            <w:vAlign w:val="center"/>
          </w:tcPr>
          <w:p w14:paraId="07DD57C8">
            <w:pPr>
              <w:spacing w:line="300" w:lineRule="exact"/>
              <w:jc w:val="center"/>
              <w:rPr>
                <w:rFonts w:ascii="方正书宋_GBK" w:eastAsia="方正书宋_GBK"/>
              </w:rPr>
            </w:pPr>
            <w:r>
              <w:rPr>
                <w:rFonts w:ascii="方正书宋_GBK" w:eastAsia="方正书宋_GBK"/>
              </w:rPr>
              <w:t>100%</w:t>
            </w:r>
          </w:p>
        </w:tc>
        <w:tc>
          <w:tcPr>
            <w:tcW w:w="737" w:type="dxa"/>
            <w:vAlign w:val="center"/>
          </w:tcPr>
          <w:p w14:paraId="2A18258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1416C2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C93236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14:paraId="6BF4E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000E94A9">
            <w:pPr>
              <w:spacing w:line="300" w:lineRule="exact"/>
              <w:jc w:val="left"/>
              <w:rPr>
                <w:rFonts w:ascii="方正书宋_GBK" w:eastAsia="方正书宋_GBK"/>
                <w:b/>
              </w:rPr>
            </w:pPr>
            <w:r>
              <w:rPr>
                <w:rFonts w:hint="eastAsia" w:ascii="方正书宋_GBK" w:eastAsia="方正书宋_GBK"/>
                <w:b/>
              </w:rPr>
              <w:t>四、文化综合服务</w:t>
            </w:r>
          </w:p>
        </w:tc>
        <w:tc>
          <w:tcPr>
            <w:tcW w:w="1276" w:type="dxa"/>
            <w:vAlign w:val="center"/>
          </w:tcPr>
          <w:p w14:paraId="258EEC63">
            <w:pPr>
              <w:spacing w:line="300" w:lineRule="exact"/>
              <w:jc w:val="left"/>
              <w:rPr>
                <w:rFonts w:ascii="方正书宋_GBK" w:eastAsia="方正书宋_GBK"/>
              </w:rPr>
            </w:pPr>
            <w:r>
              <w:rPr>
                <w:rFonts w:ascii="方正书宋_GBK" w:eastAsia="方正书宋_GBK"/>
              </w:rPr>
              <w:t>15.50</w:t>
            </w:r>
          </w:p>
        </w:tc>
        <w:tc>
          <w:tcPr>
            <w:tcW w:w="2976" w:type="dxa"/>
            <w:vAlign w:val="center"/>
          </w:tcPr>
          <w:p w14:paraId="4F706FAF">
            <w:pPr>
              <w:spacing w:line="300" w:lineRule="exact"/>
              <w:jc w:val="left"/>
              <w:rPr>
                <w:rFonts w:ascii="方正书宋_GBK" w:eastAsia="方正书宋_GBK"/>
              </w:rPr>
            </w:pPr>
            <w:r>
              <w:rPr>
                <w:rFonts w:hint="eastAsia" w:ascii="方正书宋_GBK" w:eastAsia="方正书宋_GBK"/>
              </w:rPr>
              <w:t>负责群众文化娱乐、体育活动、广播电视村村通等工作。</w:t>
            </w:r>
          </w:p>
        </w:tc>
        <w:tc>
          <w:tcPr>
            <w:tcW w:w="2976" w:type="dxa"/>
            <w:vAlign w:val="center"/>
          </w:tcPr>
          <w:p w14:paraId="60A1E51C">
            <w:pPr>
              <w:spacing w:line="300" w:lineRule="exact"/>
              <w:jc w:val="left"/>
              <w:rPr>
                <w:rFonts w:ascii="方正书宋_GBK" w:eastAsia="方正书宋_GBK"/>
              </w:rPr>
            </w:pPr>
            <w:r>
              <w:rPr>
                <w:rFonts w:hint="eastAsia" w:ascii="方正书宋_GBK" w:eastAsia="方正书宋_GBK"/>
              </w:rPr>
              <w:t>文化指导及相关培训；组织群众性文体活动及交流；组织农村党员干部现代远程教育教学</w:t>
            </w:r>
          </w:p>
        </w:tc>
        <w:tc>
          <w:tcPr>
            <w:tcW w:w="1417" w:type="dxa"/>
            <w:vAlign w:val="center"/>
          </w:tcPr>
          <w:p w14:paraId="5C8953B0">
            <w:pPr>
              <w:spacing w:line="300" w:lineRule="exact"/>
              <w:jc w:val="left"/>
              <w:rPr>
                <w:rFonts w:ascii="方正书宋_GBK" w:eastAsia="方正书宋_GBK"/>
              </w:rPr>
            </w:pPr>
          </w:p>
        </w:tc>
        <w:tc>
          <w:tcPr>
            <w:tcW w:w="737" w:type="dxa"/>
            <w:vAlign w:val="center"/>
          </w:tcPr>
          <w:p w14:paraId="4BD36BC7">
            <w:pPr>
              <w:spacing w:line="300" w:lineRule="exact"/>
              <w:jc w:val="center"/>
              <w:rPr>
                <w:rFonts w:ascii="方正书宋_GBK" w:eastAsia="方正书宋_GBK"/>
              </w:rPr>
            </w:pPr>
          </w:p>
        </w:tc>
        <w:tc>
          <w:tcPr>
            <w:tcW w:w="737" w:type="dxa"/>
            <w:vAlign w:val="center"/>
          </w:tcPr>
          <w:p w14:paraId="4736754D">
            <w:pPr>
              <w:spacing w:line="300" w:lineRule="exact"/>
              <w:jc w:val="center"/>
              <w:rPr>
                <w:rFonts w:ascii="方正书宋_GBK" w:eastAsia="方正书宋_GBK"/>
              </w:rPr>
            </w:pPr>
          </w:p>
        </w:tc>
        <w:tc>
          <w:tcPr>
            <w:tcW w:w="737" w:type="dxa"/>
            <w:vAlign w:val="center"/>
          </w:tcPr>
          <w:p w14:paraId="7452967A">
            <w:pPr>
              <w:spacing w:line="300" w:lineRule="exact"/>
              <w:jc w:val="center"/>
              <w:rPr>
                <w:rFonts w:ascii="方正书宋_GBK" w:eastAsia="方正书宋_GBK"/>
              </w:rPr>
            </w:pPr>
          </w:p>
        </w:tc>
        <w:tc>
          <w:tcPr>
            <w:tcW w:w="737" w:type="dxa"/>
            <w:vAlign w:val="center"/>
          </w:tcPr>
          <w:p w14:paraId="08379C84">
            <w:pPr>
              <w:spacing w:line="300" w:lineRule="exact"/>
              <w:jc w:val="center"/>
              <w:rPr>
                <w:rFonts w:ascii="方正书宋_GBK" w:eastAsia="方正书宋_GBK"/>
              </w:rPr>
            </w:pPr>
          </w:p>
        </w:tc>
      </w:tr>
      <w:tr w14:paraId="2326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1710774E">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、文化专项</w:t>
            </w:r>
          </w:p>
        </w:tc>
        <w:tc>
          <w:tcPr>
            <w:tcW w:w="1276" w:type="dxa"/>
            <w:vMerge w:val="restart"/>
            <w:vAlign w:val="center"/>
          </w:tcPr>
          <w:p w14:paraId="2C432595">
            <w:pPr>
              <w:spacing w:line="300" w:lineRule="exact"/>
              <w:jc w:val="left"/>
              <w:rPr>
                <w:rFonts w:ascii="方正书宋_GBK" w:eastAsia="方正书宋_GBK"/>
              </w:rPr>
            </w:pPr>
            <w:r>
              <w:rPr>
                <w:rFonts w:ascii="方正书宋_GBK" w:eastAsia="方正书宋_GBK"/>
              </w:rPr>
              <w:t>15.50</w:t>
            </w:r>
          </w:p>
        </w:tc>
        <w:tc>
          <w:tcPr>
            <w:tcW w:w="2976" w:type="dxa"/>
            <w:vMerge w:val="restart"/>
            <w:vAlign w:val="center"/>
          </w:tcPr>
          <w:p w14:paraId="17BFC599">
            <w:pPr>
              <w:spacing w:line="300" w:lineRule="exact"/>
              <w:jc w:val="left"/>
              <w:rPr>
                <w:rFonts w:ascii="方正书宋_GBK" w:eastAsia="方正书宋_GBK"/>
              </w:rPr>
            </w:pPr>
            <w:r>
              <w:rPr>
                <w:rFonts w:hint="eastAsia" w:ascii="方正书宋_GBK" w:eastAsia="方正书宋_GBK"/>
              </w:rPr>
              <w:t>负责群众文化娱乐、体育活动、广播电视村村通等工作。</w:t>
            </w:r>
          </w:p>
        </w:tc>
        <w:tc>
          <w:tcPr>
            <w:tcW w:w="2976" w:type="dxa"/>
            <w:vMerge w:val="restart"/>
            <w:vAlign w:val="center"/>
          </w:tcPr>
          <w:p w14:paraId="394FC3BD">
            <w:pPr>
              <w:spacing w:line="300" w:lineRule="exact"/>
              <w:jc w:val="left"/>
              <w:rPr>
                <w:rFonts w:ascii="方正书宋_GBK" w:eastAsia="方正书宋_GBK"/>
              </w:rPr>
            </w:pPr>
            <w:r>
              <w:rPr>
                <w:rFonts w:hint="eastAsia" w:ascii="方正书宋_GBK" w:eastAsia="方正书宋_GBK"/>
              </w:rPr>
              <w:t>加强组织群众性体育活动</w:t>
            </w:r>
            <w:r>
              <w:rPr>
                <w:rFonts w:ascii="方正书宋_GBK" w:eastAsia="方正书宋_GBK"/>
              </w:rPr>
              <w:t>,</w:t>
            </w:r>
            <w:r>
              <w:rPr>
                <w:rFonts w:hint="eastAsia" w:ascii="方正书宋_GBK" w:eastAsia="方正书宋_GBK"/>
              </w:rPr>
              <w:t>提高基层群众身体健康素质</w:t>
            </w:r>
          </w:p>
        </w:tc>
        <w:tc>
          <w:tcPr>
            <w:tcW w:w="1417" w:type="dxa"/>
            <w:vAlign w:val="center"/>
          </w:tcPr>
          <w:p w14:paraId="1BB9DB72">
            <w:pPr>
              <w:spacing w:line="300" w:lineRule="exact"/>
              <w:jc w:val="left"/>
              <w:rPr>
                <w:rFonts w:ascii="方正书宋_GBK" w:eastAsia="方正书宋_GBK"/>
              </w:rPr>
            </w:pPr>
            <w:r>
              <w:rPr>
                <w:rFonts w:hint="eastAsia" w:ascii="方正书宋_GBK" w:eastAsia="方正书宋_GBK"/>
              </w:rPr>
              <w:t>文化活动举办率</w:t>
            </w:r>
          </w:p>
        </w:tc>
        <w:tc>
          <w:tcPr>
            <w:tcW w:w="737" w:type="dxa"/>
            <w:vAlign w:val="center"/>
          </w:tcPr>
          <w:p w14:paraId="13C13C0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966823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22F09F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5D2E183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4F5F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00BE1649">
            <w:pPr>
              <w:spacing w:line="300" w:lineRule="exact"/>
              <w:jc w:val="left"/>
              <w:rPr>
                <w:rFonts w:ascii="方正书宋_GBK" w:eastAsia="方正书宋_GBK"/>
                <w:b/>
              </w:rPr>
            </w:pPr>
          </w:p>
        </w:tc>
        <w:tc>
          <w:tcPr>
            <w:tcW w:w="1276" w:type="dxa"/>
            <w:vMerge w:val="continue"/>
            <w:vAlign w:val="center"/>
          </w:tcPr>
          <w:p w14:paraId="71851B39">
            <w:pPr>
              <w:spacing w:line="300" w:lineRule="exact"/>
              <w:jc w:val="left"/>
              <w:rPr>
                <w:rFonts w:ascii="方正书宋_GBK" w:eastAsia="方正书宋_GBK"/>
              </w:rPr>
            </w:pPr>
          </w:p>
        </w:tc>
        <w:tc>
          <w:tcPr>
            <w:tcW w:w="2976" w:type="dxa"/>
            <w:vMerge w:val="continue"/>
            <w:vAlign w:val="center"/>
          </w:tcPr>
          <w:p w14:paraId="24388EB3">
            <w:pPr>
              <w:spacing w:line="300" w:lineRule="exact"/>
              <w:jc w:val="left"/>
              <w:rPr>
                <w:rFonts w:ascii="方正书宋_GBK" w:eastAsia="方正书宋_GBK"/>
              </w:rPr>
            </w:pPr>
          </w:p>
        </w:tc>
        <w:tc>
          <w:tcPr>
            <w:tcW w:w="2976" w:type="dxa"/>
            <w:vMerge w:val="continue"/>
            <w:vAlign w:val="center"/>
          </w:tcPr>
          <w:p w14:paraId="7FB56802">
            <w:pPr>
              <w:spacing w:line="300" w:lineRule="exact"/>
              <w:jc w:val="left"/>
              <w:rPr>
                <w:rFonts w:ascii="方正书宋_GBK" w:eastAsia="方正书宋_GBK"/>
              </w:rPr>
            </w:pPr>
          </w:p>
        </w:tc>
        <w:tc>
          <w:tcPr>
            <w:tcW w:w="1417" w:type="dxa"/>
            <w:vAlign w:val="center"/>
          </w:tcPr>
          <w:p w14:paraId="61CACABF">
            <w:pPr>
              <w:spacing w:line="300" w:lineRule="exact"/>
              <w:jc w:val="left"/>
              <w:rPr>
                <w:rFonts w:ascii="方正书宋_GBK" w:eastAsia="方正书宋_GBK"/>
              </w:rPr>
            </w:pPr>
            <w:r>
              <w:rPr>
                <w:rFonts w:hint="eastAsia" w:ascii="方正书宋_GBK" w:eastAsia="方正书宋_GBK"/>
              </w:rPr>
              <w:t>群众的参与度</w:t>
            </w:r>
          </w:p>
        </w:tc>
        <w:tc>
          <w:tcPr>
            <w:tcW w:w="737" w:type="dxa"/>
            <w:vAlign w:val="center"/>
          </w:tcPr>
          <w:p w14:paraId="6AF5AE9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B07CE3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17ADCA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2336E16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11B9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62C12BC">
            <w:pPr>
              <w:spacing w:line="300" w:lineRule="exact"/>
              <w:jc w:val="left"/>
              <w:rPr>
                <w:rFonts w:ascii="方正书宋_GBK" w:eastAsia="方正书宋_GBK"/>
                <w:b/>
              </w:rPr>
            </w:pPr>
            <w:r>
              <w:rPr>
                <w:rFonts w:hint="eastAsia" w:ascii="方正书宋_GBK" w:eastAsia="方正书宋_GBK"/>
                <w:b/>
              </w:rPr>
              <w:t>五、社会保障服务</w:t>
            </w:r>
          </w:p>
        </w:tc>
        <w:tc>
          <w:tcPr>
            <w:tcW w:w="1276" w:type="dxa"/>
            <w:vAlign w:val="center"/>
          </w:tcPr>
          <w:p w14:paraId="41102156">
            <w:pPr>
              <w:spacing w:line="300" w:lineRule="exact"/>
              <w:jc w:val="left"/>
              <w:rPr>
                <w:rFonts w:ascii="方正书宋_GBK" w:eastAsia="方正书宋_GBK"/>
              </w:rPr>
            </w:pPr>
          </w:p>
        </w:tc>
        <w:tc>
          <w:tcPr>
            <w:tcW w:w="2976" w:type="dxa"/>
            <w:vAlign w:val="center"/>
          </w:tcPr>
          <w:p w14:paraId="5D640390">
            <w:pPr>
              <w:spacing w:line="300" w:lineRule="exact"/>
              <w:jc w:val="left"/>
              <w:rPr>
                <w:rFonts w:ascii="方正书宋_GBK" w:eastAsia="方正书宋_GBK"/>
              </w:rPr>
            </w:pPr>
            <w:r>
              <w:rPr>
                <w:rFonts w:hint="eastAsia" w:ascii="方正书宋_GBK" w:eastAsia="方正书宋_GBK"/>
              </w:rPr>
              <w:t>配合劳动保障部门做好劳动法的宣传贯彻、劳动就业、社会保障等工作。配合安全生产监督管理部门做好安全生产监督管理等工作。</w:t>
            </w:r>
          </w:p>
        </w:tc>
        <w:tc>
          <w:tcPr>
            <w:tcW w:w="2976" w:type="dxa"/>
            <w:vAlign w:val="center"/>
          </w:tcPr>
          <w:p w14:paraId="0EF7CB22">
            <w:pPr>
              <w:spacing w:line="300" w:lineRule="exact"/>
              <w:jc w:val="left"/>
              <w:rPr>
                <w:rFonts w:ascii="方正书宋_GBK" w:eastAsia="方正书宋_GBK"/>
              </w:rPr>
            </w:pPr>
            <w:r>
              <w:rPr>
                <w:rFonts w:hint="eastAsia" w:ascii="方正书宋_GBK" w:eastAsia="方正书宋_GBK"/>
              </w:rPr>
              <w:t>保障部门做好相关宣传咨询工作；农村居民养老保险、民政低保、残疾、社会捐赠等事务办理等服务；配合安全生产监督管理部门做好安全生产监督管理等工作</w:t>
            </w:r>
          </w:p>
        </w:tc>
        <w:tc>
          <w:tcPr>
            <w:tcW w:w="1417" w:type="dxa"/>
            <w:vAlign w:val="center"/>
          </w:tcPr>
          <w:p w14:paraId="54D1F1D8">
            <w:pPr>
              <w:spacing w:line="300" w:lineRule="exact"/>
              <w:jc w:val="left"/>
              <w:rPr>
                <w:rFonts w:ascii="方正书宋_GBK" w:eastAsia="方正书宋_GBK"/>
              </w:rPr>
            </w:pPr>
          </w:p>
        </w:tc>
        <w:tc>
          <w:tcPr>
            <w:tcW w:w="737" w:type="dxa"/>
            <w:vAlign w:val="center"/>
          </w:tcPr>
          <w:p w14:paraId="6E4D12D6">
            <w:pPr>
              <w:spacing w:line="300" w:lineRule="exact"/>
              <w:jc w:val="center"/>
              <w:rPr>
                <w:rFonts w:ascii="方正书宋_GBK" w:eastAsia="方正书宋_GBK"/>
              </w:rPr>
            </w:pPr>
          </w:p>
        </w:tc>
        <w:tc>
          <w:tcPr>
            <w:tcW w:w="737" w:type="dxa"/>
            <w:vAlign w:val="center"/>
          </w:tcPr>
          <w:p w14:paraId="25F6949D">
            <w:pPr>
              <w:spacing w:line="300" w:lineRule="exact"/>
              <w:jc w:val="center"/>
              <w:rPr>
                <w:rFonts w:ascii="方正书宋_GBK" w:eastAsia="方正书宋_GBK"/>
              </w:rPr>
            </w:pPr>
          </w:p>
        </w:tc>
        <w:tc>
          <w:tcPr>
            <w:tcW w:w="737" w:type="dxa"/>
            <w:vAlign w:val="center"/>
          </w:tcPr>
          <w:p w14:paraId="25642EA6">
            <w:pPr>
              <w:spacing w:line="300" w:lineRule="exact"/>
              <w:jc w:val="center"/>
              <w:rPr>
                <w:rFonts w:ascii="方正书宋_GBK" w:eastAsia="方正书宋_GBK"/>
              </w:rPr>
            </w:pPr>
          </w:p>
        </w:tc>
        <w:tc>
          <w:tcPr>
            <w:tcW w:w="737" w:type="dxa"/>
            <w:vAlign w:val="center"/>
          </w:tcPr>
          <w:p w14:paraId="1DC5B66C">
            <w:pPr>
              <w:spacing w:line="300" w:lineRule="exact"/>
              <w:jc w:val="center"/>
              <w:rPr>
                <w:rFonts w:ascii="方正书宋_GBK" w:eastAsia="方正书宋_GBK"/>
              </w:rPr>
            </w:pPr>
          </w:p>
        </w:tc>
      </w:tr>
      <w:tr w14:paraId="7714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30A405F5">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、社保专项</w:t>
            </w:r>
          </w:p>
        </w:tc>
        <w:tc>
          <w:tcPr>
            <w:tcW w:w="1276" w:type="dxa"/>
            <w:vMerge w:val="restart"/>
            <w:vAlign w:val="center"/>
          </w:tcPr>
          <w:p w14:paraId="779CC4AA">
            <w:pPr>
              <w:spacing w:line="300" w:lineRule="exact"/>
              <w:jc w:val="left"/>
              <w:rPr>
                <w:rFonts w:ascii="方正书宋_GBK" w:eastAsia="方正书宋_GBK"/>
              </w:rPr>
            </w:pPr>
          </w:p>
        </w:tc>
        <w:tc>
          <w:tcPr>
            <w:tcW w:w="2976" w:type="dxa"/>
            <w:vMerge w:val="restart"/>
            <w:vAlign w:val="center"/>
          </w:tcPr>
          <w:p w14:paraId="781DDDDA">
            <w:pPr>
              <w:spacing w:line="300" w:lineRule="exact"/>
              <w:jc w:val="left"/>
              <w:rPr>
                <w:rFonts w:ascii="方正书宋_GBK" w:eastAsia="方正书宋_GBK"/>
              </w:rPr>
            </w:pPr>
            <w:r>
              <w:rPr>
                <w:rFonts w:hint="eastAsia" w:ascii="方正书宋_GBK" w:eastAsia="方正书宋_GBK"/>
              </w:rPr>
              <w:t>配合劳动保障部门做好劳动法的宣传贯彻、劳动就业、社会保障等工作。配合安全生产监督管理部门做好安全生产监督管理等工作。</w:t>
            </w:r>
          </w:p>
        </w:tc>
        <w:tc>
          <w:tcPr>
            <w:tcW w:w="2976" w:type="dxa"/>
            <w:vMerge w:val="restart"/>
            <w:vAlign w:val="center"/>
          </w:tcPr>
          <w:p w14:paraId="32438444">
            <w:pPr>
              <w:spacing w:line="300" w:lineRule="exact"/>
              <w:jc w:val="left"/>
              <w:rPr>
                <w:rFonts w:ascii="方正书宋_GBK" w:eastAsia="方正书宋_GBK"/>
              </w:rPr>
            </w:pPr>
            <w:r>
              <w:rPr>
                <w:rFonts w:hint="eastAsia" w:ascii="方正书宋_GBK" w:eastAsia="方正书宋_GBK"/>
              </w:rPr>
              <w:t>督导检查我镇安全生产，最大限度地发现、纠正、督促企业消除各类隐患，预防和减少事故的发生，确保我镇安全生产形势持续稳定好转</w:t>
            </w:r>
          </w:p>
        </w:tc>
        <w:tc>
          <w:tcPr>
            <w:tcW w:w="1417" w:type="dxa"/>
            <w:vAlign w:val="center"/>
          </w:tcPr>
          <w:p w14:paraId="0E9A52DD">
            <w:pPr>
              <w:spacing w:line="300" w:lineRule="exact"/>
              <w:jc w:val="left"/>
              <w:rPr>
                <w:rFonts w:ascii="方正书宋_GBK" w:eastAsia="方正书宋_GBK"/>
              </w:rPr>
            </w:pPr>
            <w:r>
              <w:rPr>
                <w:rFonts w:hint="eastAsia" w:ascii="方正书宋_GBK" w:eastAsia="方正书宋_GBK"/>
              </w:rPr>
              <w:t>事务办理率</w:t>
            </w:r>
          </w:p>
        </w:tc>
        <w:tc>
          <w:tcPr>
            <w:tcW w:w="737" w:type="dxa"/>
            <w:vAlign w:val="center"/>
          </w:tcPr>
          <w:p w14:paraId="552351A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DB4B44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AB26E1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2A02298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70B0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2931D978">
            <w:pPr>
              <w:spacing w:line="300" w:lineRule="exact"/>
              <w:jc w:val="left"/>
              <w:rPr>
                <w:rFonts w:ascii="方正书宋_GBK" w:eastAsia="方正书宋_GBK"/>
                <w:b/>
              </w:rPr>
            </w:pPr>
          </w:p>
        </w:tc>
        <w:tc>
          <w:tcPr>
            <w:tcW w:w="1276" w:type="dxa"/>
            <w:vMerge w:val="continue"/>
            <w:vAlign w:val="center"/>
          </w:tcPr>
          <w:p w14:paraId="3694E2DA">
            <w:pPr>
              <w:spacing w:line="300" w:lineRule="exact"/>
              <w:jc w:val="left"/>
              <w:rPr>
                <w:rFonts w:ascii="方正书宋_GBK" w:eastAsia="方正书宋_GBK"/>
              </w:rPr>
            </w:pPr>
          </w:p>
        </w:tc>
        <w:tc>
          <w:tcPr>
            <w:tcW w:w="2976" w:type="dxa"/>
            <w:vMerge w:val="continue"/>
            <w:vAlign w:val="center"/>
          </w:tcPr>
          <w:p w14:paraId="4DBFD122">
            <w:pPr>
              <w:spacing w:line="300" w:lineRule="exact"/>
              <w:jc w:val="left"/>
              <w:rPr>
                <w:rFonts w:ascii="方正书宋_GBK" w:eastAsia="方正书宋_GBK"/>
              </w:rPr>
            </w:pPr>
          </w:p>
        </w:tc>
        <w:tc>
          <w:tcPr>
            <w:tcW w:w="2976" w:type="dxa"/>
            <w:vMerge w:val="continue"/>
            <w:vAlign w:val="center"/>
          </w:tcPr>
          <w:p w14:paraId="3AE5D7E2">
            <w:pPr>
              <w:spacing w:line="300" w:lineRule="exact"/>
              <w:jc w:val="left"/>
              <w:rPr>
                <w:rFonts w:ascii="方正书宋_GBK" w:eastAsia="方正书宋_GBK"/>
              </w:rPr>
            </w:pPr>
          </w:p>
        </w:tc>
        <w:tc>
          <w:tcPr>
            <w:tcW w:w="1417" w:type="dxa"/>
            <w:vAlign w:val="center"/>
          </w:tcPr>
          <w:p w14:paraId="47AFDAF7">
            <w:pPr>
              <w:spacing w:line="300" w:lineRule="exact"/>
              <w:jc w:val="left"/>
              <w:rPr>
                <w:rFonts w:ascii="方正书宋_GBK" w:eastAsia="方正书宋_GBK"/>
              </w:rPr>
            </w:pPr>
            <w:r>
              <w:rPr>
                <w:rFonts w:hint="eastAsia" w:ascii="方正书宋_GBK" w:eastAsia="方正书宋_GBK"/>
              </w:rPr>
              <w:t>隐患整改率</w:t>
            </w:r>
          </w:p>
        </w:tc>
        <w:tc>
          <w:tcPr>
            <w:tcW w:w="737" w:type="dxa"/>
            <w:vAlign w:val="center"/>
          </w:tcPr>
          <w:p w14:paraId="1A9B26D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B23369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769773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1C8E831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7E1A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F298EE4">
            <w:pPr>
              <w:spacing w:line="300" w:lineRule="exact"/>
              <w:jc w:val="left"/>
              <w:rPr>
                <w:rFonts w:ascii="方正书宋_GBK" w:eastAsia="方正书宋_GBK"/>
                <w:b/>
              </w:rPr>
            </w:pPr>
            <w:r>
              <w:rPr>
                <w:rFonts w:hint="eastAsia" w:ascii="方正书宋_GBK" w:eastAsia="方正书宋_GBK"/>
                <w:b/>
              </w:rPr>
              <w:t>六、城乡规划</w:t>
            </w:r>
          </w:p>
        </w:tc>
        <w:tc>
          <w:tcPr>
            <w:tcW w:w="1276" w:type="dxa"/>
            <w:vAlign w:val="center"/>
          </w:tcPr>
          <w:p w14:paraId="76A97553">
            <w:pPr>
              <w:spacing w:line="300" w:lineRule="exact"/>
              <w:jc w:val="left"/>
              <w:rPr>
                <w:rFonts w:ascii="方正书宋_GBK" w:eastAsia="方正书宋_GBK"/>
              </w:rPr>
            </w:pPr>
            <w:r>
              <w:rPr>
                <w:rFonts w:ascii="方正书宋_GBK" w:eastAsia="方正书宋_GBK"/>
              </w:rPr>
              <w:t>3661.00</w:t>
            </w:r>
          </w:p>
        </w:tc>
        <w:tc>
          <w:tcPr>
            <w:tcW w:w="2976" w:type="dxa"/>
            <w:vAlign w:val="center"/>
          </w:tcPr>
          <w:p w14:paraId="570207D3">
            <w:pPr>
              <w:spacing w:line="300" w:lineRule="exact"/>
              <w:jc w:val="left"/>
              <w:rPr>
                <w:rFonts w:ascii="方正书宋_GBK" w:eastAsia="方正书宋_GBK"/>
              </w:rPr>
            </w:pPr>
            <w:r>
              <w:rPr>
                <w:rFonts w:hint="eastAsia" w:ascii="方正书宋_GBK" w:eastAsia="方正书宋_GBK"/>
              </w:rPr>
              <w:t>制定城乡规划技术管理标准和导则。组织参与层面规划编制，依法编制总体规划、控制性详细规划和专项规划，并进行环境影响评价。对由政府审批的规划进行监督实施。</w:t>
            </w:r>
          </w:p>
        </w:tc>
        <w:tc>
          <w:tcPr>
            <w:tcW w:w="2976" w:type="dxa"/>
            <w:vAlign w:val="center"/>
          </w:tcPr>
          <w:p w14:paraId="0CC7AB06">
            <w:pPr>
              <w:spacing w:line="300" w:lineRule="exact"/>
              <w:jc w:val="left"/>
              <w:rPr>
                <w:rFonts w:ascii="方正书宋_GBK" w:eastAsia="方正书宋_GBK"/>
              </w:rPr>
            </w:pPr>
            <w:r>
              <w:rPr>
                <w:rFonts w:hint="eastAsia" w:ascii="方正书宋_GBK" w:eastAsia="方正书宋_GBK"/>
              </w:rPr>
              <w:t>加强城乡规划管理，协调城乡空间布局，改善人居环境，促进城乡经济社会全面协调可持续发展。</w:t>
            </w:r>
          </w:p>
        </w:tc>
        <w:tc>
          <w:tcPr>
            <w:tcW w:w="1417" w:type="dxa"/>
            <w:vAlign w:val="center"/>
          </w:tcPr>
          <w:p w14:paraId="3B95930C">
            <w:pPr>
              <w:spacing w:line="300" w:lineRule="exact"/>
              <w:jc w:val="left"/>
              <w:rPr>
                <w:rFonts w:ascii="方正书宋_GBK" w:eastAsia="方正书宋_GBK"/>
              </w:rPr>
            </w:pPr>
          </w:p>
        </w:tc>
        <w:tc>
          <w:tcPr>
            <w:tcW w:w="737" w:type="dxa"/>
            <w:vAlign w:val="center"/>
          </w:tcPr>
          <w:p w14:paraId="45ABD715">
            <w:pPr>
              <w:spacing w:line="300" w:lineRule="exact"/>
              <w:jc w:val="center"/>
              <w:rPr>
                <w:rFonts w:ascii="方正书宋_GBK" w:eastAsia="方正书宋_GBK"/>
              </w:rPr>
            </w:pPr>
          </w:p>
        </w:tc>
        <w:tc>
          <w:tcPr>
            <w:tcW w:w="737" w:type="dxa"/>
            <w:vAlign w:val="center"/>
          </w:tcPr>
          <w:p w14:paraId="7AEB8F9D">
            <w:pPr>
              <w:spacing w:line="300" w:lineRule="exact"/>
              <w:jc w:val="center"/>
              <w:rPr>
                <w:rFonts w:ascii="方正书宋_GBK" w:eastAsia="方正书宋_GBK"/>
              </w:rPr>
            </w:pPr>
          </w:p>
        </w:tc>
        <w:tc>
          <w:tcPr>
            <w:tcW w:w="737" w:type="dxa"/>
            <w:vAlign w:val="center"/>
          </w:tcPr>
          <w:p w14:paraId="0BBA2E01">
            <w:pPr>
              <w:spacing w:line="300" w:lineRule="exact"/>
              <w:jc w:val="center"/>
              <w:rPr>
                <w:rFonts w:ascii="方正书宋_GBK" w:eastAsia="方正书宋_GBK"/>
              </w:rPr>
            </w:pPr>
          </w:p>
        </w:tc>
        <w:tc>
          <w:tcPr>
            <w:tcW w:w="737" w:type="dxa"/>
            <w:vAlign w:val="center"/>
          </w:tcPr>
          <w:p w14:paraId="4A4C64F1">
            <w:pPr>
              <w:spacing w:line="300" w:lineRule="exact"/>
              <w:jc w:val="center"/>
              <w:rPr>
                <w:rFonts w:ascii="方正书宋_GBK" w:eastAsia="方正书宋_GBK"/>
              </w:rPr>
            </w:pPr>
          </w:p>
        </w:tc>
      </w:tr>
      <w:tr w14:paraId="6131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19A4E9AB">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、城乡规划制定、实施与监督</w:t>
            </w:r>
          </w:p>
        </w:tc>
        <w:tc>
          <w:tcPr>
            <w:tcW w:w="1276" w:type="dxa"/>
            <w:vAlign w:val="center"/>
          </w:tcPr>
          <w:p w14:paraId="18B86839">
            <w:pPr>
              <w:spacing w:line="300" w:lineRule="exact"/>
              <w:jc w:val="left"/>
              <w:rPr>
                <w:rFonts w:ascii="方正书宋_GBK" w:eastAsia="方正书宋_GBK"/>
              </w:rPr>
            </w:pPr>
            <w:r>
              <w:rPr>
                <w:rFonts w:ascii="方正书宋_GBK" w:eastAsia="方正书宋_GBK"/>
              </w:rPr>
              <w:t>3661.00</w:t>
            </w:r>
          </w:p>
        </w:tc>
        <w:tc>
          <w:tcPr>
            <w:tcW w:w="2976" w:type="dxa"/>
            <w:vAlign w:val="center"/>
          </w:tcPr>
          <w:p w14:paraId="6C48A7EC">
            <w:pPr>
              <w:spacing w:line="300" w:lineRule="exact"/>
              <w:jc w:val="left"/>
              <w:rPr>
                <w:rFonts w:ascii="方正书宋_GBK" w:eastAsia="方正书宋_GBK"/>
              </w:rPr>
            </w:pPr>
            <w:r>
              <w:rPr>
                <w:rFonts w:hint="eastAsia" w:ascii="方正书宋_GBK" w:eastAsia="方正书宋_GBK"/>
              </w:rPr>
              <w:t>拟订开发区城乡规划管理政策，依法编制总体规划、控制性规划和专项规划，并进行环境影响评价。加强和改进规划管理手段，对依法批准的城乡规划进行监督实施。</w:t>
            </w:r>
          </w:p>
        </w:tc>
        <w:tc>
          <w:tcPr>
            <w:tcW w:w="2976" w:type="dxa"/>
            <w:vAlign w:val="center"/>
          </w:tcPr>
          <w:p w14:paraId="50DEB550">
            <w:pPr>
              <w:spacing w:line="300" w:lineRule="exact"/>
              <w:jc w:val="left"/>
              <w:rPr>
                <w:rFonts w:ascii="方正书宋_GBK" w:eastAsia="方正书宋_GBK"/>
              </w:rPr>
            </w:pPr>
            <w:r>
              <w:rPr>
                <w:rFonts w:hint="eastAsia" w:ascii="方正书宋_GBK" w:eastAsia="方正书宋_GBK"/>
              </w:rPr>
              <w:t>完成开发区规划编制，健全规划体系</w:t>
            </w:r>
          </w:p>
        </w:tc>
        <w:tc>
          <w:tcPr>
            <w:tcW w:w="1417" w:type="dxa"/>
            <w:vAlign w:val="center"/>
          </w:tcPr>
          <w:p w14:paraId="74EA03DA">
            <w:pPr>
              <w:spacing w:line="300" w:lineRule="exact"/>
              <w:jc w:val="left"/>
              <w:rPr>
                <w:rFonts w:ascii="方正书宋_GBK" w:eastAsia="方正书宋_GBK"/>
              </w:rPr>
            </w:pPr>
            <w:r>
              <w:rPr>
                <w:rFonts w:hint="eastAsia" w:ascii="方正书宋_GBK" w:eastAsia="方正书宋_GBK"/>
              </w:rPr>
              <w:t>规划编制完成率</w:t>
            </w:r>
          </w:p>
        </w:tc>
        <w:tc>
          <w:tcPr>
            <w:tcW w:w="737" w:type="dxa"/>
            <w:vAlign w:val="center"/>
          </w:tcPr>
          <w:p w14:paraId="7F5B7AC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128770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E0E8A5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C854F0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3F9F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15E9793F">
            <w:pPr>
              <w:spacing w:line="300" w:lineRule="exact"/>
              <w:jc w:val="left"/>
              <w:rPr>
                <w:rFonts w:ascii="方正书宋_GBK" w:eastAsia="方正书宋_GBK"/>
                <w:b/>
              </w:rPr>
            </w:pPr>
            <w:r>
              <w:rPr>
                <w:rFonts w:hint="eastAsia" w:ascii="方正书宋_GBK" w:eastAsia="方正书宋_GBK"/>
                <w:b/>
              </w:rPr>
              <w:t>七、企业服务</w:t>
            </w:r>
          </w:p>
        </w:tc>
        <w:tc>
          <w:tcPr>
            <w:tcW w:w="1276" w:type="dxa"/>
            <w:vAlign w:val="center"/>
          </w:tcPr>
          <w:p w14:paraId="21EAEC30">
            <w:pPr>
              <w:spacing w:line="300" w:lineRule="exact"/>
              <w:jc w:val="left"/>
              <w:rPr>
                <w:rFonts w:ascii="方正书宋_GBK" w:eastAsia="方正书宋_GBK"/>
              </w:rPr>
            </w:pPr>
            <w:r>
              <w:rPr>
                <w:rFonts w:ascii="方正书宋_GBK" w:eastAsia="方正书宋_GBK"/>
              </w:rPr>
              <w:t>156.00</w:t>
            </w:r>
          </w:p>
        </w:tc>
        <w:tc>
          <w:tcPr>
            <w:tcW w:w="2976" w:type="dxa"/>
            <w:vAlign w:val="center"/>
          </w:tcPr>
          <w:p w14:paraId="6E9EE840">
            <w:pPr>
              <w:spacing w:line="300" w:lineRule="exact"/>
              <w:jc w:val="left"/>
              <w:rPr>
                <w:rFonts w:ascii="方正书宋_GBK" w:eastAsia="方正书宋_GBK"/>
              </w:rPr>
            </w:pPr>
            <w:r>
              <w:rPr>
                <w:rFonts w:hint="eastAsia" w:ascii="方正书宋_GBK" w:eastAsia="方正书宋_GBK"/>
              </w:rPr>
              <w:t>负责企业入驻建设、服务管理</w:t>
            </w:r>
          </w:p>
        </w:tc>
        <w:tc>
          <w:tcPr>
            <w:tcW w:w="2976" w:type="dxa"/>
            <w:vAlign w:val="center"/>
          </w:tcPr>
          <w:p w14:paraId="07112174">
            <w:pPr>
              <w:spacing w:line="300" w:lineRule="exact"/>
              <w:jc w:val="left"/>
              <w:rPr>
                <w:rFonts w:ascii="方正书宋_GBK" w:eastAsia="方正书宋_GBK"/>
              </w:rPr>
            </w:pPr>
            <w:r>
              <w:rPr>
                <w:rFonts w:hint="eastAsia" w:ascii="方正书宋_GBK" w:eastAsia="方正书宋_GBK"/>
              </w:rPr>
              <w:t>服务及时、高效，使企业满意</w:t>
            </w:r>
          </w:p>
        </w:tc>
        <w:tc>
          <w:tcPr>
            <w:tcW w:w="1417" w:type="dxa"/>
            <w:vAlign w:val="center"/>
          </w:tcPr>
          <w:p w14:paraId="0D7A2C32">
            <w:pPr>
              <w:spacing w:line="300" w:lineRule="exact"/>
              <w:jc w:val="left"/>
              <w:rPr>
                <w:rFonts w:ascii="方正书宋_GBK" w:eastAsia="方正书宋_GBK"/>
              </w:rPr>
            </w:pPr>
          </w:p>
        </w:tc>
        <w:tc>
          <w:tcPr>
            <w:tcW w:w="737" w:type="dxa"/>
            <w:vAlign w:val="center"/>
          </w:tcPr>
          <w:p w14:paraId="6AB3AF62">
            <w:pPr>
              <w:spacing w:line="300" w:lineRule="exact"/>
              <w:jc w:val="center"/>
              <w:rPr>
                <w:rFonts w:ascii="方正书宋_GBK" w:eastAsia="方正书宋_GBK"/>
              </w:rPr>
            </w:pPr>
          </w:p>
        </w:tc>
        <w:tc>
          <w:tcPr>
            <w:tcW w:w="737" w:type="dxa"/>
            <w:vAlign w:val="center"/>
          </w:tcPr>
          <w:p w14:paraId="69CD032E">
            <w:pPr>
              <w:spacing w:line="300" w:lineRule="exact"/>
              <w:jc w:val="center"/>
              <w:rPr>
                <w:rFonts w:ascii="方正书宋_GBK" w:eastAsia="方正书宋_GBK"/>
              </w:rPr>
            </w:pPr>
          </w:p>
        </w:tc>
        <w:tc>
          <w:tcPr>
            <w:tcW w:w="737" w:type="dxa"/>
            <w:vAlign w:val="center"/>
          </w:tcPr>
          <w:p w14:paraId="53406261">
            <w:pPr>
              <w:spacing w:line="300" w:lineRule="exact"/>
              <w:jc w:val="center"/>
              <w:rPr>
                <w:rFonts w:ascii="方正书宋_GBK" w:eastAsia="方正书宋_GBK"/>
              </w:rPr>
            </w:pPr>
          </w:p>
        </w:tc>
        <w:tc>
          <w:tcPr>
            <w:tcW w:w="737" w:type="dxa"/>
            <w:vAlign w:val="center"/>
          </w:tcPr>
          <w:p w14:paraId="7281A2FE">
            <w:pPr>
              <w:spacing w:line="300" w:lineRule="exact"/>
              <w:jc w:val="center"/>
              <w:rPr>
                <w:rFonts w:ascii="方正书宋_GBK" w:eastAsia="方正书宋_GBK"/>
              </w:rPr>
            </w:pPr>
          </w:p>
        </w:tc>
      </w:tr>
      <w:tr w14:paraId="448F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6ABE929">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、企业服务</w:t>
            </w:r>
          </w:p>
        </w:tc>
        <w:tc>
          <w:tcPr>
            <w:tcW w:w="1276" w:type="dxa"/>
            <w:vAlign w:val="center"/>
          </w:tcPr>
          <w:p w14:paraId="3175FB36">
            <w:pPr>
              <w:spacing w:line="300" w:lineRule="exact"/>
              <w:jc w:val="left"/>
              <w:rPr>
                <w:rFonts w:ascii="方正书宋_GBK" w:eastAsia="方正书宋_GBK"/>
              </w:rPr>
            </w:pPr>
            <w:r>
              <w:rPr>
                <w:rFonts w:ascii="方正书宋_GBK" w:eastAsia="方正书宋_GBK"/>
              </w:rPr>
              <w:t>156.00</w:t>
            </w:r>
          </w:p>
        </w:tc>
        <w:tc>
          <w:tcPr>
            <w:tcW w:w="2976" w:type="dxa"/>
            <w:vAlign w:val="center"/>
          </w:tcPr>
          <w:p w14:paraId="008C33D9">
            <w:pPr>
              <w:spacing w:line="300" w:lineRule="exact"/>
              <w:jc w:val="left"/>
              <w:rPr>
                <w:rFonts w:ascii="方正书宋_GBK" w:eastAsia="方正书宋_GBK"/>
              </w:rPr>
            </w:pPr>
            <w:r>
              <w:rPr>
                <w:rFonts w:hint="eastAsia" w:ascii="方正书宋_GBK" w:eastAsia="方正书宋_GBK"/>
              </w:rPr>
              <w:t>负责企业项目选址、手续跑办、协调服务等工作。</w:t>
            </w:r>
          </w:p>
        </w:tc>
        <w:tc>
          <w:tcPr>
            <w:tcW w:w="2976" w:type="dxa"/>
            <w:vAlign w:val="center"/>
          </w:tcPr>
          <w:p w14:paraId="0FE0D0B1">
            <w:pPr>
              <w:spacing w:line="300" w:lineRule="exact"/>
              <w:jc w:val="left"/>
              <w:rPr>
                <w:rFonts w:ascii="方正书宋_GBK" w:eastAsia="方正书宋_GBK"/>
              </w:rPr>
            </w:pPr>
            <w:r>
              <w:rPr>
                <w:rFonts w:hint="eastAsia" w:ascii="方正书宋_GBK" w:eastAsia="方正书宋_GBK"/>
              </w:rPr>
              <w:t>做好企业项目选址、手续跑办、协调服务等工作。</w:t>
            </w:r>
          </w:p>
        </w:tc>
        <w:tc>
          <w:tcPr>
            <w:tcW w:w="1417" w:type="dxa"/>
            <w:vAlign w:val="center"/>
          </w:tcPr>
          <w:p w14:paraId="64CF61CE">
            <w:pPr>
              <w:spacing w:line="300" w:lineRule="exact"/>
              <w:jc w:val="left"/>
              <w:rPr>
                <w:rFonts w:ascii="方正书宋_GBK" w:eastAsia="方正书宋_GBK"/>
              </w:rPr>
            </w:pPr>
            <w:r>
              <w:rPr>
                <w:rFonts w:hint="eastAsia" w:ascii="方正书宋_GBK" w:eastAsia="方正书宋_GBK"/>
              </w:rPr>
              <w:t>企业服务工作完成率</w:t>
            </w:r>
          </w:p>
        </w:tc>
        <w:tc>
          <w:tcPr>
            <w:tcW w:w="737" w:type="dxa"/>
            <w:vAlign w:val="center"/>
          </w:tcPr>
          <w:p w14:paraId="59EE6E8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AAFE74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DB3AE1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2BEAE3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2F09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1911033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、企业管理</w:t>
            </w:r>
          </w:p>
        </w:tc>
        <w:tc>
          <w:tcPr>
            <w:tcW w:w="1276" w:type="dxa"/>
            <w:vAlign w:val="center"/>
          </w:tcPr>
          <w:p w14:paraId="64CC6ABF">
            <w:pPr>
              <w:spacing w:line="300" w:lineRule="exact"/>
              <w:jc w:val="left"/>
              <w:rPr>
                <w:rFonts w:ascii="方正书宋_GBK" w:eastAsia="方正书宋_GBK"/>
              </w:rPr>
            </w:pPr>
          </w:p>
        </w:tc>
        <w:tc>
          <w:tcPr>
            <w:tcW w:w="2976" w:type="dxa"/>
            <w:vAlign w:val="center"/>
          </w:tcPr>
          <w:p w14:paraId="115311AB">
            <w:pPr>
              <w:spacing w:line="300" w:lineRule="exact"/>
              <w:jc w:val="left"/>
              <w:rPr>
                <w:rFonts w:ascii="方正书宋_GBK" w:eastAsia="方正书宋_GBK"/>
              </w:rPr>
            </w:pPr>
            <w:r>
              <w:rPr>
                <w:rFonts w:hint="eastAsia" w:ascii="方正书宋_GBK" w:eastAsia="方正书宋_GBK"/>
              </w:rPr>
              <w:t>负责开发区内企业管理、行政许可工作；协助相关部门做好开发区节能评估工作。</w:t>
            </w:r>
          </w:p>
        </w:tc>
        <w:tc>
          <w:tcPr>
            <w:tcW w:w="2976" w:type="dxa"/>
            <w:vAlign w:val="center"/>
          </w:tcPr>
          <w:p w14:paraId="1DBFF402">
            <w:pPr>
              <w:spacing w:line="300" w:lineRule="exact"/>
              <w:jc w:val="left"/>
              <w:rPr>
                <w:rFonts w:ascii="方正书宋_GBK" w:eastAsia="方正书宋_GBK"/>
              </w:rPr>
            </w:pPr>
            <w:r>
              <w:rPr>
                <w:rFonts w:hint="eastAsia" w:ascii="方正书宋_GBK" w:eastAsia="方正书宋_GBK"/>
              </w:rPr>
              <w:t>高效完成开发区内企业行政许可工作；做好节能评估工作。</w:t>
            </w:r>
          </w:p>
        </w:tc>
        <w:tc>
          <w:tcPr>
            <w:tcW w:w="1417" w:type="dxa"/>
            <w:vAlign w:val="center"/>
          </w:tcPr>
          <w:p w14:paraId="4DB76F55">
            <w:pPr>
              <w:spacing w:line="300" w:lineRule="exact"/>
              <w:jc w:val="left"/>
              <w:rPr>
                <w:rFonts w:ascii="方正书宋_GBK" w:eastAsia="方正书宋_GBK"/>
              </w:rPr>
            </w:pPr>
            <w:r>
              <w:rPr>
                <w:rFonts w:hint="eastAsia" w:ascii="方正书宋_GBK" w:eastAsia="方正书宋_GBK"/>
              </w:rPr>
              <w:t>企业管理工作完成率</w:t>
            </w:r>
          </w:p>
        </w:tc>
        <w:tc>
          <w:tcPr>
            <w:tcW w:w="737" w:type="dxa"/>
            <w:vAlign w:val="center"/>
          </w:tcPr>
          <w:p w14:paraId="5CF417E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57DE73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18DF59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40D01B7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5045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4FA8260">
            <w:pPr>
              <w:spacing w:line="300" w:lineRule="exact"/>
              <w:jc w:val="left"/>
              <w:rPr>
                <w:rFonts w:ascii="方正书宋_GBK" w:eastAsia="方正书宋_GBK"/>
                <w:b/>
              </w:rPr>
            </w:pPr>
            <w:r>
              <w:rPr>
                <w:rFonts w:hint="eastAsia" w:ascii="方正书宋_GBK" w:eastAsia="方正书宋_GBK"/>
                <w:b/>
              </w:rPr>
              <w:t>八、推进园区产业结构调整和转型升级</w:t>
            </w:r>
          </w:p>
        </w:tc>
        <w:tc>
          <w:tcPr>
            <w:tcW w:w="1276" w:type="dxa"/>
            <w:vAlign w:val="center"/>
          </w:tcPr>
          <w:p w14:paraId="3C8AAF14">
            <w:pPr>
              <w:spacing w:line="300" w:lineRule="exact"/>
              <w:jc w:val="left"/>
              <w:rPr>
                <w:rFonts w:ascii="方正书宋_GBK" w:eastAsia="方正书宋_GBK"/>
              </w:rPr>
            </w:pPr>
          </w:p>
        </w:tc>
        <w:tc>
          <w:tcPr>
            <w:tcW w:w="2976" w:type="dxa"/>
            <w:vAlign w:val="center"/>
          </w:tcPr>
          <w:p w14:paraId="5242D31E">
            <w:pPr>
              <w:spacing w:line="300" w:lineRule="exact"/>
              <w:jc w:val="left"/>
              <w:rPr>
                <w:rFonts w:ascii="方正书宋_GBK" w:eastAsia="方正书宋_GBK"/>
              </w:rPr>
            </w:pPr>
            <w:r>
              <w:rPr>
                <w:rFonts w:hint="eastAsia" w:ascii="方正书宋_GBK" w:eastAsia="方正书宋_GBK"/>
              </w:rPr>
              <w:t>组织实施综合性产业政策，协调园区产业发展，推进经济结构战略性调整。按照经济和社会发展要求，引导产业升级和转型，支持重点领域和行业建设。</w:t>
            </w:r>
          </w:p>
        </w:tc>
        <w:tc>
          <w:tcPr>
            <w:tcW w:w="2976" w:type="dxa"/>
            <w:vAlign w:val="center"/>
          </w:tcPr>
          <w:p w14:paraId="5ED42164">
            <w:pPr>
              <w:spacing w:line="300" w:lineRule="exact"/>
              <w:jc w:val="left"/>
              <w:rPr>
                <w:rFonts w:ascii="方正书宋_GBK" w:eastAsia="方正书宋_GBK"/>
              </w:rPr>
            </w:pPr>
            <w:r>
              <w:rPr>
                <w:rFonts w:hint="eastAsia" w:ascii="方正书宋_GBK" w:eastAsia="方正书宋_GBK"/>
              </w:rPr>
              <w:t>有效引导行业健康发展，提升园区产业和行业竞争力。</w:t>
            </w:r>
          </w:p>
        </w:tc>
        <w:tc>
          <w:tcPr>
            <w:tcW w:w="1417" w:type="dxa"/>
            <w:vAlign w:val="center"/>
          </w:tcPr>
          <w:p w14:paraId="4A0156BC">
            <w:pPr>
              <w:spacing w:line="300" w:lineRule="exact"/>
              <w:jc w:val="left"/>
              <w:rPr>
                <w:rFonts w:ascii="方正书宋_GBK" w:eastAsia="方正书宋_GBK"/>
              </w:rPr>
            </w:pPr>
          </w:p>
        </w:tc>
        <w:tc>
          <w:tcPr>
            <w:tcW w:w="737" w:type="dxa"/>
            <w:vAlign w:val="center"/>
          </w:tcPr>
          <w:p w14:paraId="6B240A30">
            <w:pPr>
              <w:spacing w:line="300" w:lineRule="exact"/>
              <w:jc w:val="center"/>
              <w:rPr>
                <w:rFonts w:ascii="方正书宋_GBK" w:eastAsia="方正书宋_GBK"/>
              </w:rPr>
            </w:pPr>
          </w:p>
        </w:tc>
        <w:tc>
          <w:tcPr>
            <w:tcW w:w="737" w:type="dxa"/>
            <w:vAlign w:val="center"/>
          </w:tcPr>
          <w:p w14:paraId="69FAC8BA">
            <w:pPr>
              <w:spacing w:line="300" w:lineRule="exact"/>
              <w:jc w:val="center"/>
              <w:rPr>
                <w:rFonts w:ascii="方正书宋_GBK" w:eastAsia="方正书宋_GBK"/>
              </w:rPr>
            </w:pPr>
          </w:p>
        </w:tc>
        <w:tc>
          <w:tcPr>
            <w:tcW w:w="737" w:type="dxa"/>
            <w:vAlign w:val="center"/>
          </w:tcPr>
          <w:p w14:paraId="50A9975C">
            <w:pPr>
              <w:spacing w:line="300" w:lineRule="exact"/>
              <w:jc w:val="center"/>
              <w:rPr>
                <w:rFonts w:ascii="方正书宋_GBK" w:eastAsia="方正书宋_GBK"/>
              </w:rPr>
            </w:pPr>
          </w:p>
        </w:tc>
        <w:tc>
          <w:tcPr>
            <w:tcW w:w="737" w:type="dxa"/>
            <w:vAlign w:val="center"/>
          </w:tcPr>
          <w:p w14:paraId="5227AC5C">
            <w:pPr>
              <w:spacing w:line="300" w:lineRule="exact"/>
              <w:jc w:val="center"/>
              <w:rPr>
                <w:rFonts w:ascii="方正书宋_GBK" w:eastAsia="方正书宋_GBK"/>
              </w:rPr>
            </w:pPr>
          </w:p>
        </w:tc>
      </w:tr>
      <w:tr w14:paraId="31B9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9EE53B7">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、促进发展战略性新兴产业及食品业发展</w:t>
            </w:r>
          </w:p>
        </w:tc>
        <w:tc>
          <w:tcPr>
            <w:tcW w:w="1276" w:type="dxa"/>
            <w:vAlign w:val="center"/>
          </w:tcPr>
          <w:p w14:paraId="53CF68DF">
            <w:pPr>
              <w:spacing w:line="300" w:lineRule="exact"/>
              <w:jc w:val="left"/>
              <w:rPr>
                <w:rFonts w:ascii="方正书宋_GBK" w:eastAsia="方正书宋_GBK"/>
              </w:rPr>
            </w:pPr>
          </w:p>
        </w:tc>
        <w:tc>
          <w:tcPr>
            <w:tcW w:w="2976" w:type="dxa"/>
            <w:vAlign w:val="center"/>
          </w:tcPr>
          <w:p w14:paraId="712F5F26">
            <w:pPr>
              <w:spacing w:line="300" w:lineRule="exact"/>
              <w:jc w:val="left"/>
              <w:rPr>
                <w:rFonts w:ascii="方正书宋_GBK" w:eastAsia="方正书宋_GBK"/>
              </w:rPr>
            </w:pPr>
            <w:r>
              <w:rPr>
                <w:rFonts w:hint="eastAsia" w:ascii="方正书宋_GBK" w:eastAsia="方正书宋_GBK"/>
              </w:rPr>
              <w:t>新兴产业发展项目考察、筛选、评选和后期管理。组织实施加快食品业发展。</w:t>
            </w:r>
          </w:p>
        </w:tc>
        <w:tc>
          <w:tcPr>
            <w:tcW w:w="2976" w:type="dxa"/>
            <w:vAlign w:val="center"/>
          </w:tcPr>
          <w:p w14:paraId="44E5C326">
            <w:pPr>
              <w:spacing w:line="300" w:lineRule="exact"/>
              <w:jc w:val="left"/>
              <w:rPr>
                <w:rFonts w:ascii="方正书宋_GBK" w:eastAsia="方正书宋_GBK"/>
              </w:rPr>
            </w:pPr>
            <w:r>
              <w:rPr>
                <w:rFonts w:hint="eastAsia" w:ascii="方正书宋_GBK" w:eastAsia="方正书宋_GBK"/>
              </w:rPr>
              <w:t>培育壮大开发区战略性新型产业，提高自主创新能力，促进产业转型升级。</w:t>
            </w:r>
          </w:p>
        </w:tc>
        <w:tc>
          <w:tcPr>
            <w:tcW w:w="1417" w:type="dxa"/>
            <w:vAlign w:val="center"/>
          </w:tcPr>
          <w:p w14:paraId="16A45174">
            <w:pPr>
              <w:spacing w:line="300" w:lineRule="exact"/>
              <w:jc w:val="left"/>
              <w:rPr>
                <w:rFonts w:ascii="方正书宋_GBK" w:eastAsia="方正书宋_GBK"/>
              </w:rPr>
            </w:pPr>
            <w:r>
              <w:rPr>
                <w:rFonts w:hint="eastAsia" w:ascii="方正书宋_GBK" w:eastAsia="方正书宋_GBK"/>
              </w:rPr>
              <w:t>战略性新兴产业增加值增速</w:t>
            </w:r>
          </w:p>
        </w:tc>
        <w:tc>
          <w:tcPr>
            <w:tcW w:w="737" w:type="dxa"/>
            <w:vAlign w:val="center"/>
          </w:tcPr>
          <w:p w14:paraId="7261A98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2FFC5D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B92A61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0A385FC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0C2F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22C11EC5">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、组织推进物流业及服务业发展</w:t>
            </w:r>
          </w:p>
        </w:tc>
        <w:tc>
          <w:tcPr>
            <w:tcW w:w="1276" w:type="dxa"/>
            <w:vAlign w:val="center"/>
          </w:tcPr>
          <w:p w14:paraId="6093DB2E">
            <w:pPr>
              <w:spacing w:line="300" w:lineRule="exact"/>
              <w:jc w:val="left"/>
              <w:rPr>
                <w:rFonts w:ascii="方正书宋_GBK" w:eastAsia="方正书宋_GBK"/>
              </w:rPr>
            </w:pPr>
          </w:p>
        </w:tc>
        <w:tc>
          <w:tcPr>
            <w:tcW w:w="2976" w:type="dxa"/>
            <w:vAlign w:val="center"/>
          </w:tcPr>
          <w:p w14:paraId="5D35B7D1">
            <w:pPr>
              <w:spacing w:line="300" w:lineRule="exact"/>
              <w:jc w:val="left"/>
              <w:rPr>
                <w:rFonts w:ascii="方正书宋_GBK" w:eastAsia="方正书宋_GBK"/>
              </w:rPr>
            </w:pPr>
            <w:r>
              <w:rPr>
                <w:rFonts w:hint="eastAsia" w:ascii="方正书宋_GBK" w:eastAsia="方正书宋_GBK"/>
              </w:rPr>
              <w:t>组织实施加快服务业发展，落实有关政策措施，推进服务业项目建设。</w:t>
            </w:r>
          </w:p>
        </w:tc>
        <w:tc>
          <w:tcPr>
            <w:tcW w:w="2976" w:type="dxa"/>
            <w:vAlign w:val="center"/>
          </w:tcPr>
          <w:p w14:paraId="1132087A">
            <w:pPr>
              <w:spacing w:line="300" w:lineRule="exact"/>
              <w:jc w:val="left"/>
              <w:rPr>
                <w:rFonts w:ascii="方正书宋_GBK" w:eastAsia="方正书宋_GBK"/>
              </w:rPr>
            </w:pPr>
            <w:r>
              <w:rPr>
                <w:rFonts w:hint="eastAsia" w:ascii="方正书宋_GBK" w:eastAsia="方正书宋_GBK"/>
              </w:rPr>
              <w:t>扶持现代服务业、已列入物流发展规划的重点项目、农产品物流项目交易设施改造升级及大型冷链物流项目建设。</w:t>
            </w:r>
          </w:p>
        </w:tc>
        <w:tc>
          <w:tcPr>
            <w:tcW w:w="1417" w:type="dxa"/>
            <w:vAlign w:val="center"/>
          </w:tcPr>
          <w:p w14:paraId="5F70456E">
            <w:pPr>
              <w:spacing w:line="300" w:lineRule="exact"/>
              <w:jc w:val="left"/>
              <w:rPr>
                <w:rFonts w:ascii="方正书宋_GBK" w:eastAsia="方正书宋_GBK"/>
              </w:rPr>
            </w:pPr>
            <w:r>
              <w:rPr>
                <w:rFonts w:hint="eastAsia" w:ascii="方正书宋_GBK" w:eastAsia="方正书宋_GBK"/>
              </w:rPr>
              <w:t>物流业及服务业增加值增长率</w:t>
            </w:r>
          </w:p>
        </w:tc>
        <w:tc>
          <w:tcPr>
            <w:tcW w:w="737" w:type="dxa"/>
            <w:vAlign w:val="center"/>
          </w:tcPr>
          <w:p w14:paraId="082A18C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C902CC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6B5CF2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33C870B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169D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2F36ECE">
            <w:pPr>
              <w:spacing w:line="300" w:lineRule="exact"/>
              <w:jc w:val="left"/>
              <w:rPr>
                <w:rFonts w:ascii="方正书宋_GBK" w:eastAsia="方正书宋_GBK"/>
                <w:b/>
              </w:rPr>
            </w:pPr>
            <w:r>
              <w:rPr>
                <w:rFonts w:hint="eastAsia" w:ascii="方正书宋_GBK" w:eastAsia="方正书宋_GBK"/>
                <w:b/>
              </w:rPr>
              <w:t>九、经济发展（招商）</w:t>
            </w:r>
          </w:p>
        </w:tc>
        <w:tc>
          <w:tcPr>
            <w:tcW w:w="1276" w:type="dxa"/>
            <w:vAlign w:val="center"/>
          </w:tcPr>
          <w:p w14:paraId="25A1F702">
            <w:pPr>
              <w:spacing w:line="300" w:lineRule="exact"/>
              <w:jc w:val="left"/>
              <w:rPr>
                <w:rFonts w:ascii="方正书宋_GBK" w:eastAsia="方正书宋_GBK"/>
              </w:rPr>
            </w:pPr>
            <w:r>
              <w:rPr>
                <w:rFonts w:ascii="方正书宋_GBK" w:eastAsia="方正书宋_GBK"/>
              </w:rPr>
              <w:t>435.00</w:t>
            </w:r>
          </w:p>
        </w:tc>
        <w:tc>
          <w:tcPr>
            <w:tcW w:w="2976" w:type="dxa"/>
            <w:vAlign w:val="center"/>
          </w:tcPr>
          <w:p w14:paraId="428563CC">
            <w:pPr>
              <w:spacing w:line="300" w:lineRule="exact"/>
              <w:jc w:val="left"/>
              <w:rPr>
                <w:rFonts w:ascii="方正书宋_GBK" w:eastAsia="方正书宋_GBK"/>
              </w:rPr>
            </w:pPr>
            <w:r>
              <w:rPr>
                <w:rFonts w:hint="eastAsia" w:ascii="方正书宋_GBK" w:eastAsia="方正书宋_GBK"/>
              </w:rPr>
              <w:t>负责编制开发区经济发展规划及各类统计报表的编制和统计分析等方面的工作，负责辖区内环境保护和安全生产、消防安全等方面的工作；负责编制环评工作。负责开发区对外招商宣传、各类招商活动的组织协调工作；负责招商引资工作；进出口贸易和国内外经济技术合作工作；负责国土规划，土地手续跑办工作；负责项目落地协调推进工作；负责项目其他服务工作。</w:t>
            </w:r>
          </w:p>
        </w:tc>
        <w:tc>
          <w:tcPr>
            <w:tcW w:w="2976" w:type="dxa"/>
            <w:vAlign w:val="center"/>
          </w:tcPr>
          <w:p w14:paraId="39FBD0CA">
            <w:pPr>
              <w:spacing w:line="300" w:lineRule="exact"/>
              <w:jc w:val="left"/>
              <w:rPr>
                <w:rFonts w:ascii="方正书宋_GBK" w:eastAsia="方正书宋_GBK"/>
              </w:rPr>
            </w:pPr>
            <w:r>
              <w:rPr>
                <w:rFonts w:hint="eastAsia" w:ascii="方正书宋_GBK" w:eastAsia="方正书宋_GBK"/>
              </w:rPr>
              <w:t>做好辖区内企业信息汇总统计、上报工作。配合安全生产、环保监督管理部门做好安全生产、环保监督管理等工作。招商服务形式多样、成果显著、数据详实，推进项目落地。</w:t>
            </w:r>
          </w:p>
        </w:tc>
        <w:tc>
          <w:tcPr>
            <w:tcW w:w="1417" w:type="dxa"/>
            <w:vAlign w:val="center"/>
          </w:tcPr>
          <w:p w14:paraId="6294FC70">
            <w:pPr>
              <w:spacing w:line="300" w:lineRule="exact"/>
              <w:jc w:val="left"/>
              <w:rPr>
                <w:rFonts w:ascii="方正书宋_GBK" w:eastAsia="方正书宋_GBK"/>
              </w:rPr>
            </w:pPr>
          </w:p>
        </w:tc>
        <w:tc>
          <w:tcPr>
            <w:tcW w:w="737" w:type="dxa"/>
            <w:vAlign w:val="center"/>
          </w:tcPr>
          <w:p w14:paraId="289178DF">
            <w:pPr>
              <w:spacing w:line="300" w:lineRule="exact"/>
              <w:jc w:val="center"/>
              <w:rPr>
                <w:rFonts w:ascii="方正书宋_GBK" w:eastAsia="方正书宋_GBK"/>
              </w:rPr>
            </w:pPr>
          </w:p>
        </w:tc>
        <w:tc>
          <w:tcPr>
            <w:tcW w:w="737" w:type="dxa"/>
            <w:vAlign w:val="center"/>
          </w:tcPr>
          <w:p w14:paraId="6D8EAA0E">
            <w:pPr>
              <w:spacing w:line="300" w:lineRule="exact"/>
              <w:jc w:val="center"/>
              <w:rPr>
                <w:rFonts w:ascii="方正书宋_GBK" w:eastAsia="方正书宋_GBK"/>
              </w:rPr>
            </w:pPr>
          </w:p>
        </w:tc>
        <w:tc>
          <w:tcPr>
            <w:tcW w:w="737" w:type="dxa"/>
            <w:vAlign w:val="center"/>
          </w:tcPr>
          <w:p w14:paraId="67F3F7E8">
            <w:pPr>
              <w:spacing w:line="300" w:lineRule="exact"/>
              <w:jc w:val="center"/>
              <w:rPr>
                <w:rFonts w:ascii="方正书宋_GBK" w:eastAsia="方正书宋_GBK"/>
              </w:rPr>
            </w:pPr>
          </w:p>
        </w:tc>
        <w:tc>
          <w:tcPr>
            <w:tcW w:w="737" w:type="dxa"/>
            <w:vAlign w:val="center"/>
          </w:tcPr>
          <w:p w14:paraId="7A7114AF">
            <w:pPr>
              <w:spacing w:line="300" w:lineRule="exact"/>
              <w:jc w:val="center"/>
              <w:rPr>
                <w:rFonts w:ascii="方正书宋_GBK" w:eastAsia="方正书宋_GBK"/>
              </w:rPr>
            </w:pPr>
          </w:p>
        </w:tc>
      </w:tr>
      <w:tr w14:paraId="3533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44D0988">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、招商服务</w:t>
            </w:r>
          </w:p>
        </w:tc>
        <w:tc>
          <w:tcPr>
            <w:tcW w:w="1276" w:type="dxa"/>
            <w:vAlign w:val="center"/>
          </w:tcPr>
          <w:p w14:paraId="7C4094DD">
            <w:pPr>
              <w:spacing w:line="300" w:lineRule="exact"/>
              <w:jc w:val="left"/>
              <w:rPr>
                <w:rFonts w:ascii="方正书宋_GBK" w:eastAsia="方正书宋_GBK"/>
              </w:rPr>
            </w:pPr>
            <w:r>
              <w:rPr>
                <w:rFonts w:ascii="方正书宋_GBK" w:eastAsia="方正书宋_GBK"/>
              </w:rPr>
              <w:t>435.00</w:t>
            </w:r>
          </w:p>
        </w:tc>
        <w:tc>
          <w:tcPr>
            <w:tcW w:w="2976" w:type="dxa"/>
            <w:vAlign w:val="center"/>
          </w:tcPr>
          <w:p w14:paraId="003EE40B">
            <w:pPr>
              <w:spacing w:line="300" w:lineRule="exact"/>
              <w:jc w:val="left"/>
              <w:rPr>
                <w:rFonts w:ascii="方正书宋_GBK" w:eastAsia="方正书宋_GBK"/>
              </w:rPr>
            </w:pPr>
            <w:r>
              <w:rPr>
                <w:rFonts w:hint="eastAsia" w:ascii="方正书宋_GBK" w:eastAsia="方正书宋_GBK"/>
              </w:rPr>
              <w:t>负责开发区招商宣传，网络信息管理，组织招商考察洽谈活动，协助办理项目前期手续。</w:t>
            </w:r>
          </w:p>
        </w:tc>
        <w:tc>
          <w:tcPr>
            <w:tcW w:w="2976" w:type="dxa"/>
            <w:vAlign w:val="center"/>
          </w:tcPr>
          <w:p w14:paraId="41C04B10">
            <w:pPr>
              <w:spacing w:line="300" w:lineRule="exact"/>
              <w:jc w:val="left"/>
              <w:rPr>
                <w:rFonts w:ascii="方正书宋_GBK" w:eastAsia="方正书宋_GBK"/>
              </w:rPr>
            </w:pPr>
            <w:r>
              <w:rPr>
                <w:rFonts w:hint="eastAsia" w:ascii="方正书宋_GBK" w:eastAsia="方正书宋_GBK"/>
              </w:rPr>
              <w:t>做好开发区招商宣传，网络信息管理工作，招商考察洽谈活动，办理项目前期手续工作。</w:t>
            </w:r>
          </w:p>
        </w:tc>
        <w:tc>
          <w:tcPr>
            <w:tcW w:w="1417" w:type="dxa"/>
            <w:vAlign w:val="center"/>
          </w:tcPr>
          <w:p w14:paraId="47A65C91">
            <w:pPr>
              <w:spacing w:line="300" w:lineRule="exact"/>
              <w:jc w:val="left"/>
              <w:rPr>
                <w:rFonts w:ascii="方正书宋_GBK" w:eastAsia="方正书宋_GBK"/>
              </w:rPr>
            </w:pPr>
            <w:r>
              <w:rPr>
                <w:rFonts w:hint="eastAsia" w:ascii="方正书宋_GBK" w:eastAsia="方正书宋_GBK"/>
              </w:rPr>
              <w:t>招商服务工作完成率</w:t>
            </w:r>
          </w:p>
        </w:tc>
        <w:tc>
          <w:tcPr>
            <w:tcW w:w="737" w:type="dxa"/>
            <w:vAlign w:val="center"/>
          </w:tcPr>
          <w:p w14:paraId="7C5F262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CC28C3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5758148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7993988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431D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F486E58">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、信息统计</w:t>
            </w:r>
          </w:p>
        </w:tc>
        <w:tc>
          <w:tcPr>
            <w:tcW w:w="1276" w:type="dxa"/>
            <w:vAlign w:val="center"/>
          </w:tcPr>
          <w:p w14:paraId="3774B123">
            <w:pPr>
              <w:spacing w:line="300" w:lineRule="exact"/>
              <w:jc w:val="left"/>
              <w:rPr>
                <w:rFonts w:ascii="方正书宋_GBK" w:eastAsia="方正书宋_GBK"/>
              </w:rPr>
            </w:pPr>
          </w:p>
        </w:tc>
        <w:tc>
          <w:tcPr>
            <w:tcW w:w="2976" w:type="dxa"/>
            <w:vAlign w:val="center"/>
          </w:tcPr>
          <w:p w14:paraId="41B99267">
            <w:pPr>
              <w:spacing w:line="300" w:lineRule="exact"/>
              <w:jc w:val="left"/>
              <w:rPr>
                <w:rFonts w:ascii="方正书宋_GBK" w:eastAsia="方正书宋_GBK"/>
              </w:rPr>
            </w:pPr>
            <w:r>
              <w:rPr>
                <w:rFonts w:hint="eastAsia" w:ascii="方正书宋_GBK" w:eastAsia="方正书宋_GBK"/>
              </w:rPr>
              <w:t>负责开发区内企业信息汇总统计、上报、考核工作。</w:t>
            </w:r>
          </w:p>
        </w:tc>
        <w:tc>
          <w:tcPr>
            <w:tcW w:w="2976" w:type="dxa"/>
            <w:vAlign w:val="center"/>
          </w:tcPr>
          <w:p w14:paraId="7345F400">
            <w:pPr>
              <w:spacing w:line="300" w:lineRule="exact"/>
              <w:jc w:val="left"/>
              <w:rPr>
                <w:rFonts w:ascii="方正书宋_GBK" w:eastAsia="方正书宋_GBK"/>
              </w:rPr>
            </w:pPr>
            <w:r>
              <w:rPr>
                <w:rFonts w:hint="eastAsia" w:ascii="方正书宋_GBK" w:eastAsia="方正书宋_GBK"/>
              </w:rPr>
              <w:t>做好开发区内企业信息汇总统计、上报、考核工作。</w:t>
            </w:r>
          </w:p>
        </w:tc>
        <w:tc>
          <w:tcPr>
            <w:tcW w:w="1417" w:type="dxa"/>
            <w:vAlign w:val="center"/>
          </w:tcPr>
          <w:p w14:paraId="78E3C0DE">
            <w:pPr>
              <w:spacing w:line="300" w:lineRule="exact"/>
              <w:jc w:val="left"/>
              <w:rPr>
                <w:rFonts w:ascii="方正书宋_GBK" w:eastAsia="方正书宋_GBK"/>
              </w:rPr>
            </w:pPr>
            <w:r>
              <w:rPr>
                <w:rFonts w:hint="eastAsia" w:ascii="方正书宋_GBK" w:eastAsia="方正书宋_GBK"/>
              </w:rPr>
              <w:t>统计工作年度计划完成率</w:t>
            </w:r>
          </w:p>
        </w:tc>
        <w:tc>
          <w:tcPr>
            <w:tcW w:w="737" w:type="dxa"/>
            <w:vAlign w:val="center"/>
          </w:tcPr>
          <w:p w14:paraId="5D00B97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21BFE0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321119D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1258AAF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428F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7FF9ABA3">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、环境污染综合防治</w:t>
            </w:r>
          </w:p>
        </w:tc>
        <w:tc>
          <w:tcPr>
            <w:tcW w:w="1276" w:type="dxa"/>
            <w:vAlign w:val="center"/>
          </w:tcPr>
          <w:p w14:paraId="700C587C">
            <w:pPr>
              <w:spacing w:line="300" w:lineRule="exact"/>
              <w:jc w:val="left"/>
              <w:rPr>
                <w:rFonts w:ascii="方正书宋_GBK" w:eastAsia="方正书宋_GBK"/>
              </w:rPr>
            </w:pPr>
          </w:p>
        </w:tc>
        <w:tc>
          <w:tcPr>
            <w:tcW w:w="2976" w:type="dxa"/>
            <w:vAlign w:val="center"/>
          </w:tcPr>
          <w:p w14:paraId="50FAB3E3">
            <w:pPr>
              <w:spacing w:line="300" w:lineRule="exact"/>
              <w:jc w:val="left"/>
              <w:rPr>
                <w:rFonts w:ascii="方正书宋_GBK" w:eastAsia="方正书宋_GBK"/>
              </w:rPr>
            </w:pPr>
            <w:r>
              <w:rPr>
                <w:rFonts w:hint="eastAsia" w:ascii="方正书宋_GBK" w:eastAsia="方正书宋_GBK"/>
              </w:rPr>
              <w:t>重点对</w:t>
            </w:r>
            <w:r>
              <w:rPr>
                <w:rFonts w:ascii="方正书宋_GBK" w:eastAsia="方正书宋_GBK"/>
              </w:rPr>
              <w:t>PM</w:t>
            </w:r>
            <w:r>
              <w:rPr>
                <w:rFonts w:hint="eastAsia" w:ascii="方正书宋_GBK" w:eastAsia="方正书宋_GBK"/>
              </w:rPr>
              <w:t>、</w:t>
            </w:r>
            <w:r>
              <w:rPr>
                <w:rFonts w:ascii="方正书宋_GBK" w:eastAsia="方正书宋_GBK"/>
              </w:rPr>
              <w:t>VOC</w:t>
            </w:r>
            <w:r>
              <w:rPr>
                <w:rFonts w:hint="eastAsia" w:ascii="方正书宋_GBK" w:eastAsia="方正书宋_GBK"/>
              </w:rPr>
              <w:t>、二氧化硫等大气污染物进行综合防治，推动城镇环境空气质量改善。</w:t>
            </w:r>
          </w:p>
        </w:tc>
        <w:tc>
          <w:tcPr>
            <w:tcW w:w="2976" w:type="dxa"/>
            <w:vAlign w:val="center"/>
          </w:tcPr>
          <w:p w14:paraId="5F424B34">
            <w:pPr>
              <w:spacing w:line="300" w:lineRule="exact"/>
              <w:jc w:val="left"/>
              <w:rPr>
                <w:rFonts w:ascii="方正书宋_GBK" w:eastAsia="方正书宋_GBK"/>
              </w:rPr>
            </w:pPr>
            <w:r>
              <w:rPr>
                <w:rFonts w:hint="eastAsia" w:ascii="方正书宋_GBK" w:eastAsia="方正书宋_GBK"/>
              </w:rPr>
              <w:t>加强大气污染防治，推动城市环境空气质量改善。</w:t>
            </w:r>
          </w:p>
        </w:tc>
        <w:tc>
          <w:tcPr>
            <w:tcW w:w="1417" w:type="dxa"/>
            <w:vAlign w:val="center"/>
          </w:tcPr>
          <w:p w14:paraId="4609099F">
            <w:pPr>
              <w:spacing w:line="300" w:lineRule="exact"/>
              <w:jc w:val="left"/>
              <w:rPr>
                <w:rFonts w:ascii="方正书宋_GBK" w:eastAsia="方正书宋_GBK"/>
              </w:rPr>
            </w:pPr>
            <w:r>
              <w:rPr>
                <w:rFonts w:ascii="方正书宋_GBK" w:eastAsia="方正书宋_GBK"/>
              </w:rPr>
              <w:t>VOC</w:t>
            </w:r>
            <w:r>
              <w:rPr>
                <w:rFonts w:hint="eastAsia" w:ascii="方正书宋_GBK" w:eastAsia="方正书宋_GBK"/>
              </w:rPr>
              <w:t>排放消减率</w:t>
            </w:r>
          </w:p>
        </w:tc>
        <w:tc>
          <w:tcPr>
            <w:tcW w:w="737" w:type="dxa"/>
            <w:vAlign w:val="center"/>
          </w:tcPr>
          <w:p w14:paraId="5F73828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2C3DA25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F2C5D7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60635F2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4D76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0E24CC7">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、安全生产综合监督管理</w:t>
            </w:r>
          </w:p>
        </w:tc>
        <w:tc>
          <w:tcPr>
            <w:tcW w:w="1276" w:type="dxa"/>
            <w:vAlign w:val="center"/>
          </w:tcPr>
          <w:p w14:paraId="3F1007EA">
            <w:pPr>
              <w:spacing w:line="300" w:lineRule="exact"/>
              <w:jc w:val="left"/>
              <w:rPr>
                <w:rFonts w:ascii="方正书宋_GBK" w:eastAsia="方正书宋_GBK"/>
              </w:rPr>
            </w:pPr>
          </w:p>
        </w:tc>
        <w:tc>
          <w:tcPr>
            <w:tcW w:w="2976" w:type="dxa"/>
            <w:vAlign w:val="center"/>
          </w:tcPr>
          <w:p w14:paraId="50DDD20F">
            <w:pPr>
              <w:spacing w:line="300" w:lineRule="exact"/>
              <w:jc w:val="left"/>
              <w:rPr>
                <w:rFonts w:ascii="方正书宋_GBK" w:eastAsia="方正书宋_GBK"/>
              </w:rPr>
            </w:pPr>
            <w:r>
              <w:rPr>
                <w:rFonts w:hint="eastAsia" w:ascii="方正书宋_GBK" w:eastAsia="方正书宋_GBK"/>
              </w:rPr>
              <w:t>定期组织在辖区内开展安全生产检查活动，对重点行业和作业场所职业卫生安全生产进行检查；不断加强安全生产监管能力建设；组织开展安全生产教育活动，促进企业全面落实安全生产诚信管理。</w:t>
            </w:r>
          </w:p>
        </w:tc>
        <w:tc>
          <w:tcPr>
            <w:tcW w:w="2976" w:type="dxa"/>
            <w:vAlign w:val="center"/>
          </w:tcPr>
          <w:p w14:paraId="1C7FB7D5">
            <w:pPr>
              <w:spacing w:line="300" w:lineRule="exact"/>
              <w:jc w:val="left"/>
              <w:rPr>
                <w:rFonts w:ascii="方正书宋_GBK" w:eastAsia="方正书宋_GBK"/>
              </w:rPr>
            </w:pPr>
            <w:r>
              <w:rPr>
                <w:rFonts w:hint="eastAsia" w:ascii="方正书宋_GBK" w:eastAsia="方正书宋_GBK"/>
              </w:rPr>
              <w:t>通过检查安全生产，最大限度地发现、纠正、督促企业消除各类隐患，预防和减少事故的发生，确保乡镇安全生产形势持续稳定好转，加大安全生产宣传和信息公开力度，提高全社会安全生产意识。</w:t>
            </w:r>
          </w:p>
        </w:tc>
        <w:tc>
          <w:tcPr>
            <w:tcW w:w="1417" w:type="dxa"/>
            <w:vAlign w:val="center"/>
          </w:tcPr>
          <w:p w14:paraId="247E261A">
            <w:pPr>
              <w:spacing w:line="300" w:lineRule="exact"/>
              <w:jc w:val="left"/>
              <w:rPr>
                <w:rFonts w:ascii="方正书宋_GBK" w:eastAsia="方正书宋_GBK"/>
              </w:rPr>
            </w:pPr>
            <w:r>
              <w:rPr>
                <w:rFonts w:hint="eastAsia" w:ascii="方正书宋_GBK" w:eastAsia="方正书宋_GBK"/>
              </w:rPr>
              <w:t>检查覆盖率</w:t>
            </w:r>
          </w:p>
        </w:tc>
        <w:tc>
          <w:tcPr>
            <w:tcW w:w="737" w:type="dxa"/>
            <w:vAlign w:val="center"/>
          </w:tcPr>
          <w:p w14:paraId="156BC8D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F7F861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2721FA9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6B1884C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628C6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7039C7BD">
            <w:pPr>
              <w:spacing w:line="300" w:lineRule="exact"/>
              <w:jc w:val="left"/>
              <w:rPr>
                <w:rFonts w:ascii="方正书宋_GBK" w:eastAsia="方正书宋_GBK"/>
                <w:b/>
              </w:rPr>
            </w:pPr>
            <w:r>
              <w:rPr>
                <w:rFonts w:hint="eastAsia" w:ascii="方正书宋_GBK" w:eastAsia="方正书宋_GBK"/>
                <w:b/>
              </w:rPr>
              <w:t>十、基础设施管理</w:t>
            </w:r>
          </w:p>
        </w:tc>
        <w:tc>
          <w:tcPr>
            <w:tcW w:w="1276" w:type="dxa"/>
            <w:vAlign w:val="center"/>
          </w:tcPr>
          <w:p w14:paraId="07423518">
            <w:pPr>
              <w:spacing w:line="300" w:lineRule="exact"/>
              <w:jc w:val="left"/>
              <w:rPr>
                <w:rFonts w:ascii="方正书宋_GBK" w:eastAsia="方正书宋_GBK"/>
              </w:rPr>
            </w:pPr>
            <w:r>
              <w:rPr>
                <w:rFonts w:ascii="方正书宋_GBK" w:eastAsia="方正书宋_GBK"/>
              </w:rPr>
              <w:t>13938.99</w:t>
            </w:r>
          </w:p>
        </w:tc>
        <w:tc>
          <w:tcPr>
            <w:tcW w:w="2976" w:type="dxa"/>
            <w:vAlign w:val="center"/>
          </w:tcPr>
          <w:p w14:paraId="53549A06">
            <w:pPr>
              <w:spacing w:line="300" w:lineRule="exact"/>
              <w:jc w:val="left"/>
              <w:rPr>
                <w:rFonts w:ascii="方正书宋_GBK" w:eastAsia="方正书宋_GBK"/>
              </w:rPr>
            </w:pPr>
            <w:r>
              <w:rPr>
                <w:rFonts w:hint="eastAsia" w:ascii="方正书宋_GBK" w:eastAsia="方正书宋_GBK"/>
              </w:rPr>
              <w:t>负责开发区基础设施建设、维护、管理</w:t>
            </w:r>
          </w:p>
        </w:tc>
        <w:tc>
          <w:tcPr>
            <w:tcW w:w="2976" w:type="dxa"/>
            <w:vAlign w:val="center"/>
          </w:tcPr>
          <w:p w14:paraId="16E834AD">
            <w:pPr>
              <w:spacing w:line="300" w:lineRule="exact"/>
              <w:jc w:val="left"/>
              <w:rPr>
                <w:rFonts w:ascii="方正书宋_GBK" w:eastAsia="方正书宋_GBK"/>
              </w:rPr>
            </w:pPr>
            <w:r>
              <w:rPr>
                <w:rFonts w:hint="eastAsia" w:ascii="方正书宋_GBK" w:eastAsia="方正书宋_GBK"/>
              </w:rPr>
              <w:t>对开发区公路及其设施的建设和养护进行管理</w:t>
            </w:r>
          </w:p>
        </w:tc>
        <w:tc>
          <w:tcPr>
            <w:tcW w:w="1417" w:type="dxa"/>
            <w:vAlign w:val="center"/>
          </w:tcPr>
          <w:p w14:paraId="121780EF">
            <w:pPr>
              <w:spacing w:line="300" w:lineRule="exact"/>
              <w:jc w:val="left"/>
              <w:rPr>
                <w:rFonts w:ascii="方正书宋_GBK" w:eastAsia="方正书宋_GBK"/>
              </w:rPr>
            </w:pPr>
          </w:p>
        </w:tc>
        <w:tc>
          <w:tcPr>
            <w:tcW w:w="737" w:type="dxa"/>
            <w:vAlign w:val="center"/>
          </w:tcPr>
          <w:p w14:paraId="037B74AC">
            <w:pPr>
              <w:spacing w:line="300" w:lineRule="exact"/>
              <w:jc w:val="center"/>
              <w:rPr>
                <w:rFonts w:ascii="方正书宋_GBK" w:eastAsia="方正书宋_GBK"/>
              </w:rPr>
            </w:pPr>
          </w:p>
        </w:tc>
        <w:tc>
          <w:tcPr>
            <w:tcW w:w="737" w:type="dxa"/>
            <w:vAlign w:val="center"/>
          </w:tcPr>
          <w:p w14:paraId="5FD7F66F">
            <w:pPr>
              <w:spacing w:line="300" w:lineRule="exact"/>
              <w:jc w:val="center"/>
              <w:rPr>
                <w:rFonts w:ascii="方正书宋_GBK" w:eastAsia="方正书宋_GBK"/>
              </w:rPr>
            </w:pPr>
          </w:p>
        </w:tc>
        <w:tc>
          <w:tcPr>
            <w:tcW w:w="737" w:type="dxa"/>
            <w:vAlign w:val="center"/>
          </w:tcPr>
          <w:p w14:paraId="4653E283">
            <w:pPr>
              <w:spacing w:line="300" w:lineRule="exact"/>
              <w:jc w:val="center"/>
              <w:rPr>
                <w:rFonts w:ascii="方正书宋_GBK" w:eastAsia="方正书宋_GBK"/>
              </w:rPr>
            </w:pPr>
          </w:p>
        </w:tc>
        <w:tc>
          <w:tcPr>
            <w:tcW w:w="737" w:type="dxa"/>
            <w:vAlign w:val="center"/>
          </w:tcPr>
          <w:p w14:paraId="76C50175">
            <w:pPr>
              <w:spacing w:line="300" w:lineRule="exact"/>
              <w:jc w:val="center"/>
              <w:rPr>
                <w:rFonts w:ascii="方正书宋_GBK" w:eastAsia="方正书宋_GBK"/>
              </w:rPr>
            </w:pPr>
          </w:p>
        </w:tc>
      </w:tr>
      <w:tr w14:paraId="49EF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630A5830">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、基础设施建设</w:t>
            </w:r>
          </w:p>
        </w:tc>
        <w:tc>
          <w:tcPr>
            <w:tcW w:w="1276" w:type="dxa"/>
            <w:vMerge w:val="restart"/>
            <w:vAlign w:val="center"/>
          </w:tcPr>
          <w:p w14:paraId="1B2071A4">
            <w:pPr>
              <w:spacing w:line="300" w:lineRule="exact"/>
              <w:jc w:val="left"/>
              <w:rPr>
                <w:rFonts w:ascii="方正书宋_GBK" w:eastAsia="方正书宋_GBK"/>
              </w:rPr>
            </w:pPr>
            <w:r>
              <w:rPr>
                <w:rFonts w:ascii="方正书宋_GBK" w:eastAsia="方正书宋_GBK"/>
              </w:rPr>
              <w:t>12543.67</w:t>
            </w:r>
          </w:p>
        </w:tc>
        <w:tc>
          <w:tcPr>
            <w:tcW w:w="2976" w:type="dxa"/>
            <w:vMerge w:val="restart"/>
            <w:vAlign w:val="center"/>
          </w:tcPr>
          <w:p w14:paraId="14BD77A8">
            <w:pPr>
              <w:spacing w:line="300" w:lineRule="exact"/>
              <w:jc w:val="left"/>
              <w:rPr>
                <w:rFonts w:ascii="方正书宋_GBK" w:eastAsia="方正书宋_GBK"/>
              </w:rPr>
            </w:pPr>
            <w:r>
              <w:rPr>
                <w:rFonts w:hint="eastAsia" w:ascii="方正书宋_GBK" w:eastAsia="方正书宋_GBK"/>
              </w:rPr>
              <w:t>开展辖区供水、节水、燃气、热力、市政设施、污水处理、垃圾处理等设施建设，开展辖区的绿化和生物多样性工作；组织实施城镇绿道绿廊建设；进行公用设施安全和应急管理。谋划完善、与企业的对接和联系工作。</w:t>
            </w:r>
          </w:p>
        </w:tc>
        <w:tc>
          <w:tcPr>
            <w:tcW w:w="2976" w:type="dxa"/>
            <w:vMerge w:val="restart"/>
            <w:vAlign w:val="center"/>
          </w:tcPr>
          <w:p w14:paraId="7430576A">
            <w:pPr>
              <w:spacing w:line="300" w:lineRule="exact"/>
              <w:jc w:val="left"/>
              <w:rPr>
                <w:rFonts w:ascii="方正书宋_GBK" w:eastAsia="方正书宋_GBK"/>
              </w:rPr>
            </w:pPr>
            <w:r>
              <w:rPr>
                <w:rFonts w:hint="eastAsia" w:ascii="方正书宋_GBK" w:eastAsia="方正书宋_GBK"/>
              </w:rPr>
              <w:t>加强基础设施建设，确保各项工程顺利实施。</w:t>
            </w:r>
          </w:p>
        </w:tc>
        <w:tc>
          <w:tcPr>
            <w:tcW w:w="1417" w:type="dxa"/>
            <w:vAlign w:val="center"/>
          </w:tcPr>
          <w:p w14:paraId="4E92ED46">
            <w:pPr>
              <w:spacing w:line="300" w:lineRule="exact"/>
              <w:jc w:val="left"/>
              <w:rPr>
                <w:rFonts w:ascii="方正书宋_GBK" w:eastAsia="方正书宋_GBK"/>
              </w:rPr>
            </w:pPr>
            <w:r>
              <w:rPr>
                <w:rFonts w:hint="eastAsia" w:ascii="方正书宋_GBK" w:eastAsia="方正书宋_GBK"/>
              </w:rPr>
              <w:t>工程质量合格率</w:t>
            </w:r>
          </w:p>
        </w:tc>
        <w:tc>
          <w:tcPr>
            <w:tcW w:w="737" w:type="dxa"/>
            <w:vAlign w:val="center"/>
          </w:tcPr>
          <w:p w14:paraId="0200952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18F44D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27BED4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2EF9BAD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06A7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0ABBAAB9">
            <w:pPr>
              <w:spacing w:line="300" w:lineRule="exact"/>
              <w:jc w:val="left"/>
              <w:rPr>
                <w:rFonts w:ascii="方正书宋_GBK" w:eastAsia="方正书宋_GBK"/>
                <w:b/>
              </w:rPr>
            </w:pPr>
          </w:p>
        </w:tc>
        <w:tc>
          <w:tcPr>
            <w:tcW w:w="1276" w:type="dxa"/>
            <w:vMerge w:val="continue"/>
            <w:vAlign w:val="center"/>
          </w:tcPr>
          <w:p w14:paraId="0921AF9D">
            <w:pPr>
              <w:spacing w:line="300" w:lineRule="exact"/>
              <w:jc w:val="left"/>
              <w:rPr>
                <w:rFonts w:ascii="方正书宋_GBK" w:eastAsia="方正书宋_GBK"/>
              </w:rPr>
            </w:pPr>
          </w:p>
        </w:tc>
        <w:tc>
          <w:tcPr>
            <w:tcW w:w="2976" w:type="dxa"/>
            <w:vMerge w:val="continue"/>
            <w:vAlign w:val="center"/>
          </w:tcPr>
          <w:p w14:paraId="1346CEDB">
            <w:pPr>
              <w:spacing w:line="300" w:lineRule="exact"/>
              <w:jc w:val="left"/>
              <w:rPr>
                <w:rFonts w:ascii="方正书宋_GBK" w:eastAsia="方正书宋_GBK"/>
              </w:rPr>
            </w:pPr>
          </w:p>
        </w:tc>
        <w:tc>
          <w:tcPr>
            <w:tcW w:w="2976" w:type="dxa"/>
            <w:vMerge w:val="continue"/>
            <w:vAlign w:val="center"/>
          </w:tcPr>
          <w:p w14:paraId="7C796D08">
            <w:pPr>
              <w:spacing w:line="300" w:lineRule="exact"/>
              <w:jc w:val="left"/>
              <w:rPr>
                <w:rFonts w:ascii="方正书宋_GBK" w:eastAsia="方正书宋_GBK"/>
              </w:rPr>
            </w:pPr>
          </w:p>
        </w:tc>
        <w:tc>
          <w:tcPr>
            <w:tcW w:w="1417" w:type="dxa"/>
            <w:vAlign w:val="center"/>
          </w:tcPr>
          <w:p w14:paraId="62A7311E">
            <w:pPr>
              <w:spacing w:line="300" w:lineRule="exact"/>
              <w:jc w:val="left"/>
              <w:rPr>
                <w:rFonts w:ascii="方正书宋_GBK" w:eastAsia="方正书宋_GBK"/>
              </w:rPr>
            </w:pPr>
            <w:r>
              <w:rPr>
                <w:rFonts w:hint="eastAsia" w:ascii="方正书宋_GBK" w:eastAsia="方正书宋_GBK"/>
              </w:rPr>
              <w:t>工程质量合格率</w:t>
            </w:r>
          </w:p>
        </w:tc>
        <w:tc>
          <w:tcPr>
            <w:tcW w:w="737" w:type="dxa"/>
            <w:vAlign w:val="center"/>
          </w:tcPr>
          <w:p w14:paraId="45DAC98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E24F63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49743FF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4B1D5BB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0B4E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DB644B5">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、基础设施管理、维护</w:t>
            </w:r>
          </w:p>
        </w:tc>
        <w:tc>
          <w:tcPr>
            <w:tcW w:w="1276" w:type="dxa"/>
            <w:vAlign w:val="center"/>
          </w:tcPr>
          <w:p w14:paraId="1E17658D">
            <w:pPr>
              <w:spacing w:line="300" w:lineRule="exact"/>
              <w:jc w:val="left"/>
              <w:rPr>
                <w:rFonts w:ascii="方正书宋_GBK" w:eastAsia="方正书宋_GBK"/>
              </w:rPr>
            </w:pPr>
            <w:r>
              <w:rPr>
                <w:rFonts w:ascii="方正书宋_GBK" w:eastAsia="方正书宋_GBK"/>
              </w:rPr>
              <w:t>1395.31</w:t>
            </w:r>
          </w:p>
        </w:tc>
        <w:tc>
          <w:tcPr>
            <w:tcW w:w="2976" w:type="dxa"/>
            <w:vAlign w:val="center"/>
          </w:tcPr>
          <w:p w14:paraId="689270B4">
            <w:pPr>
              <w:spacing w:line="300" w:lineRule="exact"/>
              <w:jc w:val="left"/>
              <w:rPr>
                <w:rFonts w:ascii="方正书宋_GBK" w:eastAsia="方正书宋_GBK"/>
              </w:rPr>
            </w:pPr>
            <w:r>
              <w:rPr>
                <w:rFonts w:hint="eastAsia" w:ascii="方正书宋_GBK" w:eastAsia="方正书宋_GBK"/>
              </w:rPr>
              <w:t>负责开发区内景观绿化、环境整治、照明工作的管理和维护；同时配合审计部门完成园区内各项工程的评审工作。</w:t>
            </w:r>
          </w:p>
        </w:tc>
        <w:tc>
          <w:tcPr>
            <w:tcW w:w="2976" w:type="dxa"/>
            <w:vAlign w:val="center"/>
          </w:tcPr>
          <w:p w14:paraId="15B65537">
            <w:pPr>
              <w:spacing w:line="300" w:lineRule="exact"/>
              <w:jc w:val="left"/>
              <w:rPr>
                <w:rFonts w:ascii="方正书宋_GBK" w:eastAsia="方正书宋_GBK"/>
              </w:rPr>
            </w:pPr>
            <w:r>
              <w:rPr>
                <w:rFonts w:hint="eastAsia" w:ascii="方正书宋_GBK" w:eastAsia="方正书宋_GBK"/>
              </w:rPr>
              <w:t>做好开发区内景观绿化、环境整治、照明工作的管理和维护及审计工作。</w:t>
            </w:r>
          </w:p>
        </w:tc>
        <w:tc>
          <w:tcPr>
            <w:tcW w:w="1417" w:type="dxa"/>
            <w:vAlign w:val="center"/>
          </w:tcPr>
          <w:p w14:paraId="7C8B7966">
            <w:pPr>
              <w:spacing w:line="300" w:lineRule="exact"/>
              <w:jc w:val="left"/>
              <w:rPr>
                <w:rFonts w:ascii="方正书宋_GBK" w:eastAsia="方正书宋_GBK"/>
              </w:rPr>
            </w:pPr>
            <w:r>
              <w:rPr>
                <w:rFonts w:hint="eastAsia" w:ascii="方正书宋_GBK" w:eastAsia="方正书宋_GBK"/>
              </w:rPr>
              <w:t>基础设施日常管理和维护完成率</w:t>
            </w:r>
          </w:p>
        </w:tc>
        <w:tc>
          <w:tcPr>
            <w:tcW w:w="737" w:type="dxa"/>
            <w:vAlign w:val="center"/>
          </w:tcPr>
          <w:p w14:paraId="1C15D54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56423E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5CB07A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5569652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2C1E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8F60C8A">
            <w:pPr>
              <w:spacing w:line="300" w:lineRule="exact"/>
              <w:jc w:val="left"/>
              <w:rPr>
                <w:rFonts w:ascii="方正书宋_GBK" w:eastAsia="方正书宋_GBK"/>
                <w:b/>
              </w:rPr>
            </w:pPr>
            <w:r>
              <w:rPr>
                <w:rFonts w:hint="eastAsia" w:ascii="方正书宋_GBK" w:eastAsia="方正书宋_GBK"/>
                <w:b/>
              </w:rPr>
              <w:t>十一、行政审批</w:t>
            </w:r>
          </w:p>
        </w:tc>
        <w:tc>
          <w:tcPr>
            <w:tcW w:w="1276" w:type="dxa"/>
            <w:vAlign w:val="center"/>
          </w:tcPr>
          <w:p w14:paraId="0B22D982">
            <w:pPr>
              <w:spacing w:line="300" w:lineRule="exact"/>
              <w:jc w:val="left"/>
              <w:rPr>
                <w:rFonts w:ascii="方正书宋_GBK" w:eastAsia="方正书宋_GBK"/>
              </w:rPr>
            </w:pPr>
            <w:r>
              <w:rPr>
                <w:rFonts w:ascii="方正书宋_GBK" w:eastAsia="方正书宋_GBK"/>
              </w:rPr>
              <w:t>137.50</w:t>
            </w:r>
          </w:p>
        </w:tc>
        <w:tc>
          <w:tcPr>
            <w:tcW w:w="2976" w:type="dxa"/>
            <w:vAlign w:val="center"/>
          </w:tcPr>
          <w:p w14:paraId="38A1C48D">
            <w:pPr>
              <w:spacing w:line="300" w:lineRule="exact"/>
              <w:jc w:val="left"/>
              <w:rPr>
                <w:rFonts w:ascii="方正书宋_GBK" w:eastAsia="方正书宋_GBK"/>
              </w:rPr>
            </w:pPr>
            <w:r>
              <w:rPr>
                <w:rFonts w:hint="eastAsia" w:ascii="方正书宋_GBK" w:eastAsia="方正书宋_GBK"/>
              </w:rPr>
              <w:t>负责区委、区政府下放开发区行政许可等</w:t>
            </w:r>
            <w:r>
              <w:rPr>
                <w:rFonts w:hint="eastAsia" w:ascii="方正书宋_GBK" w:eastAsia="方正书宋_GBK"/>
                <w:lang w:eastAsia="zh-CN"/>
              </w:rPr>
              <w:t>权力事项</w:t>
            </w:r>
            <w:r>
              <w:rPr>
                <w:rFonts w:hint="eastAsia" w:ascii="方正书宋_GBK" w:eastAsia="方正书宋_GBK"/>
              </w:rPr>
              <w:t>的办理，做好地税、规划、环保、国土、消防等相关区直部门派驻开发区审批窗口管理人员管理及相关业务衔接。</w:t>
            </w:r>
          </w:p>
        </w:tc>
        <w:tc>
          <w:tcPr>
            <w:tcW w:w="2976" w:type="dxa"/>
            <w:vAlign w:val="center"/>
          </w:tcPr>
          <w:p w14:paraId="01C8C0B8">
            <w:pPr>
              <w:spacing w:line="300" w:lineRule="exact"/>
              <w:jc w:val="left"/>
              <w:rPr>
                <w:rFonts w:ascii="方正书宋_GBK" w:eastAsia="方正书宋_GBK"/>
              </w:rPr>
            </w:pPr>
            <w:r>
              <w:rPr>
                <w:rFonts w:hint="eastAsia" w:ascii="方正书宋_GBK" w:eastAsia="方正书宋_GBK"/>
              </w:rPr>
              <w:t>贯彻执行行政审批相关政策、法律、法规和规定；负责区委、区政府下放开发区行政许可等</w:t>
            </w:r>
            <w:r>
              <w:rPr>
                <w:rFonts w:hint="eastAsia" w:ascii="方正书宋_GBK" w:eastAsia="方正书宋_GBK"/>
                <w:lang w:eastAsia="zh-CN"/>
              </w:rPr>
              <w:t>权力事项</w:t>
            </w:r>
            <w:r>
              <w:rPr>
                <w:rFonts w:hint="eastAsia" w:ascii="方正书宋_GBK" w:eastAsia="方正书宋_GBK"/>
              </w:rPr>
              <w:t>的办理。负责对行政审批政务服务事项流程进行规范和优化，推进行政审批标准化建设；负责规范行政审批行为，并依法全面公开行政审批信息。</w:t>
            </w:r>
          </w:p>
        </w:tc>
        <w:tc>
          <w:tcPr>
            <w:tcW w:w="1417" w:type="dxa"/>
            <w:vAlign w:val="center"/>
          </w:tcPr>
          <w:p w14:paraId="0BBB275E">
            <w:pPr>
              <w:spacing w:line="300" w:lineRule="exact"/>
              <w:jc w:val="left"/>
              <w:rPr>
                <w:rFonts w:ascii="方正书宋_GBK" w:eastAsia="方正书宋_GBK"/>
              </w:rPr>
            </w:pPr>
          </w:p>
        </w:tc>
        <w:tc>
          <w:tcPr>
            <w:tcW w:w="737" w:type="dxa"/>
            <w:vAlign w:val="center"/>
          </w:tcPr>
          <w:p w14:paraId="7163E1EA">
            <w:pPr>
              <w:spacing w:line="300" w:lineRule="exact"/>
              <w:jc w:val="center"/>
              <w:rPr>
                <w:rFonts w:ascii="方正书宋_GBK" w:eastAsia="方正书宋_GBK"/>
              </w:rPr>
            </w:pPr>
          </w:p>
        </w:tc>
        <w:tc>
          <w:tcPr>
            <w:tcW w:w="737" w:type="dxa"/>
            <w:vAlign w:val="center"/>
          </w:tcPr>
          <w:p w14:paraId="4243A397">
            <w:pPr>
              <w:spacing w:line="300" w:lineRule="exact"/>
              <w:jc w:val="center"/>
              <w:rPr>
                <w:rFonts w:ascii="方正书宋_GBK" w:eastAsia="方正书宋_GBK"/>
              </w:rPr>
            </w:pPr>
          </w:p>
        </w:tc>
        <w:tc>
          <w:tcPr>
            <w:tcW w:w="737" w:type="dxa"/>
            <w:vAlign w:val="center"/>
          </w:tcPr>
          <w:p w14:paraId="171E4BC2">
            <w:pPr>
              <w:spacing w:line="300" w:lineRule="exact"/>
              <w:jc w:val="center"/>
              <w:rPr>
                <w:rFonts w:ascii="方正书宋_GBK" w:eastAsia="方正书宋_GBK"/>
              </w:rPr>
            </w:pPr>
          </w:p>
        </w:tc>
        <w:tc>
          <w:tcPr>
            <w:tcW w:w="737" w:type="dxa"/>
            <w:vAlign w:val="center"/>
          </w:tcPr>
          <w:p w14:paraId="7772416B">
            <w:pPr>
              <w:spacing w:line="300" w:lineRule="exact"/>
              <w:jc w:val="center"/>
              <w:rPr>
                <w:rFonts w:ascii="方正书宋_GBK" w:eastAsia="方正书宋_GBK"/>
              </w:rPr>
            </w:pPr>
          </w:p>
        </w:tc>
      </w:tr>
      <w:tr w14:paraId="79E8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41CC85F">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、行政审批</w:t>
            </w:r>
          </w:p>
        </w:tc>
        <w:tc>
          <w:tcPr>
            <w:tcW w:w="1276" w:type="dxa"/>
            <w:vAlign w:val="center"/>
          </w:tcPr>
          <w:p w14:paraId="714AFB42">
            <w:pPr>
              <w:spacing w:line="300" w:lineRule="exact"/>
              <w:jc w:val="left"/>
              <w:rPr>
                <w:rFonts w:ascii="方正书宋_GBK" w:eastAsia="方正书宋_GBK"/>
              </w:rPr>
            </w:pPr>
            <w:r>
              <w:rPr>
                <w:rFonts w:ascii="方正书宋_GBK" w:eastAsia="方正书宋_GBK"/>
              </w:rPr>
              <w:t>137.50</w:t>
            </w:r>
          </w:p>
        </w:tc>
        <w:tc>
          <w:tcPr>
            <w:tcW w:w="2976" w:type="dxa"/>
            <w:vAlign w:val="center"/>
          </w:tcPr>
          <w:p w14:paraId="3C6DBF7B">
            <w:pPr>
              <w:spacing w:line="300" w:lineRule="exact"/>
              <w:jc w:val="left"/>
              <w:rPr>
                <w:rFonts w:ascii="方正书宋_GBK" w:eastAsia="方正书宋_GBK"/>
              </w:rPr>
            </w:pPr>
            <w:r>
              <w:rPr>
                <w:rFonts w:hint="eastAsia" w:ascii="方正书宋_GBK" w:eastAsia="方正书宋_GBK"/>
              </w:rPr>
              <w:t>以便民、高效、廉洁、规范为宗旨，推行</w:t>
            </w:r>
            <w:r>
              <w:rPr>
                <w:rFonts w:ascii="方正书宋_GBK" w:eastAsia="方正书宋_GBK"/>
              </w:rPr>
              <w:t>“</w:t>
            </w:r>
            <w:r>
              <w:rPr>
                <w:rFonts w:hint="eastAsia" w:ascii="方正书宋_GBK" w:eastAsia="方正书宋_GBK"/>
              </w:rPr>
              <w:t>一站式办公、一条龙服务、并联式审批、阳光下作业、规范化管理</w:t>
            </w:r>
            <w:r>
              <w:rPr>
                <w:rFonts w:ascii="方正书宋_GBK" w:eastAsia="方正书宋_GBK"/>
              </w:rPr>
              <w:t>”</w:t>
            </w:r>
            <w:r>
              <w:rPr>
                <w:rFonts w:hint="eastAsia" w:ascii="方正书宋_GBK" w:eastAsia="方正书宋_GBK"/>
              </w:rPr>
              <w:t>的运行模式。</w:t>
            </w:r>
          </w:p>
        </w:tc>
        <w:tc>
          <w:tcPr>
            <w:tcW w:w="2976" w:type="dxa"/>
            <w:vAlign w:val="center"/>
          </w:tcPr>
          <w:p w14:paraId="482674C9">
            <w:pPr>
              <w:spacing w:line="300" w:lineRule="exact"/>
              <w:jc w:val="left"/>
              <w:rPr>
                <w:rFonts w:ascii="方正书宋_GBK" w:eastAsia="方正书宋_GBK"/>
              </w:rPr>
            </w:pPr>
            <w:r>
              <w:rPr>
                <w:rFonts w:hint="eastAsia" w:ascii="方正书宋_GBK" w:eastAsia="方正书宋_GBK"/>
              </w:rPr>
              <w:t>集中办事，方便群众，加强监督，提高效率。</w:t>
            </w:r>
          </w:p>
        </w:tc>
        <w:tc>
          <w:tcPr>
            <w:tcW w:w="1417" w:type="dxa"/>
            <w:vAlign w:val="center"/>
          </w:tcPr>
          <w:p w14:paraId="52F4BF26">
            <w:pPr>
              <w:spacing w:line="300" w:lineRule="exact"/>
              <w:jc w:val="left"/>
              <w:rPr>
                <w:rFonts w:ascii="方正书宋_GBK" w:eastAsia="方正书宋_GBK"/>
              </w:rPr>
            </w:pPr>
            <w:r>
              <w:rPr>
                <w:rFonts w:hint="eastAsia" w:ascii="方正书宋_GBK" w:eastAsia="方正书宋_GBK"/>
              </w:rPr>
              <w:t>行政审批办结率</w:t>
            </w:r>
          </w:p>
        </w:tc>
        <w:tc>
          <w:tcPr>
            <w:tcW w:w="737" w:type="dxa"/>
            <w:vAlign w:val="center"/>
          </w:tcPr>
          <w:p w14:paraId="7DA992EF">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381BA4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7BEFC84">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0E88D85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1948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3B0A1BFD">
            <w:pPr>
              <w:spacing w:line="300" w:lineRule="exact"/>
              <w:jc w:val="left"/>
              <w:rPr>
                <w:rFonts w:ascii="方正书宋_GBK" w:eastAsia="方正书宋_GBK"/>
                <w:b/>
              </w:rPr>
            </w:pPr>
            <w:r>
              <w:rPr>
                <w:rFonts w:hint="eastAsia" w:ascii="方正书宋_GBK" w:eastAsia="方正书宋_GBK"/>
                <w:b/>
              </w:rPr>
              <w:t>十二、财政事务</w:t>
            </w:r>
          </w:p>
        </w:tc>
        <w:tc>
          <w:tcPr>
            <w:tcW w:w="1276" w:type="dxa"/>
            <w:vAlign w:val="center"/>
          </w:tcPr>
          <w:p w14:paraId="3BFF2BCE">
            <w:pPr>
              <w:spacing w:line="300" w:lineRule="exact"/>
              <w:jc w:val="left"/>
              <w:rPr>
                <w:rFonts w:ascii="方正书宋_GBK" w:eastAsia="方正书宋_GBK"/>
              </w:rPr>
            </w:pPr>
          </w:p>
        </w:tc>
        <w:tc>
          <w:tcPr>
            <w:tcW w:w="2976" w:type="dxa"/>
            <w:vAlign w:val="center"/>
          </w:tcPr>
          <w:p w14:paraId="46C458DA">
            <w:pPr>
              <w:spacing w:line="300" w:lineRule="exact"/>
              <w:jc w:val="left"/>
              <w:rPr>
                <w:rFonts w:ascii="方正书宋_GBK" w:eastAsia="方正书宋_GBK"/>
              </w:rPr>
            </w:pPr>
            <w:r>
              <w:rPr>
                <w:rFonts w:hint="eastAsia" w:ascii="方正书宋_GBK" w:eastAsia="方正书宋_GBK"/>
              </w:rPr>
              <w:t>负责编制开发区年度财政预决算、财政、财务活动管理；农村经济财务管理；负责国有资产管理和财政监督工作；负责协调税费征收、税务稽查、税务管理工作；负责规划建设项目的工程决算工作；负责辖区农机推广体系建设与管理工作；负责机关人员的社保、医保、住房公积金缴纳、有编制人员调资等工作；负责投融资平台工作。</w:t>
            </w:r>
          </w:p>
        </w:tc>
        <w:tc>
          <w:tcPr>
            <w:tcW w:w="2976" w:type="dxa"/>
            <w:vAlign w:val="center"/>
          </w:tcPr>
          <w:p w14:paraId="2F91C725">
            <w:pPr>
              <w:spacing w:line="300" w:lineRule="exact"/>
              <w:jc w:val="left"/>
              <w:rPr>
                <w:rFonts w:ascii="方正书宋_GBK" w:eastAsia="方正书宋_GBK"/>
              </w:rPr>
            </w:pPr>
            <w:r>
              <w:rPr>
                <w:rFonts w:hint="eastAsia" w:ascii="方正书宋_GBK" w:eastAsia="方正书宋_GBK"/>
              </w:rPr>
              <w:t>编制开发区年度预决算草案并组织执行负责组织财政收入，完成各项收入任务，加强对财政资金支出的审核、管理，对专项资金的使用管理及绩效情况进行检查；完成乡镇财政计划和经济发展规划，做好审计工作；负责国有资产监督管理工作；完成上级财政部门和党委政府交办的其他工作任务。</w:t>
            </w:r>
          </w:p>
        </w:tc>
        <w:tc>
          <w:tcPr>
            <w:tcW w:w="1417" w:type="dxa"/>
            <w:vAlign w:val="center"/>
          </w:tcPr>
          <w:p w14:paraId="0C125DE7">
            <w:pPr>
              <w:spacing w:line="300" w:lineRule="exact"/>
              <w:jc w:val="left"/>
              <w:rPr>
                <w:rFonts w:ascii="方正书宋_GBK" w:eastAsia="方正书宋_GBK"/>
              </w:rPr>
            </w:pPr>
          </w:p>
        </w:tc>
        <w:tc>
          <w:tcPr>
            <w:tcW w:w="737" w:type="dxa"/>
            <w:vAlign w:val="center"/>
          </w:tcPr>
          <w:p w14:paraId="1C617275">
            <w:pPr>
              <w:spacing w:line="300" w:lineRule="exact"/>
              <w:jc w:val="center"/>
              <w:rPr>
                <w:rFonts w:ascii="方正书宋_GBK" w:eastAsia="方正书宋_GBK"/>
              </w:rPr>
            </w:pPr>
          </w:p>
        </w:tc>
        <w:tc>
          <w:tcPr>
            <w:tcW w:w="737" w:type="dxa"/>
            <w:vAlign w:val="center"/>
          </w:tcPr>
          <w:p w14:paraId="6F8F9C32">
            <w:pPr>
              <w:spacing w:line="300" w:lineRule="exact"/>
              <w:jc w:val="center"/>
              <w:rPr>
                <w:rFonts w:ascii="方正书宋_GBK" w:eastAsia="方正书宋_GBK"/>
              </w:rPr>
            </w:pPr>
          </w:p>
        </w:tc>
        <w:tc>
          <w:tcPr>
            <w:tcW w:w="737" w:type="dxa"/>
            <w:vAlign w:val="center"/>
          </w:tcPr>
          <w:p w14:paraId="0D5C2C18">
            <w:pPr>
              <w:spacing w:line="300" w:lineRule="exact"/>
              <w:jc w:val="center"/>
              <w:rPr>
                <w:rFonts w:ascii="方正书宋_GBK" w:eastAsia="方正书宋_GBK"/>
              </w:rPr>
            </w:pPr>
          </w:p>
        </w:tc>
        <w:tc>
          <w:tcPr>
            <w:tcW w:w="737" w:type="dxa"/>
            <w:vAlign w:val="center"/>
          </w:tcPr>
          <w:p w14:paraId="4EF4C772">
            <w:pPr>
              <w:spacing w:line="300" w:lineRule="exact"/>
              <w:jc w:val="center"/>
              <w:rPr>
                <w:rFonts w:ascii="方正书宋_GBK" w:eastAsia="方正书宋_GBK"/>
              </w:rPr>
            </w:pPr>
          </w:p>
        </w:tc>
      </w:tr>
      <w:tr w14:paraId="491A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182B19C8">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、财政事务</w:t>
            </w:r>
          </w:p>
        </w:tc>
        <w:tc>
          <w:tcPr>
            <w:tcW w:w="1276" w:type="dxa"/>
            <w:vMerge w:val="restart"/>
            <w:vAlign w:val="center"/>
          </w:tcPr>
          <w:p w14:paraId="2E0DFB22">
            <w:pPr>
              <w:spacing w:line="300" w:lineRule="exact"/>
              <w:jc w:val="left"/>
              <w:rPr>
                <w:rFonts w:ascii="方正书宋_GBK" w:eastAsia="方正书宋_GBK"/>
              </w:rPr>
            </w:pPr>
          </w:p>
        </w:tc>
        <w:tc>
          <w:tcPr>
            <w:tcW w:w="2976" w:type="dxa"/>
            <w:vMerge w:val="restart"/>
            <w:vAlign w:val="center"/>
          </w:tcPr>
          <w:p w14:paraId="01AEB7E3">
            <w:pPr>
              <w:spacing w:line="300" w:lineRule="exact"/>
              <w:jc w:val="left"/>
              <w:rPr>
                <w:rFonts w:ascii="方正书宋_GBK" w:eastAsia="方正书宋_GBK"/>
              </w:rPr>
            </w:pPr>
            <w:r>
              <w:rPr>
                <w:rFonts w:hint="eastAsia" w:ascii="方正书宋_GBK" w:eastAsia="方正书宋_GBK"/>
              </w:rPr>
              <w:t>编制开发区年度预决算，组织财政收入，加强对财政资金支出的审核、管理，对专项资金的使用管理及绩效情况进行检查；完成开发区财政计划和经济发展规划，做好财政、审计工作</w:t>
            </w:r>
            <w:r>
              <w:rPr>
                <w:rFonts w:ascii="方正书宋_GBK" w:eastAsia="方正书宋_GBK"/>
              </w:rPr>
              <w:t>.</w:t>
            </w:r>
            <w:r>
              <w:rPr>
                <w:rFonts w:hint="eastAsia" w:ascii="方正书宋_GBK" w:eastAsia="方正书宋_GBK"/>
              </w:rPr>
              <w:t>加强国有资产监督管理工作。</w:t>
            </w:r>
          </w:p>
        </w:tc>
        <w:tc>
          <w:tcPr>
            <w:tcW w:w="2976" w:type="dxa"/>
            <w:vMerge w:val="restart"/>
            <w:vAlign w:val="center"/>
          </w:tcPr>
          <w:p w14:paraId="3C3E53DF">
            <w:pPr>
              <w:spacing w:line="300" w:lineRule="exact"/>
              <w:jc w:val="left"/>
              <w:rPr>
                <w:rFonts w:ascii="方正书宋_GBK" w:eastAsia="方正书宋_GBK"/>
              </w:rPr>
            </w:pPr>
            <w:r>
              <w:rPr>
                <w:rFonts w:hint="eastAsia" w:ascii="方正书宋_GBK" w:eastAsia="方正书宋_GBK"/>
              </w:rPr>
              <w:t>完成年度预决算编制工作；确保完成财政收入任务；财政资金支出的审核、管理，对专项资金的使用管理及绩效情况进行检查；加强国有资产监督管理工作。</w:t>
            </w:r>
          </w:p>
        </w:tc>
        <w:tc>
          <w:tcPr>
            <w:tcW w:w="1417" w:type="dxa"/>
            <w:vAlign w:val="center"/>
          </w:tcPr>
          <w:p w14:paraId="75E5A2F0">
            <w:pPr>
              <w:spacing w:line="300" w:lineRule="exact"/>
              <w:jc w:val="left"/>
              <w:rPr>
                <w:rFonts w:ascii="方正书宋_GBK" w:eastAsia="方正书宋_GBK"/>
              </w:rPr>
            </w:pPr>
            <w:r>
              <w:rPr>
                <w:rFonts w:hint="eastAsia" w:ascii="方正书宋_GBK" w:eastAsia="方正书宋_GBK"/>
              </w:rPr>
              <w:t>制定开发区财政计划和经济发展规划，财政、审计工作完成率</w:t>
            </w:r>
          </w:p>
        </w:tc>
        <w:tc>
          <w:tcPr>
            <w:tcW w:w="737" w:type="dxa"/>
            <w:vAlign w:val="center"/>
          </w:tcPr>
          <w:p w14:paraId="002C954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3300192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65C8EC3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14:paraId="45598180">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14:paraId="146A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327A21B7">
            <w:pPr>
              <w:spacing w:line="300" w:lineRule="exact"/>
              <w:jc w:val="left"/>
              <w:rPr>
                <w:rFonts w:ascii="方正书宋_GBK" w:eastAsia="方正书宋_GBK"/>
                <w:b/>
              </w:rPr>
            </w:pPr>
          </w:p>
        </w:tc>
        <w:tc>
          <w:tcPr>
            <w:tcW w:w="1276" w:type="dxa"/>
            <w:vMerge w:val="continue"/>
            <w:vAlign w:val="center"/>
          </w:tcPr>
          <w:p w14:paraId="576836C6">
            <w:pPr>
              <w:spacing w:line="300" w:lineRule="exact"/>
              <w:jc w:val="left"/>
              <w:rPr>
                <w:rFonts w:ascii="方正书宋_GBK" w:eastAsia="方正书宋_GBK"/>
              </w:rPr>
            </w:pPr>
          </w:p>
        </w:tc>
        <w:tc>
          <w:tcPr>
            <w:tcW w:w="2976" w:type="dxa"/>
            <w:vMerge w:val="continue"/>
            <w:vAlign w:val="center"/>
          </w:tcPr>
          <w:p w14:paraId="3A0B9A0E">
            <w:pPr>
              <w:spacing w:line="300" w:lineRule="exact"/>
              <w:jc w:val="left"/>
              <w:rPr>
                <w:rFonts w:ascii="方正书宋_GBK" w:eastAsia="方正书宋_GBK"/>
              </w:rPr>
            </w:pPr>
          </w:p>
        </w:tc>
        <w:tc>
          <w:tcPr>
            <w:tcW w:w="2976" w:type="dxa"/>
            <w:vMerge w:val="continue"/>
            <w:vAlign w:val="center"/>
          </w:tcPr>
          <w:p w14:paraId="4884F1E5">
            <w:pPr>
              <w:spacing w:line="300" w:lineRule="exact"/>
              <w:jc w:val="left"/>
              <w:rPr>
                <w:rFonts w:ascii="方正书宋_GBK" w:eastAsia="方正书宋_GBK"/>
              </w:rPr>
            </w:pPr>
          </w:p>
        </w:tc>
        <w:tc>
          <w:tcPr>
            <w:tcW w:w="1417" w:type="dxa"/>
            <w:vAlign w:val="center"/>
          </w:tcPr>
          <w:p w14:paraId="49BDF764">
            <w:pPr>
              <w:spacing w:line="300" w:lineRule="exact"/>
              <w:jc w:val="left"/>
              <w:rPr>
                <w:rFonts w:ascii="方正书宋_GBK" w:eastAsia="方正书宋_GBK"/>
              </w:rPr>
            </w:pPr>
            <w:r>
              <w:rPr>
                <w:rFonts w:hint="eastAsia" w:ascii="方正书宋_GBK" w:eastAsia="方正书宋_GBK"/>
              </w:rPr>
              <w:t>财政事务工作完成率</w:t>
            </w:r>
          </w:p>
        </w:tc>
        <w:tc>
          <w:tcPr>
            <w:tcW w:w="737" w:type="dxa"/>
            <w:vAlign w:val="center"/>
          </w:tcPr>
          <w:p w14:paraId="5F13CED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63A89C49">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C9B407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3B70783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157A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744B966">
            <w:pPr>
              <w:spacing w:line="300" w:lineRule="exact"/>
              <w:jc w:val="left"/>
              <w:rPr>
                <w:rFonts w:ascii="方正书宋_GBK" w:eastAsia="方正书宋_GBK"/>
                <w:b/>
              </w:rPr>
            </w:pPr>
            <w:r>
              <w:rPr>
                <w:rFonts w:hint="eastAsia" w:ascii="方正书宋_GBK" w:eastAsia="方正书宋_GBK"/>
                <w:b/>
              </w:rPr>
              <w:t>十三、完善农村经营管理体制</w:t>
            </w:r>
          </w:p>
        </w:tc>
        <w:tc>
          <w:tcPr>
            <w:tcW w:w="1276" w:type="dxa"/>
            <w:vAlign w:val="center"/>
          </w:tcPr>
          <w:p w14:paraId="67CC231E">
            <w:pPr>
              <w:spacing w:line="300" w:lineRule="exact"/>
              <w:jc w:val="left"/>
              <w:rPr>
                <w:rFonts w:ascii="方正书宋_GBK" w:eastAsia="方正书宋_GBK"/>
              </w:rPr>
            </w:pPr>
          </w:p>
        </w:tc>
        <w:tc>
          <w:tcPr>
            <w:tcW w:w="2976" w:type="dxa"/>
            <w:vAlign w:val="center"/>
          </w:tcPr>
          <w:p w14:paraId="75058D71">
            <w:pPr>
              <w:spacing w:line="300" w:lineRule="exact"/>
              <w:jc w:val="left"/>
              <w:rPr>
                <w:rFonts w:ascii="方正书宋_GBK" w:eastAsia="方正书宋_GBK"/>
              </w:rPr>
            </w:pPr>
            <w:r>
              <w:rPr>
                <w:rFonts w:hint="eastAsia" w:ascii="方正书宋_GBK" w:eastAsia="方正书宋_GBK"/>
              </w:rPr>
              <w:t>推进农村集体产权制度改革，完善农村土地承包制度，引导农村土地合理流转。创新农业经营主体。</w:t>
            </w:r>
          </w:p>
        </w:tc>
        <w:tc>
          <w:tcPr>
            <w:tcW w:w="2976" w:type="dxa"/>
            <w:vAlign w:val="center"/>
          </w:tcPr>
          <w:p w14:paraId="37D58328">
            <w:pPr>
              <w:spacing w:line="300" w:lineRule="exact"/>
              <w:jc w:val="left"/>
              <w:rPr>
                <w:rFonts w:ascii="方正书宋_GBK" w:eastAsia="方正书宋_GBK"/>
              </w:rPr>
            </w:pPr>
            <w:r>
              <w:rPr>
                <w:rFonts w:hint="eastAsia" w:ascii="方正书宋_GBK" w:eastAsia="方正书宋_GBK"/>
              </w:rPr>
              <w:t>规范流转行为，优化资源配置，促进农民专业合作经济组织健康发展，加快新农村建设和城镇化进程。</w:t>
            </w:r>
          </w:p>
        </w:tc>
        <w:tc>
          <w:tcPr>
            <w:tcW w:w="1417" w:type="dxa"/>
            <w:vAlign w:val="center"/>
          </w:tcPr>
          <w:p w14:paraId="713FA58A">
            <w:pPr>
              <w:spacing w:line="300" w:lineRule="exact"/>
              <w:jc w:val="left"/>
              <w:rPr>
                <w:rFonts w:ascii="方正书宋_GBK" w:eastAsia="方正书宋_GBK"/>
              </w:rPr>
            </w:pPr>
          </w:p>
        </w:tc>
        <w:tc>
          <w:tcPr>
            <w:tcW w:w="737" w:type="dxa"/>
            <w:vAlign w:val="center"/>
          </w:tcPr>
          <w:p w14:paraId="1A1E3686">
            <w:pPr>
              <w:spacing w:line="300" w:lineRule="exact"/>
              <w:jc w:val="center"/>
              <w:rPr>
                <w:rFonts w:ascii="方正书宋_GBK" w:eastAsia="方正书宋_GBK"/>
              </w:rPr>
            </w:pPr>
          </w:p>
        </w:tc>
        <w:tc>
          <w:tcPr>
            <w:tcW w:w="737" w:type="dxa"/>
            <w:vAlign w:val="center"/>
          </w:tcPr>
          <w:p w14:paraId="4E526653">
            <w:pPr>
              <w:spacing w:line="300" w:lineRule="exact"/>
              <w:jc w:val="center"/>
              <w:rPr>
                <w:rFonts w:ascii="方正书宋_GBK" w:eastAsia="方正书宋_GBK"/>
              </w:rPr>
            </w:pPr>
          </w:p>
        </w:tc>
        <w:tc>
          <w:tcPr>
            <w:tcW w:w="737" w:type="dxa"/>
            <w:vAlign w:val="center"/>
          </w:tcPr>
          <w:p w14:paraId="48A8C9B5">
            <w:pPr>
              <w:spacing w:line="300" w:lineRule="exact"/>
              <w:jc w:val="center"/>
              <w:rPr>
                <w:rFonts w:ascii="方正书宋_GBK" w:eastAsia="方正书宋_GBK"/>
              </w:rPr>
            </w:pPr>
          </w:p>
        </w:tc>
        <w:tc>
          <w:tcPr>
            <w:tcW w:w="737" w:type="dxa"/>
            <w:vAlign w:val="center"/>
          </w:tcPr>
          <w:p w14:paraId="409F1CC6">
            <w:pPr>
              <w:spacing w:line="300" w:lineRule="exact"/>
              <w:jc w:val="center"/>
              <w:rPr>
                <w:rFonts w:ascii="方正书宋_GBK" w:eastAsia="方正书宋_GBK"/>
              </w:rPr>
            </w:pPr>
          </w:p>
        </w:tc>
      </w:tr>
      <w:tr w14:paraId="47A9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34D00616">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、促进土地流转</w:t>
            </w:r>
          </w:p>
        </w:tc>
        <w:tc>
          <w:tcPr>
            <w:tcW w:w="1276" w:type="dxa"/>
            <w:vAlign w:val="center"/>
          </w:tcPr>
          <w:p w14:paraId="561F1226">
            <w:pPr>
              <w:spacing w:line="300" w:lineRule="exact"/>
              <w:jc w:val="left"/>
              <w:rPr>
                <w:rFonts w:ascii="方正书宋_GBK" w:eastAsia="方正书宋_GBK"/>
              </w:rPr>
            </w:pPr>
          </w:p>
        </w:tc>
        <w:tc>
          <w:tcPr>
            <w:tcW w:w="2976" w:type="dxa"/>
            <w:vAlign w:val="center"/>
          </w:tcPr>
          <w:p w14:paraId="1939F7EC">
            <w:pPr>
              <w:spacing w:line="300" w:lineRule="exact"/>
              <w:jc w:val="left"/>
              <w:rPr>
                <w:rFonts w:ascii="方正书宋_GBK" w:eastAsia="方正书宋_GBK"/>
              </w:rPr>
            </w:pPr>
            <w:r>
              <w:rPr>
                <w:rFonts w:hint="eastAsia" w:ascii="方正书宋_GBK" w:eastAsia="方正书宋_GBK"/>
              </w:rPr>
              <w:t>建设土地流转有形市场。</w:t>
            </w:r>
          </w:p>
        </w:tc>
        <w:tc>
          <w:tcPr>
            <w:tcW w:w="2976" w:type="dxa"/>
            <w:vAlign w:val="center"/>
          </w:tcPr>
          <w:p w14:paraId="6A460C2E">
            <w:pPr>
              <w:spacing w:line="300" w:lineRule="exact"/>
              <w:jc w:val="left"/>
              <w:rPr>
                <w:rFonts w:ascii="方正书宋_GBK" w:eastAsia="方正书宋_GBK"/>
              </w:rPr>
            </w:pPr>
            <w:r>
              <w:rPr>
                <w:rFonts w:hint="eastAsia" w:ascii="方正书宋_GBK" w:eastAsia="方正书宋_GBK"/>
              </w:rPr>
              <w:t>指导全乡建立运转顺畅、便捷高效的农村土地承包经营权流转服务平台，带动土地流转依法、有序开展</w:t>
            </w:r>
          </w:p>
        </w:tc>
        <w:tc>
          <w:tcPr>
            <w:tcW w:w="1417" w:type="dxa"/>
            <w:vAlign w:val="center"/>
          </w:tcPr>
          <w:p w14:paraId="2AD45E55">
            <w:pPr>
              <w:spacing w:line="300" w:lineRule="exact"/>
              <w:jc w:val="left"/>
              <w:rPr>
                <w:rFonts w:ascii="方正书宋_GBK" w:eastAsia="方正书宋_GBK"/>
              </w:rPr>
            </w:pPr>
            <w:r>
              <w:rPr>
                <w:rFonts w:hint="eastAsia" w:ascii="方正书宋_GBK" w:eastAsia="方正书宋_GBK"/>
              </w:rPr>
              <w:t>土地流转提高率</w:t>
            </w:r>
          </w:p>
        </w:tc>
        <w:tc>
          <w:tcPr>
            <w:tcW w:w="737" w:type="dxa"/>
            <w:vAlign w:val="center"/>
          </w:tcPr>
          <w:p w14:paraId="5EFA939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4B1FA17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9899831">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55A1D5A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0D19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14EFDE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、土地确权登记</w:t>
            </w:r>
          </w:p>
        </w:tc>
        <w:tc>
          <w:tcPr>
            <w:tcW w:w="1276" w:type="dxa"/>
            <w:vAlign w:val="center"/>
          </w:tcPr>
          <w:p w14:paraId="082A9B6F">
            <w:pPr>
              <w:spacing w:line="300" w:lineRule="exact"/>
              <w:jc w:val="left"/>
              <w:rPr>
                <w:rFonts w:ascii="方正书宋_GBK" w:eastAsia="方正书宋_GBK"/>
              </w:rPr>
            </w:pPr>
          </w:p>
        </w:tc>
        <w:tc>
          <w:tcPr>
            <w:tcW w:w="2976" w:type="dxa"/>
            <w:vAlign w:val="center"/>
          </w:tcPr>
          <w:p w14:paraId="39AAE842">
            <w:pPr>
              <w:spacing w:line="300" w:lineRule="exact"/>
              <w:jc w:val="left"/>
              <w:rPr>
                <w:rFonts w:ascii="方正书宋_GBK" w:eastAsia="方正书宋_GBK"/>
              </w:rPr>
            </w:pPr>
            <w:r>
              <w:rPr>
                <w:rFonts w:hint="eastAsia" w:ascii="方正书宋_GBK" w:eastAsia="方正书宋_GBK"/>
              </w:rPr>
              <w:t>根据国家要求开展农村土地承包经营确权登记试点，并逐步向全县全面推开。</w:t>
            </w:r>
          </w:p>
        </w:tc>
        <w:tc>
          <w:tcPr>
            <w:tcW w:w="2976" w:type="dxa"/>
            <w:vAlign w:val="center"/>
          </w:tcPr>
          <w:p w14:paraId="4BC06D3D">
            <w:pPr>
              <w:spacing w:line="300" w:lineRule="exact"/>
              <w:jc w:val="left"/>
              <w:rPr>
                <w:rFonts w:ascii="方正书宋_GBK" w:eastAsia="方正书宋_GBK"/>
              </w:rPr>
            </w:pPr>
            <w:r>
              <w:rPr>
                <w:rFonts w:hint="eastAsia" w:ascii="方正书宋_GBK" w:eastAsia="方正书宋_GBK"/>
              </w:rPr>
              <w:t>完成全乡耕地面积</w:t>
            </w:r>
            <w:r>
              <w:rPr>
                <w:rFonts w:ascii="方正书宋_GBK" w:eastAsia="方正书宋_GBK"/>
              </w:rPr>
              <w:t>50%</w:t>
            </w:r>
            <w:r>
              <w:rPr>
                <w:rFonts w:hint="eastAsia" w:ascii="方正书宋_GBK" w:eastAsia="方正书宋_GBK"/>
              </w:rPr>
              <w:t>的确权登记颁证目标</w:t>
            </w:r>
          </w:p>
        </w:tc>
        <w:tc>
          <w:tcPr>
            <w:tcW w:w="1417" w:type="dxa"/>
            <w:vAlign w:val="center"/>
          </w:tcPr>
          <w:p w14:paraId="4C376C8D">
            <w:pPr>
              <w:spacing w:line="300" w:lineRule="exact"/>
              <w:jc w:val="left"/>
              <w:rPr>
                <w:rFonts w:ascii="方正书宋_GBK" w:eastAsia="方正书宋_GBK"/>
              </w:rPr>
            </w:pPr>
            <w:r>
              <w:rPr>
                <w:rFonts w:hint="eastAsia" w:ascii="方正书宋_GBK" w:eastAsia="方正书宋_GBK"/>
              </w:rPr>
              <w:t>农村土地承包土地确权登记颁证率</w:t>
            </w:r>
          </w:p>
        </w:tc>
        <w:tc>
          <w:tcPr>
            <w:tcW w:w="737" w:type="dxa"/>
            <w:vAlign w:val="center"/>
          </w:tcPr>
          <w:p w14:paraId="2E9456D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538A6F1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046F2E0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22862A5C">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19AC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5094E6B6">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、农村经营管理</w:t>
            </w:r>
          </w:p>
        </w:tc>
        <w:tc>
          <w:tcPr>
            <w:tcW w:w="1276" w:type="dxa"/>
            <w:vAlign w:val="center"/>
          </w:tcPr>
          <w:p w14:paraId="4539C69C">
            <w:pPr>
              <w:spacing w:line="300" w:lineRule="exact"/>
              <w:jc w:val="left"/>
              <w:rPr>
                <w:rFonts w:ascii="方正书宋_GBK" w:eastAsia="方正书宋_GBK"/>
              </w:rPr>
            </w:pPr>
          </w:p>
        </w:tc>
        <w:tc>
          <w:tcPr>
            <w:tcW w:w="2976" w:type="dxa"/>
            <w:vAlign w:val="center"/>
          </w:tcPr>
          <w:p w14:paraId="3D875E76">
            <w:pPr>
              <w:spacing w:line="300" w:lineRule="exact"/>
              <w:jc w:val="left"/>
              <w:rPr>
                <w:rFonts w:ascii="方正书宋_GBK" w:eastAsia="方正书宋_GBK"/>
              </w:rPr>
            </w:pPr>
            <w:r>
              <w:rPr>
                <w:rFonts w:hint="eastAsia" w:ascii="方正书宋_GBK" w:eastAsia="方正书宋_GBK"/>
              </w:rPr>
              <w:t>支持农民专业合作组织规范、健康发展。建立健全农村集体</w:t>
            </w:r>
            <w:r>
              <w:rPr>
                <w:rFonts w:ascii="方正书宋_GBK" w:eastAsia="方正书宋_GBK"/>
              </w:rPr>
              <w:t>“</w:t>
            </w:r>
            <w:r>
              <w:rPr>
                <w:rFonts w:hint="eastAsia" w:ascii="方正书宋_GBK" w:eastAsia="方正书宋_GBK"/>
              </w:rPr>
              <w:t>三资</w:t>
            </w:r>
            <w:r>
              <w:rPr>
                <w:rFonts w:ascii="方正书宋_GBK" w:eastAsia="方正书宋_GBK"/>
              </w:rPr>
              <w:t>”</w:t>
            </w:r>
            <w:r>
              <w:rPr>
                <w:rFonts w:hint="eastAsia" w:ascii="方正书宋_GBK" w:eastAsia="方正书宋_GBK"/>
              </w:rPr>
              <w:t>管理制度，盘活集体存量资产资源，拓宽集体增收渠道，促进农村集体资产保值增值。</w:t>
            </w:r>
          </w:p>
        </w:tc>
        <w:tc>
          <w:tcPr>
            <w:tcW w:w="2976" w:type="dxa"/>
            <w:vAlign w:val="center"/>
          </w:tcPr>
          <w:p w14:paraId="37F7EC05">
            <w:pPr>
              <w:spacing w:line="300" w:lineRule="exact"/>
              <w:jc w:val="left"/>
              <w:rPr>
                <w:rFonts w:ascii="方正书宋_GBK" w:eastAsia="方正书宋_GBK"/>
              </w:rPr>
            </w:pPr>
            <w:r>
              <w:rPr>
                <w:rFonts w:hint="eastAsia" w:ascii="方正书宋_GBK" w:eastAsia="方正书宋_GBK"/>
              </w:rPr>
              <w:t>健全农村集体</w:t>
            </w:r>
            <w:r>
              <w:rPr>
                <w:rFonts w:ascii="方正书宋_GBK" w:eastAsia="方正书宋_GBK"/>
              </w:rPr>
              <w:t>“</w:t>
            </w:r>
            <w:r>
              <w:rPr>
                <w:rFonts w:hint="eastAsia" w:ascii="方正书宋_GBK" w:eastAsia="方正书宋_GBK"/>
              </w:rPr>
              <w:t>三资</w:t>
            </w:r>
            <w:r>
              <w:rPr>
                <w:rFonts w:ascii="方正书宋_GBK" w:eastAsia="方正书宋_GBK"/>
              </w:rPr>
              <w:t>”</w:t>
            </w:r>
            <w:r>
              <w:rPr>
                <w:rFonts w:hint="eastAsia" w:ascii="方正书宋_GBK" w:eastAsia="方正书宋_GBK"/>
              </w:rPr>
              <w:t>管理制度，指导农村经济组织健康、规范发展</w:t>
            </w:r>
          </w:p>
        </w:tc>
        <w:tc>
          <w:tcPr>
            <w:tcW w:w="1417" w:type="dxa"/>
            <w:vAlign w:val="center"/>
          </w:tcPr>
          <w:p w14:paraId="73671DD1">
            <w:pPr>
              <w:spacing w:line="300" w:lineRule="exact"/>
              <w:jc w:val="left"/>
              <w:rPr>
                <w:rFonts w:ascii="方正书宋_GBK" w:eastAsia="方正书宋_GBK"/>
              </w:rPr>
            </w:pPr>
            <w:r>
              <w:rPr>
                <w:rFonts w:hint="eastAsia" w:ascii="方正书宋_GBK" w:eastAsia="方正书宋_GBK"/>
              </w:rPr>
              <w:t>村集体经济业务规范率</w:t>
            </w:r>
          </w:p>
        </w:tc>
        <w:tc>
          <w:tcPr>
            <w:tcW w:w="737" w:type="dxa"/>
            <w:vAlign w:val="center"/>
          </w:tcPr>
          <w:p w14:paraId="6B4ACAED">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81D0B7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91A3AC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68A9CFF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4B99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14:paraId="67301428">
            <w:pPr>
              <w:spacing w:line="300" w:lineRule="exact"/>
              <w:jc w:val="left"/>
              <w:rPr>
                <w:rFonts w:ascii="方正书宋_GBK" w:eastAsia="方正书宋_GBK"/>
                <w:b/>
              </w:rPr>
            </w:pPr>
            <w:r>
              <w:rPr>
                <w:rFonts w:hint="eastAsia" w:ascii="方正书宋_GBK" w:eastAsia="方正书宋_GBK"/>
                <w:b/>
              </w:rPr>
              <w:t>十四、推进新农村建设</w:t>
            </w:r>
          </w:p>
        </w:tc>
        <w:tc>
          <w:tcPr>
            <w:tcW w:w="1276" w:type="dxa"/>
            <w:vAlign w:val="center"/>
          </w:tcPr>
          <w:p w14:paraId="6A61FA23">
            <w:pPr>
              <w:spacing w:line="300" w:lineRule="exact"/>
              <w:jc w:val="left"/>
              <w:rPr>
                <w:rFonts w:ascii="方正书宋_GBK" w:eastAsia="方正书宋_GBK"/>
              </w:rPr>
            </w:pPr>
          </w:p>
        </w:tc>
        <w:tc>
          <w:tcPr>
            <w:tcW w:w="2976" w:type="dxa"/>
            <w:vAlign w:val="center"/>
          </w:tcPr>
          <w:p w14:paraId="09190402">
            <w:pPr>
              <w:spacing w:line="300" w:lineRule="exact"/>
              <w:jc w:val="left"/>
              <w:rPr>
                <w:rFonts w:ascii="方正书宋_GBK" w:eastAsia="方正书宋_GBK"/>
              </w:rPr>
            </w:pPr>
            <w:r>
              <w:rPr>
                <w:rFonts w:hint="eastAsia" w:ascii="方正书宋_GBK" w:eastAsia="方正书宋_GBK"/>
              </w:rPr>
              <w:t>通过实施农村面貌改造提升行动，加快建设社会主义新农村。</w:t>
            </w:r>
          </w:p>
        </w:tc>
        <w:tc>
          <w:tcPr>
            <w:tcW w:w="2976" w:type="dxa"/>
            <w:vAlign w:val="center"/>
          </w:tcPr>
          <w:p w14:paraId="745CB52A">
            <w:pPr>
              <w:spacing w:line="300" w:lineRule="exact"/>
              <w:jc w:val="left"/>
              <w:rPr>
                <w:rFonts w:ascii="方正书宋_GBK" w:eastAsia="方正书宋_GBK"/>
              </w:rPr>
            </w:pPr>
            <w:r>
              <w:rPr>
                <w:rFonts w:hint="eastAsia" w:ascii="方正书宋_GBK" w:eastAsia="方正书宋_GBK"/>
              </w:rPr>
              <w:t>通过实施农村面貌改造提升行动和开展新民居中心村示范点建设，加快建设社会主义新农村。改善农村环境面貌，提升农民生产生活条件。</w:t>
            </w:r>
          </w:p>
        </w:tc>
        <w:tc>
          <w:tcPr>
            <w:tcW w:w="1417" w:type="dxa"/>
            <w:vAlign w:val="center"/>
          </w:tcPr>
          <w:p w14:paraId="086635AB">
            <w:pPr>
              <w:spacing w:line="300" w:lineRule="exact"/>
              <w:jc w:val="left"/>
              <w:rPr>
                <w:rFonts w:ascii="方正书宋_GBK" w:eastAsia="方正书宋_GBK"/>
              </w:rPr>
            </w:pPr>
          </w:p>
        </w:tc>
        <w:tc>
          <w:tcPr>
            <w:tcW w:w="737" w:type="dxa"/>
            <w:vAlign w:val="center"/>
          </w:tcPr>
          <w:p w14:paraId="207420D0">
            <w:pPr>
              <w:spacing w:line="300" w:lineRule="exact"/>
              <w:jc w:val="center"/>
              <w:rPr>
                <w:rFonts w:ascii="方正书宋_GBK" w:eastAsia="方正书宋_GBK"/>
              </w:rPr>
            </w:pPr>
          </w:p>
        </w:tc>
        <w:tc>
          <w:tcPr>
            <w:tcW w:w="737" w:type="dxa"/>
            <w:vAlign w:val="center"/>
          </w:tcPr>
          <w:p w14:paraId="5B182F0E">
            <w:pPr>
              <w:spacing w:line="300" w:lineRule="exact"/>
              <w:jc w:val="center"/>
              <w:rPr>
                <w:rFonts w:ascii="方正书宋_GBK" w:eastAsia="方正书宋_GBK"/>
              </w:rPr>
            </w:pPr>
          </w:p>
        </w:tc>
        <w:tc>
          <w:tcPr>
            <w:tcW w:w="737" w:type="dxa"/>
            <w:vAlign w:val="center"/>
          </w:tcPr>
          <w:p w14:paraId="61FA478A">
            <w:pPr>
              <w:spacing w:line="300" w:lineRule="exact"/>
              <w:jc w:val="center"/>
              <w:rPr>
                <w:rFonts w:ascii="方正书宋_GBK" w:eastAsia="方正书宋_GBK"/>
              </w:rPr>
            </w:pPr>
          </w:p>
        </w:tc>
        <w:tc>
          <w:tcPr>
            <w:tcW w:w="737" w:type="dxa"/>
            <w:vAlign w:val="center"/>
          </w:tcPr>
          <w:p w14:paraId="6E4A0769">
            <w:pPr>
              <w:spacing w:line="300" w:lineRule="exact"/>
              <w:jc w:val="center"/>
              <w:rPr>
                <w:rFonts w:ascii="方正书宋_GBK" w:eastAsia="方正书宋_GBK"/>
              </w:rPr>
            </w:pPr>
          </w:p>
        </w:tc>
      </w:tr>
      <w:tr w14:paraId="1F16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14:paraId="49E4BD22">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、美丽乡村建设</w:t>
            </w:r>
          </w:p>
        </w:tc>
        <w:tc>
          <w:tcPr>
            <w:tcW w:w="1276" w:type="dxa"/>
            <w:vMerge w:val="restart"/>
            <w:vAlign w:val="center"/>
          </w:tcPr>
          <w:p w14:paraId="08DB0751">
            <w:pPr>
              <w:spacing w:line="300" w:lineRule="exact"/>
              <w:jc w:val="left"/>
              <w:rPr>
                <w:rFonts w:ascii="方正书宋_GBK" w:eastAsia="方正书宋_GBK"/>
              </w:rPr>
            </w:pPr>
          </w:p>
        </w:tc>
        <w:tc>
          <w:tcPr>
            <w:tcW w:w="2976" w:type="dxa"/>
            <w:vMerge w:val="restart"/>
            <w:vAlign w:val="center"/>
          </w:tcPr>
          <w:p w14:paraId="7B500734">
            <w:pPr>
              <w:spacing w:line="300" w:lineRule="exact"/>
              <w:jc w:val="left"/>
              <w:rPr>
                <w:rFonts w:ascii="方正书宋_GBK" w:eastAsia="方正书宋_GBK"/>
              </w:rPr>
            </w:pPr>
            <w:r>
              <w:rPr>
                <w:rFonts w:hint="eastAsia" w:ascii="方正书宋_GBK" w:eastAsia="方正书宋_GBK"/>
              </w:rPr>
              <w:t>按照市、县统筹城乡发展的要求，以</w:t>
            </w:r>
            <w:r>
              <w:rPr>
                <w:rFonts w:ascii="方正书宋_GBK" w:eastAsia="方正书宋_GBK"/>
              </w:rPr>
              <w:t>“</w:t>
            </w:r>
            <w:r>
              <w:rPr>
                <w:rFonts w:hint="eastAsia" w:ascii="方正书宋_GBK" w:eastAsia="方正书宋_GBK"/>
              </w:rPr>
              <w:t>环境美、产业美、精神美、生态美</w:t>
            </w:r>
            <w:r>
              <w:rPr>
                <w:rFonts w:ascii="方正书宋_GBK" w:eastAsia="方正书宋_GBK"/>
              </w:rPr>
              <w:t>”</w:t>
            </w:r>
            <w:r>
              <w:rPr>
                <w:rFonts w:hint="eastAsia" w:ascii="方正书宋_GBK" w:eastAsia="方正书宋_GBK"/>
              </w:rPr>
              <w:t>为重点，大力推进美丽乡村建设。</w:t>
            </w:r>
          </w:p>
        </w:tc>
        <w:tc>
          <w:tcPr>
            <w:tcW w:w="2976" w:type="dxa"/>
            <w:vMerge w:val="restart"/>
            <w:vAlign w:val="center"/>
          </w:tcPr>
          <w:p w14:paraId="4FB6BD6E">
            <w:pPr>
              <w:spacing w:line="300" w:lineRule="exact"/>
              <w:jc w:val="left"/>
              <w:rPr>
                <w:rFonts w:ascii="方正书宋_GBK" w:eastAsia="方正书宋_GBK"/>
              </w:rPr>
            </w:pPr>
            <w:r>
              <w:rPr>
                <w:rFonts w:hint="eastAsia" w:ascii="方正书宋_GBK" w:eastAsia="方正书宋_GBK"/>
              </w:rPr>
              <w:t>突出重点，因地制宜，按照分期分批推进的要求，每年选定一批重点村实施改造提升。</w:t>
            </w:r>
          </w:p>
        </w:tc>
        <w:tc>
          <w:tcPr>
            <w:tcW w:w="1417" w:type="dxa"/>
            <w:vAlign w:val="center"/>
          </w:tcPr>
          <w:p w14:paraId="5EEE10D0">
            <w:pPr>
              <w:spacing w:line="300" w:lineRule="exact"/>
              <w:jc w:val="left"/>
              <w:rPr>
                <w:rFonts w:ascii="方正书宋_GBK" w:eastAsia="方正书宋_GBK"/>
              </w:rPr>
            </w:pPr>
            <w:r>
              <w:rPr>
                <w:rFonts w:hint="eastAsia" w:ascii="方正书宋_GBK" w:eastAsia="方正书宋_GBK"/>
              </w:rPr>
              <w:t>村民满意度</w:t>
            </w:r>
          </w:p>
        </w:tc>
        <w:tc>
          <w:tcPr>
            <w:tcW w:w="737" w:type="dxa"/>
            <w:vAlign w:val="center"/>
          </w:tcPr>
          <w:p w14:paraId="7DAD544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07B3EC7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1A8964F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1A99648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7E95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14:paraId="4A73C9A0">
            <w:pPr>
              <w:spacing w:line="300" w:lineRule="exact"/>
              <w:jc w:val="left"/>
              <w:rPr>
                <w:rFonts w:ascii="方正书宋_GBK" w:eastAsia="方正书宋_GBK"/>
                <w:b/>
              </w:rPr>
            </w:pPr>
          </w:p>
        </w:tc>
        <w:tc>
          <w:tcPr>
            <w:tcW w:w="1276" w:type="dxa"/>
            <w:vMerge w:val="continue"/>
            <w:vAlign w:val="center"/>
          </w:tcPr>
          <w:p w14:paraId="12294D3E">
            <w:pPr>
              <w:spacing w:line="300" w:lineRule="exact"/>
              <w:jc w:val="left"/>
              <w:rPr>
                <w:rFonts w:ascii="方正书宋_GBK" w:eastAsia="方正书宋_GBK"/>
              </w:rPr>
            </w:pPr>
          </w:p>
        </w:tc>
        <w:tc>
          <w:tcPr>
            <w:tcW w:w="2976" w:type="dxa"/>
            <w:vMerge w:val="continue"/>
            <w:vAlign w:val="center"/>
          </w:tcPr>
          <w:p w14:paraId="6336C3C8">
            <w:pPr>
              <w:spacing w:line="300" w:lineRule="exact"/>
              <w:jc w:val="left"/>
              <w:rPr>
                <w:rFonts w:ascii="方正书宋_GBK" w:eastAsia="方正书宋_GBK"/>
              </w:rPr>
            </w:pPr>
          </w:p>
        </w:tc>
        <w:tc>
          <w:tcPr>
            <w:tcW w:w="2976" w:type="dxa"/>
            <w:vMerge w:val="continue"/>
            <w:vAlign w:val="center"/>
          </w:tcPr>
          <w:p w14:paraId="2D3C8E90">
            <w:pPr>
              <w:spacing w:line="300" w:lineRule="exact"/>
              <w:jc w:val="left"/>
              <w:rPr>
                <w:rFonts w:ascii="方正书宋_GBK" w:eastAsia="方正书宋_GBK"/>
              </w:rPr>
            </w:pPr>
          </w:p>
        </w:tc>
        <w:tc>
          <w:tcPr>
            <w:tcW w:w="1417" w:type="dxa"/>
            <w:vAlign w:val="center"/>
          </w:tcPr>
          <w:p w14:paraId="62B72CE1">
            <w:pPr>
              <w:spacing w:line="300" w:lineRule="exact"/>
              <w:jc w:val="left"/>
              <w:rPr>
                <w:rFonts w:ascii="方正书宋_GBK" w:eastAsia="方正书宋_GBK"/>
              </w:rPr>
            </w:pPr>
            <w:r>
              <w:rPr>
                <w:rFonts w:hint="eastAsia" w:ascii="方正书宋_GBK" w:eastAsia="方正书宋_GBK"/>
              </w:rPr>
              <w:t>美丽乡村建设重点村任务完成率</w:t>
            </w:r>
          </w:p>
        </w:tc>
        <w:tc>
          <w:tcPr>
            <w:tcW w:w="737" w:type="dxa"/>
            <w:vAlign w:val="center"/>
          </w:tcPr>
          <w:p w14:paraId="4F045DB6">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14:paraId="14CBB47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14:paraId="7588C44E">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14:paraId="61338AFA">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bl>
    <w:p w14:paraId="5A1CCF19">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14:paraId="16F533A1">
      <w:pPr>
        <w:autoSpaceDE w:val="0"/>
        <w:autoSpaceDN w:val="0"/>
        <w:adjustRightInd w:val="0"/>
        <w:jc w:val="left"/>
        <w:rPr>
          <w:rFonts w:ascii="黑体" w:hAnsi="黑体" w:eastAsia="黑体"/>
          <w:sz w:val="32"/>
          <w:szCs w:val="32"/>
        </w:rPr>
      </w:pPr>
    </w:p>
    <w:p w14:paraId="5D51C654">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14:paraId="041C0FB2">
      <w:pPr>
        <w:outlineLvl w:val="0"/>
        <w:rPr>
          <w:rFonts w:ascii="仿宋" w:hAnsi="仿宋" w:eastAsia="仿宋" w:cs="仿宋"/>
          <w:sz w:val="32"/>
          <w:szCs w:val="32"/>
        </w:rPr>
      </w:pPr>
      <w:bookmarkStart w:id="2" w:name="_Toc471398468"/>
      <w:r>
        <w:rPr>
          <w:rFonts w:ascii="Times New Roman" w:hAnsi="Times New Roman" w:eastAsia="方正仿宋_GBK"/>
          <w:sz w:val="32"/>
          <w:szCs w:val="24"/>
        </w:rPr>
        <w:t xml:space="preserve">   </w:t>
      </w:r>
      <w:r>
        <w:rPr>
          <w:rFonts w:ascii="仿宋" w:hAnsi="仿宋" w:eastAsia="仿宋" w:cs="仿宋"/>
          <w:sz w:val="32"/>
          <w:szCs w:val="32"/>
        </w:rPr>
        <w:t>2019</w:t>
      </w:r>
      <w:r>
        <w:rPr>
          <w:rFonts w:hint="eastAsia" w:ascii="仿宋" w:hAnsi="仿宋" w:eastAsia="仿宋" w:cs="仿宋"/>
          <w:sz w:val="32"/>
          <w:szCs w:val="32"/>
        </w:rPr>
        <w:t>年，我厅安排政府采购预算</w:t>
      </w:r>
      <w:r>
        <w:rPr>
          <w:rFonts w:ascii="仿宋" w:hAnsi="仿宋" w:eastAsia="仿宋" w:cs="仿宋"/>
          <w:sz w:val="32"/>
          <w:szCs w:val="32"/>
        </w:rPr>
        <w:t>3818.5</w:t>
      </w:r>
      <w:r>
        <w:rPr>
          <w:rFonts w:hint="eastAsia" w:ascii="仿宋" w:hAnsi="仿宋" w:eastAsia="仿宋" w:cs="仿宋"/>
          <w:sz w:val="32"/>
          <w:szCs w:val="32"/>
        </w:rPr>
        <w:t>万元。具体内容见下表。</w:t>
      </w:r>
    </w:p>
    <w:p w14:paraId="3D1A1492">
      <w:pPr>
        <w:jc w:val="center"/>
        <w:outlineLvl w:val="0"/>
        <w:rPr>
          <w:rFonts w:ascii="方正小标宋_GBK" w:hAnsi="Times New Roman" w:eastAsia="方正小标宋_GBK"/>
          <w:sz w:val="32"/>
          <w:szCs w:val="24"/>
        </w:rPr>
      </w:pPr>
      <w:r>
        <w:rPr>
          <w:rFonts w:hint="eastAsia" w:ascii="方正小标宋_GBK" w:hAnsi="Times New Roman" w:eastAsia="方正小标宋_GBK"/>
          <w:sz w:val="32"/>
          <w:szCs w:val="24"/>
        </w:rPr>
        <w:t>部门政府采购预算</w:t>
      </w:r>
      <w:bookmarkEnd w:id="2"/>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6"/>
        <w:gridCol w:w="717"/>
        <w:gridCol w:w="920"/>
        <w:gridCol w:w="1069"/>
        <w:gridCol w:w="771"/>
        <w:gridCol w:w="657"/>
        <w:gridCol w:w="1246"/>
        <w:gridCol w:w="891"/>
        <w:gridCol w:w="891"/>
        <w:gridCol w:w="1187"/>
        <w:gridCol w:w="550"/>
        <w:gridCol w:w="829"/>
        <w:gridCol w:w="617"/>
        <w:gridCol w:w="1105"/>
      </w:tblGrid>
      <w:tr w14:paraId="71B5F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2633" w:type="dxa"/>
            <w:gridSpan w:val="2"/>
            <w:vAlign w:val="center"/>
          </w:tcPr>
          <w:p w14:paraId="0311D06A">
            <w:pPr>
              <w:widowControl/>
              <w:spacing w:line="580" w:lineRule="atLeast"/>
              <w:jc w:val="center"/>
              <w:rPr>
                <w:rFonts w:ascii="宋体" w:cs="宋体"/>
                <w:kern w:val="0"/>
                <w:szCs w:val="21"/>
              </w:rPr>
            </w:pPr>
            <w:r>
              <w:rPr>
                <w:rFonts w:hint="eastAsia" w:ascii="宋体" w:hAnsi="宋体" w:cs="宋体"/>
                <w:kern w:val="0"/>
                <w:szCs w:val="21"/>
              </w:rPr>
              <w:t>政府采购项目来源</w:t>
            </w:r>
          </w:p>
        </w:tc>
        <w:tc>
          <w:tcPr>
            <w:tcW w:w="920" w:type="dxa"/>
            <w:vMerge w:val="restart"/>
            <w:vAlign w:val="center"/>
          </w:tcPr>
          <w:p w14:paraId="2D979791">
            <w:pPr>
              <w:widowControl/>
              <w:spacing w:line="580" w:lineRule="atLeast"/>
              <w:jc w:val="center"/>
              <w:rPr>
                <w:rFonts w:ascii="宋体" w:cs="宋体"/>
                <w:kern w:val="0"/>
                <w:szCs w:val="21"/>
              </w:rPr>
            </w:pPr>
            <w:r>
              <w:rPr>
                <w:rFonts w:hint="eastAsia" w:ascii="宋体" w:hAnsi="宋体" w:cs="宋体"/>
                <w:kern w:val="0"/>
                <w:szCs w:val="21"/>
              </w:rPr>
              <w:t>采购物品名称</w:t>
            </w:r>
          </w:p>
        </w:tc>
        <w:tc>
          <w:tcPr>
            <w:tcW w:w="1069" w:type="dxa"/>
            <w:vMerge w:val="restart"/>
            <w:vAlign w:val="center"/>
          </w:tcPr>
          <w:p w14:paraId="0B7205A6">
            <w:pPr>
              <w:widowControl/>
              <w:spacing w:line="580" w:lineRule="atLeast"/>
              <w:jc w:val="center"/>
              <w:rPr>
                <w:rFonts w:ascii="宋体" w:cs="宋体"/>
                <w:kern w:val="0"/>
                <w:szCs w:val="21"/>
              </w:rPr>
            </w:pPr>
            <w:r>
              <w:rPr>
                <w:rFonts w:hint="eastAsia" w:ascii="宋体" w:hAnsi="宋体" w:cs="宋体"/>
                <w:kern w:val="0"/>
                <w:szCs w:val="21"/>
              </w:rPr>
              <w:t>政府采购目录序号</w:t>
            </w:r>
          </w:p>
        </w:tc>
        <w:tc>
          <w:tcPr>
            <w:tcW w:w="771" w:type="dxa"/>
            <w:vMerge w:val="restart"/>
            <w:vAlign w:val="center"/>
          </w:tcPr>
          <w:p w14:paraId="4AE48F2E">
            <w:pPr>
              <w:widowControl/>
              <w:spacing w:line="580" w:lineRule="atLeast"/>
              <w:jc w:val="center"/>
              <w:rPr>
                <w:rFonts w:ascii="宋体" w:cs="宋体"/>
                <w:kern w:val="0"/>
                <w:szCs w:val="21"/>
              </w:rPr>
            </w:pPr>
            <w:r>
              <w:rPr>
                <w:rFonts w:hint="eastAsia" w:ascii="宋体" w:hAnsi="宋体" w:cs="宋体"/>
                <w:kern w:val="0"/>
                <w:szCs w:val="21"/>
              </w:rPr>
              <w:t>数量单位</w:t>
            </w:r>
          </w:p>
        </w:tc>
        <w:tc>
          <w:tcPr>
            <w:tcW w:w="657" w:type="dxa"/>
            <w:vMerge w:val="restart"/>
            <w:vAlign w:val="center"/>
          </w:tcPr>
          <w:p w14:paraId="768BE12D">
            <w:pPr>
              <w:widowControl/>
              <w:spacing w:line="580" w:lineRule="atLeast"/>
              <w:jc w:val="center"/>
              <w:rPr>
                <w:rFonts w:ascii="宋体" w:cs="宋体"/>
                <w:kern w:val="0"/>
                <w:szCs w:val="21"/>
              </w:rPr>
            </w:pPr>
            <w:r>
              <w:rPr>
                <w:rFonts w:hint="eastAsia" w:ascii="宋体" w:hAnsi="宋体" w:cs="宋体"/>
                <w:kern w:val="0"/>
                <w:szCs w:val="21"/>
              </w:rPr>
              <w:t>数量</w:t>
            </w:r>
          </w:p>
        </w:tc>
        <w:tc>
          <w:tcPr>
            <w:tcW w:w="1246" w:type="dxa"/>
            <w:vMerge w:val="restart"/>
            <w:vAlign w:val="center"/>
          </w:tcPr>
          <w:p w14:paraId="60FA0523">
            <w:pPr>
              <w:widowControl/>
              <w:spacing w:line="580" w:lineRule="atLeast"/>
              <w:jc w:val="center"/>
              <w:rPr>
                <w:rFonts w:ascii="宋体" w:cs="宋体"/>
                <w:kern w:val="0"/>
                <w:szCs w:val="21"/>
              </w:rPr>
            </w:pPr>
            <w:r>
              <w:rPr>
                <w:rFonts w:hint="eastAsia" w:ascii="宋体" w:hAnsi="宋体" w:cs="宋体"/>
                <w:kern w:val="0"/>
                <w:szCs w:val="21"/>
              </w:rPr>
              <w:t>单价</w:t>
            </w:r>
          </w:p>
        </w:tc>
        <w:tc>
          <w:tcPr>
            <w:tcW w:w="6070" w:type="dxa"/>
            <w:gridSpan w:val="7"/>
            <w:vAlign w:val="center"/>
          </w:tcPr>
          <w:p w14:paraId="7CD07DC1">
            <w:pPr>
              <w:widowControl/>
              <w:spacing w:line="580" w:lineRule="atLeast"/>
              <w:jc w:val="center"/>
              <w:rPr>
                <w:rFonts w:ascii="宋体" w:cs="宋体"/>
                <w:kern w:val="0"/>
                <w:szCs w:val="21"/>
              </w:rPr>
            </w:pPr>
            <w:r>
              <w:rPr>
                <w:rFonts w:hint="eastAsia" w:ascii="宋体" w:hAnsi="宋体" w:cs="宋体"/>
                <w:kern w:val="0"/>
                <w:szCs w:val="21"/>
              </w:rPr>
              <w:t>政府采购金额</w:t>
            </w:r>
          </w:p>
        </w:tc>
      </w:tr>
      <w:tr w14:paraId="486B3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1916" w:type="dxa"/>
            <w:vMerge w:val="restart"/>
            <w:vAlign w:val="center"/>
          </w:tcPr>
          <w:p w14:paraId="0BF74038">
            <w:pPr>
              <w:widowControl/>
              <w:spacing w:line="580" w:lineRule="atLeast"/>
              <w:jc w:val="center"/>
              <w:rPr>
                <w:rFonts w:ascii="宋体" w:cs="宋体"/>
                <w:kern w:val="0"/>
                <w:szCs w:val="21"/>
              </w:rPr>
            </w:pPr>
            <w:r>
              <w:rPr>
                <w:rFonts w:hint="eastAsia" w:ascii="宋体" w:hAnsi="宋体" w:cs="宋体"/>
                <w:kern w:val="0"/>
                <w:szCs w:val="21"/>
              </w:rPr>
              <w:t>项目名称</w:t>
            </w:r>
          </w:p>
        </w:tc>
        <w:tc>
          <w:tcPr>
            <w:tcW w:w="717" w:type="dxa"/>
            <w:vMerge w:val="restart"/>
            <w:vAlign w:val="center"/>
          </w:tcPr>
          <w:p w14:paraId="4EFE03A0">
            <w:pPr>
              <w:widowControl/>
              <w:spacing w:line="580" w:lineRule="atLeast"/>
              <w:jc w:val="center"/>
              <w:rPr>
                <w:rFonts w:ascii="宋体" w:cs="宋体"/>
                <w:kern w:val="0"/>
                <w:szCs w:val="21"/>
              </w:rPr>
            </w:pPr>
            <w:r>
              <w:rPr>
                <w:rFonts w:hint="eastAsia" w:ascii="宋体" w:hAnsi="宋体" w:cs="宋体"/>
                <w:kern w:val="0"/>
                <w:szCs w:val="21"/>
              </w:rPr>
              <w:t>预算资金</w:t>
            </w:r>
          </w:p>
        </w:tc>
        <w:tc>
          <w:tcPr>
            <w:tcW w:w="920" w:type="dxa"/>
            <w:vMerge w:val="continue"/>
            <w:vAlign w:val="center"/>
          </w:tcPr>
          <w:p w14:paraId="5C76CC80">
            <w:pPr>
              <w:widowControl/>
              <w:spacing w:line="580" w:lineRule="atLeast"/>
              <w:jc w:val="center"/>
              <w:rPr>
                <w:rFonts w:ascii="宋体" w:cs="宋体"/>
                <w:kern w:val="0"/>
                <w:szCs w:val="21"/>
              </w:rPr>
            </w:pPr>
          </w:p>
        </w:tc>
        <w:tc>
          <w:tcPr>
            <w:tcW w:w="1069" w:type="dxa"/>
            <w:vMerge w:val="continue"/>
            <w:vAlign w:val="center"/>
          </w:tcPr>
          <w:p w14:paraId="5908EF8D">
            <w:pPr>
              <w:widowControl/>
              <w:spacing w:line="580" w:lineRule="atLeast"/>
              <w:jc w:val="center"/>
              <w:rPr>
                <w:rFonts w:ascii="宋体" w:cs="宋体"/>
                <w:kern w:val="0"/>
                <w:szCs w:val="21"/>
              </w:rPr>
            </w:pPr>
          </w:p>
        </w:tc>
        <w:tc>
          <w:tcPr>
            <w:tcW w:w="771" w:type="dxa"/>
            <w:vMerge w:val="continue"/>
            <w:vAlign w:val="center"/>
          </w:tcPr>
          <w:p w14:paraId="2C63476D">
            <w:pPr>
              <w:widowControl/>
              <w:spacing w:line="580" w:lineRule="atLeast"/>
              <w:jc w:val="center"/>
              <w:rPr>
                <w:rFonts w:ascii="宋体" w:cs="宋体"/>
                <w:kern w:val="0"/>
                <w:szCs w:val="21"/>
              </w:rPr>
            </w:pPr>
          </w:p>
        </w:tc>
        <w:tc>
          <w:tcPr>
            <w:tcW w:w="657" w:type="dxa"/>
            <w:vMerge w:val="continue"/>
            <w:vAlign w:val="center"/>
          </w:tcPr>
          <w:p w14:paraId="7ACC9BDD">
            <w:pPr>
              <w:widowControl/>
              <w:spacing w:line="580" w:lineRule="atLeast"/>
              <w:jc w:val="center"/>
              <w:rPr>
                <w:rFonts w:ascii="宋体" w:cs="宋体"/>
                <w:kern w:val="0"/>
                <w:szCs w:val="21"/>
              </w:rPr>
            </w:pPr>
          </w:p>
        </w:tc>
        <w:tc>
          <w:tcPr>
            <w:tcW w:w="1246" w:type="dxa"/>
            <w:vMerge w:val="continue"/>
            <w:vAlign w:val="center"/>
          </w:tcPr>
          <w:p w14:paraId="4D461B50">
            <w:pPr>
              <w:widowControl/>
              <w:spacing w:line="580" w:lineRule="atLeast"/>
              <w:jc w:val="center"/>
              <w:rPr>
                <w:rFonts w:ascii="宋体" w:cs="宋体"/>
                <w:kern w:val="0"/>
                <w:szCs w:val="21"/>
              </w:rPr>
            </w:pPr>
          </w:p>
        </w:tc>
        <w:tc>
          <w:tcPr>
            <w:tcW w:w="891" w:type="dxa"/>
            <w:vMerge w:val="restart"/>
            <w:vAlign w:val="center"/>
          </w:tcPr>
          <w:p w14:paraId="182CCF07">
            <w:pPr>
              <w:widowControl/>
              <w:spacing w:line="580" w:lineRule="atLeast"/>
              <w:jc w:val="center"/>
              <w:rPr>
                <w:rFonts w:ascii="宋体" w:cs="宋体"/>
                <w:kern w:val="0"/>
                <w:szCs w:val="21"/>
              </w:rPr>
            </w:pPr>
            <w:r>
              <w:rPr>
                <w:rFonts w:hint="eastAsia" w:ascii="宋体" w:hAnsi="宋体" w:cs="宋体"/>
                <w:kern w:val="0"/>
                <w:szCs w:val="21"/>
              </w:rPr>
              <w:t>总计</w:t>
            </w:r>
          </w:p>
        </w:tc>
        <w:tc>
          <w:tcPr>
            <w:tcW w:w="4074" w:type="dxa"/>
            <w:gridSpan w:val="5"/>
            <w:vAlign w:val="center"/>
          </w:tcPr>
          <w:p w14:paraId="2DBB891B">
            <w:pPr>
              <w:widowControl/>
              <w:spacing w:line="580" w:lineRule="atLeast"/>
              <w:jc w:val="center"/>
              <w:rPr>
                <w:rFonts w:ascii="宋体" w:cs="宋体"/>
                <w:kern w:val="0"/>
                <w:szCs w:val="21"/>
              </w:rPr>
            </w:pPr>
            <w:r>
              <w:rPr>
                <w:rFonts w:hint="eastAsia" w:ascii="宋体" w:hAnsi="宋体" w:cs="宋体"/>
                <w:kern w:val="0"/>
                <w:szCs w:val="21"/>
              </w:rPr>
              <w:t>当年部门预算安排资金</w:t>
            </w:r>
          </w:p>
        </w:tc>
        <w:tc>
          <w:tcPr>
            <w:tcW w:w="1104" w:type="dxa"/>
            <w:vMerge w:val="restart"/>
            <w:vAlign w:val="center"/>
          </w:tcPr>
          <w:p w14:paraId="7A2AE66E">
            <w:pPr>
              <w:spacing w:line="580" w:lineRule="atLeast"/>
              <w:jc w:val="center"/>
              <w:rPr>
                <w:rFonts w:ascii="宋体" w:cs="宋体"/>
                <w:kern w:val="0"/>
                <w:szCs w:val="21"/>
              </w:rPr>
            </w:pPr>
            <w:r>
              <w:rPr>
                <w:rFonts w:hint="eastAsia" w:ascii="宋体" w:hAnsi="宋体" w:cs="宋体"/>
                <w:kern w:val="0"/>
                <w:szCs w:val="21"/>
              </w:rPr>
              <w:t>其他渠道资金</w:t>
            </w:r>
          </w:p>
        </w:tc>
      </w:tr>
      <w:tr w14:paraId="0131A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2" w:hRule="atLeast"/>
        </w:trPr>
        <w:tc>
          <w:tcPr>
            <w:tcW w:w="1916" w:type="dxa"/>
            <w:vMerge w:val="continue"/>
            <w:vAlign w:val="center"/>
          </w:tcPr>
          <w:p w14:paraId="4ECA5768">
            <w:pPr>
              <w:widowControl/>
              <w:spacing w:line="580" w:lineRule="atLeast"/>
              <w:jc w:val="center"/>
              <w:rPr>
                <w:rFonts w:ascii="宋体" w:cs="宋体"/>
                <w:kern w:val="0"/>
                <w:szCs w:val="21"/>
              </w:rPr>
            </w:pPr>
          </w:p>
        </w:tc>
        <w:tc>
          <w:tcPr>
            <w:tcW w:w="717" w:type="dxa"/>
            <w:vMerge w:val="continue"/>
            <w:vAlign w:val="center"/>
          </w:tcPr>
          <w:p w14:paraId="52359629">
            <w:pPr>
              <w:widowControl/>
              <w:spacing w:line="580" w:lineRule="atLeast"/>
              <w:jc w:val="center"/>
              <w:rPr>
                <w:rFonts w:ascii="宋体" w:cs="宋体"/>
                <w:kern w:val="0"/>
                <w:szCs w:val="21"/>
              </w:rPr>
            </w:pPr>
          </w:p>
        </w:tc>
        <w:tc>
          <w:tcPr>
            <w:tcW w:w="920" w:type="dxa"/>
            <w:vMerge w:val="continue"/>
            <w:vAlign w:val="center"/>
          </w:tcPr>
          <w:p w14:paraId="1B46188D">
            <w:pPr>
              <w:widowControl/>
              <w:spacing w:line="580" w:lineRule="atLeast"/>
              <w:jc w:val="center"/>
              <w:rPr>
                <w:rFonts w:ascii="宋体" w:cs="宋体"/>
                <w:kern w:val="0"/>
                <w:szCs w:val="21"/>
              </w:rPr>
            </w:pPr>
          </w:p>
        </w:tc>
        <w:tc>
          <w:tcPr>
            <w:tcW w:w="1069" w:type="dxa"/>
            <w:vMerge w:val="continue"/>
            <w:vAlign w:val="center"/>
          </w:tcPr>
          <w:p w14:paraId="1F5F16EB">
            <w:pPr>
              <w:widowControl/>
              <w:spacing w:line="580" w:lineRule="atLeast"/>
              <w:jc w:val="center"/>
              <w:rPr>
                <w:rFonts w:ascii="宋体" w:cs="宋体"/>
                <w:kern w:val="0"/>
                <w:szCs w:val="21"/>
              </w:rPr>
            </w:pPr>
          </w:p>
        </w:tc>
        <w:tc>
          <w:tcPr>
            <w:tcW w:w="771" w:type="dxa"/>
            <w:vMerge w:val="continue"/>
            <w:vAlign w:val="center"/>
          </w:tcPr>
          <w:p w14:paraId="764A7924">
            <w:pPr>
              <w:widowControl/>
              <w:spacing w:line="580" w:lineRule="atLeast"/>
              <w:jc w:val="center"/>
              <w:rPr>
                <w:rFonts w:ascii="宋体" w:cs="宋体"/>
                <w:kern w:val="0"/>
                <w:szCs w:val="21"/>
              </w:rPr>
            </w:pPr>
          </w:p>
        </w:tc>
        <w:tc>
          <w:tcPr>
            <w:tcW w:w="657" w:type="dxa"/>
            <w:vMerge w:val="continue"/>
            <w:vAlign w:val="center"/>
          </w:tcPr>
          <w:p w14:paraId="63520D2E">
            <w:pPr>
              <w:widowControl/>
              <w:spacing w:line="580" w:lineRule="atLeast"/>
              <w:jc w:val="center"/>
              <w:rPr>
                <w:rFonts w:ascii="宋体" w:cs="宋体"/>
                <w:kern w:val="0"/>
                <w:szCs w:val="21"/>
              </w:rPr>
            </w:pPr>
          </w:p>
        </w:tc>
        <w:tc>
          <w:tcPr>
            <w:tcW w:w="1246" w:type="dxa"/>
            <w:vMerge w:val="continue"/>
            <w:vAlign w:val="center"/>
          </w:tcPr>
          <w:p w14:paraId="16C607A9">
            <w:pPr>
              <w:widowControl/>
              <w:spacing w:line="580" w:lineRule="atLeast"/>
              <w:jc w:val="center"/>
              <w:rPr>
                <w:rFonts w:ascii="宋体" w:cs="宋体"/>
                <w:kern w:val="0"/>
                <w:szCs w:val="21"/>
              </w:rPr>
            </w:pPr>
          </w:p>
        </w:tc>
        <w:tc>
          <w:tcPr>
            <w:tcW w:w="891" w:type="dxa"/>
            <w:vMerge w:val="continue"/>
            <w:vAlign w:val="center"/>
          </w:tcPr>
          <w:p w14:paraId="165BBDF0">
            <w:pPr>
              <w:widowControl/>
              <w:spacing w:line="580" w:lineRule="atLeast"/>
              <w:jc w:val="center"/>
              <w:rPr>
                <w:rFonts w:ascii="宋体" w:cs="宋体"/>
                <w:kern w:val="0"/>
                <w:szCs w:val="21"/>
              </w:rPr>
            </w:pPr>
          </w:p>
        </w:tc>
        <w:tc>
          <w:tcPr>
            <w:tcW w:w="891" w:type="dxa"/>
            <w:vAlign w:val="center"/>
          </w:tcPr>
          <w:p w14:paraId="454CB430">
            <w:pPr>
              <w:widowControl/>
              <w:spacing w:line="580" w:lineRule="atLeast"/>
              <w:jc w:val="center"/>
              <w:rPr>
                <w:rFonts w:ascii="宋体" w:cs="宋体"/>
                <w:kern w:val="0"/>
                <w:szCs w:val="21"/>
              </w:rPr>
            </w:pPr>
            <w:r>
              <w:rPr>
                <w:rFonts w:hint="eastAsia" w:ascii="宋体" w:hAnsi="宋体" w:cs="宋体"/>
                <w:kern w:val="0"/>
                <w:szCs w:val="21"/>
              </w:rPr>
              <w:t>合计</w:t>
            </w:r>
          </w:p>
        </w:tc>
        <w:tc>
          <w:tcPr>
            <w:tcW w:w="1187" w:type="dxa"/>
            <w:vAlign w:val="center"/>
          </w:tcPr>
          <w:p w14:paraId="10F1AF19">
            <w:pPr>
              <w:widowControl/>
              <w:spacing w:line="580" w:lineRule="atLeast"/>
              <w:jc w:val="center"/>
              <w:rPr>
                <w:rFonts w:ascii="宋体" w:cs="宋体"/>
                <w:kern w:val="0"/>
                <w:szCs w:val="21"/>
              </w:rPr>
            </w:pPr>
            <w:r>
              <w:rPr>
                <w:rFonts w:hint="eastAsia" w:ascii="宋体" w:hAnsi="宋体" w:cs="宋体"/>
                <w:kern w:val="0"/>
                <w:szCs w:val="21"/>
              </w:rPr>
              <w:t>一般公共预算拨款</w:t>
            </w:r>
          </w:p>
        </w:tc>
        <w:tc>
          <w:tcPr>
            <w:tcW w:w="550" w:type="dxa"/>
            <w:vAlign w:val="center"/>
          </w:tcPr>
          <w:p w14:paraId="54CA86AB">
            <w:pPr>
              <w:widowControl/>
              <w:spacing w:line="580" w:lineRule="atLeast"/>
              <w:jc w:val="center"/>
              <w:rPr>
                <w:rFonts w:ascii="宋体" w:cs="宋体"/>
                <w:kern w:val="0"/>
                <w:szCs w:val="21"/>
              </w:rPr>
            </w:pPr>
            <w:r>
              <w:rPr>
                <w:rFonts w:hint="eastAsia" w:ascii="宋体" w:hAnsi="宋体" w:cs="宋体"/>
                <w:kern w:val="0"/>
                <w:szCs w:val="21"/>
              </w:rPr>
              <w:t>基金预算拨款</w:t>
            </w:r>
          </w:p>
        </w:tc>
        <w:tc>
          <w:tcPr>
            <w:tcW w:w="829" w:type="dxa"/>
            <w:vAlign w:val="center"/>
          </w:tcPr>
          <w:p w14:paraId="5E3A6300">
            <w:pPr>
              <w:widowControl/>
              <w:spacing w:line="580" w:lineRule="atLeast"/>
              <w:jc w:val="center"/>
              <w:rPr>
                <w:rFonts w:ascii="宋体" w:cs="宋体"/>
                <w:kern w:val="0"/>
                <w:szCs w:val="21"/>
              </w:rPr>
            </w:pPr>
            <w:r>
              <w:rPr>
                <w:rFonts w:hint="eastAsia" w:ascii="宋体" w:hAnsi="宋体" w:cs="宋体"/>
                <w:kern w:val="0"/>
                <w:szCs w:val="21"/>
              </w:rPr>
              <w:t>财政专户核拨</w:t>
            </w:r>
          </w:p>
        </w:tc>
        <w:tc>
          <w:tcPr>
            <w:tcW w:w="617" w:type="dxa"/>
            <w:vAlign w:val="center"/>
          </w:tcPr>
          <w:p w14:paraId="044348BF">
            <w:pPr>
              <w:widowControl/>
              <w:spacing w:line="580" w:lineRule="atLeast"/>
              <w:jc w:val="center"/>
              <w:rPr>
                <w:rFonts w:ascii="宋体" w:cs="宋体"/>
                <w:kern w:val="0"/>
                <w:szCs w:val="21"/>
              </w:rPr>
            </w:pPr>
            <w:r>
              <w:rPr>
                <w:rFonts w:hint="eastAsia" w:ascii="宋体" w:hAnsi="宋体" w:cs="宋体"/>
                <w:kern w:val="0"/>
                <w:szCs w:val="21"/>
              </w:rPr>
              <w:t>其他来源收入</w:t>
            </w:r>
          </w:p>
        </w:tc>
        <w:tc>
          <w:tcPr>
            <w:tcW w:w="1104" w:type="dxa"/>
            <w:vMerge w:val="continue"/>
            <w:vAlign w:val="center"/>
          </w:tcPr>
          <w:p w14:paraId="76952466">
            <w:pPr>
              <w:widowControl/>
              <w:spacing w:line="580" w:lineRule="atLeast"/>
              <w:jc w:val="center"/>
              <w:rPr>
                <w:rFonts w:ascii="宋体" w:cs="宋体"/>
                <w:kern w:val="0"/>
                <w:szCs w:val="21"/>
              </w:rPr>
            </w:pPr>
          </w:p>
        </w:tc>
      </w:tr>
      <w:tr w14:paraId="6DDF4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13C0BDC1">
            <w:pPr>
              <w:rPr>
                <w:rFonts w:ascii="宋体" w:cs="宋体"/>
                <w:szCs w:val="21"/>
              </w:rPr>
            </w:pPr>
            <w:r>
              <w:rPr>
                <w:rFonts w:hint="eastAsia" w:ascii="宋体" w:hAnsi="宋体"/>
                <w:szCs w:val="21"/>
              </w:rPr>
              <w:t>鹿泉经济开发区城乡规划调整</w:t>
            </w:r>
          </w:p>
        </w:tc>
        <w:tc>
          <w:tcPr>
            <w:tcW w:w="717" w:type="dxa"/>
            <w:vAlign w:val="center"/>
          </w:tcPr>
          <w:p w14:paraId="3EAEA8AE">
            <w:pPr>
              <w:jc w:val="right"/>
              <w:rPr>
                <w:rFonts w:ascii="宋体" w:cs="宋体"/>
                <w:szCs w:val="21"/>
              </w:rPr>
            </w:pPr>
            <w:r>
              <w:rPr>
                <w:rFonts w:ascii="宋体" w:hAnsi="宋体"/>
                <w:szCs w:val="21"/>
              </w:rPr>
              <w:t>200.00</w:t>
            </w:r>
          </w:p>
        </w:tc>
        <w:tc>
          <w:tcPr>
            <w:tcW w:w="920" w:type="dxa"/>
            <w:vAlign w:val="center"/>
          </w:tcPr>
          <w:p w14:paraId="40529E58">
            <w:pPr>
              <w:rPr>
                <w:rFonts w:ascii="宋体" w:cs="宋体"/>
                <w:szCs w:val="21"/>
              </w:rPr>
            </w:pPr>
            <w:r>
              <w:rPr>
                <w:rFonts w:ascii="宋体" w:hAnsi="宋体"/>
                <w:szCs w:val="21"/>
              </w:rPr>
              <w:t>269</w:t>
            </w:r>
          </w:p>
        </w:tc>
        <w:tc>
          <w:tcPr>
            <w:tcW w:w="1069" w:type="dxa"/>
            <w:vAlign w:val="center"/>
          </w:tcPr>
          <w:p w14:paraId="1E0D36DD">
            <w:pPr>
              <w:rPr>
                <w:rFonts w:ascii="宋体" w:cs="宋体"/>
                <w:szCs w:val="21"/>
              </w:rPr>
            </w:pPr>
            <w:r>
              <w:rPr>
                <w:rFonts w:ascii="宋体" w:hAnsi="宋体"/>
                <w:szCs w:val="21"/>
              </w:rPr>
              <w:t>269</w:t>
            </w:r>
          </w:p>
        </w:tc>
        <w:tc>
          <w:tcPr>
            <w:tcW w:w="771" w:type="dxa"/>
            <w:vAlign w:val="center"/>
          </w:tcPr>
          <w:p w14:paraId="4EE8DCB6">
            <w:pPr>
              <w:widowControl/>
              <w:spacing w:line="580" w:lineRule="atLeast"/>
              <w:jc w:val="center"/>
              <w:rPr>
                <w:rFonts w:ascii="宋体" w:cs="宋体"/>
                <w:kern w:val="0"/>
                <w:szCs w:val="21"/>
              </w:rPr>
            </w:pPr>
          </w:p>
        </w:tc>
        <w:tc>
          <w:tcPr>
            <w:tcW w:w="657" w:type="dxa"/>
            <w:vAlign w:val="center"/>
          </w:tcPr>
          <w:p w14:paraId="2372B582">
            <w:pPr>
              <w:jc w:val="right"/>
              <w:rPr>
                <w:rFonts w:ascii="宋体" w:cs="宋体"/>
                <w:szCs w:val="21"/>
              </w:rPr>
            </w:pPr>
            <w:r>
              <w:rPr>
                <w:rFonts w:ascii="宋体" w:hAnsi="宋体"/>
                <w:szCs w:val="21"/>
              </w:rPr>
              <w:t>20.00</w:t>
            </w:r>
          </w:p>
        </w:tc>
        <w:tc>
          <w:tcPr>
            <w:tcW w:w="1246" w:type="dxa"/>
            <w:vAlign w:val="center"/>
          </w:tcPr>
          <w:p w14:paraId="0B159DBC">
            <w:pPr>
              <w:jc w:val="right"/>
              <w:rPr>
                <w:rFonts w:ascii="宋体" w:cs="宋体"/>
                <w:szCs w:val="21"/>
              </w:rPr>
            </w:pPr>
            <w:r>
              <w:rPr>
                <w:rFonts w:ascii="宋体" w:hAnsi="宋体"/>
                <w:szCs w:val="21"/>
              </w:rPr>
              <w:t>10.00</w:t>
            </w:r>
          </w:p>
        </w:tc>
        <w:tc>
          <w:tcPr>
            <w:tcW w:w="891" w:type="dxa"/>
            <w:vAlign w:val="center"/>
          </w:tcPr>
          <w:p w14:paraId="311D90FE">
            <w:pPr>
              <w:widowControl/>
              <w:spacing w:line="580" w:lineRule="atLeast"/>
              <w:jc w:val="center"/>
              <w:rPr>
                <w:rFonts w:ascii="宋体" w:hAnsi="宋体" w:cs="宋体"/>
                <w:kern w:val="0"/>
                <w:szCs w:val="21"/>
              </w:rPr>
            </w:pPr>
            <w:r>
              <w:rPr>
                <w:rFonts w:ascii="宋体" w:hAnsi="宋体" w:cs="宋体"/>
                <w:kern w:val="0"/>
                <w:szCs w:val="21"/>
              </w:rPr>
              <w:t>45</w:t>
            </w:r>
          </w:p>
        </w:tc>
        <w:tc>
          <w:tcPr>
            <w:tcW w:w="891" w:type="dxa"/>
            <w:vAlign w:val="center"/>
          </w:tcPr>
          <w:p w14:paraId="111D646C">
            <w:pPr>
              <w:jc w:val="right"/>
              <w:rPr>
                <w:rFonts w:ascii="宋体" w:cs="宋体"/>
                <w:szCs w:val="21"/>
              </w:rPr>
            </w:pPr>
            <w:r>
              <w:rPr>
                <w:rFonts w:ascii="宋体" w:hAnsi="宋体"/>
                <w:szCs w:val="21"/>
              </w:rPr>
              <w:t>200.00</w:t>
            </w:r>
          </w:p>
        </w:tc>
        <w:tc>
          <w:tcPr>
            <w:tcW w:w="1187" w:type="dxa"/>
            <w:vAlign w:val="center"/>
          </w:tcPr>
          <w:p w14:paraId="69D8FE41">
            <w:pPr>
              <w:jc w:val="right"/>
              <w:rPr>
                <w:rFonts w:ascii="宋体" w:cs="宋体"/>
                <w:szCs w:val="21"/>
              </w:rPr>
            </w:pPr>
            <w:r>
              <w:rPr>
                <w:rFonts w:ascii="宋体" w:hAnsi="宋体"/>
                <w:szCs w:val="21"/>
              </w:rPr>
              <w:t>200.00</w:t>
            </w:r>
          </w:p>
        </w:tc>
        <w:tc>
          <w:tcPr>
            <w:tcW w:w="550" w:type="dxa"/>
            <w:vAlign w:val="center"/>
          </w:tcPr>
          <w:p w14:paraId="44B63895">
            <w:pPr>
              <w:widowControl/>
              <w:spacing w:line="580" w:lineRule="atLeast"/>
              <w:jc w:val="center"/>
              <w:rPr>
                <w:rFonts w:ascii="宋体" w:cs="宋体"/>
                <w:kern w:val="0"/>
                <w:szCs w:val="21"/>
              </w:rPr>
            </w:pPr>
          </w:p>
        </w:tc>
        <w:tc>
          <w:tcPr>
            <w:tcW w:w="829" w:type="dxa"/>
            <w:vAlign w:val="center"/>
          </w:tcPr>
          <w:p w14:paraId="60EF40F8">
            <w:pPr>
              <w:widowControl/>
              <w:spacing w:line="580" w:lineRule="atLeast"/>
              <w:jc w:val="center"/>
              <w:rPr>
                <w:rFonts w:ascii="宋体" w:cs="宋体"/>
                <w:kern w:val="0"/>
                <w:szCs w:val="21"/>
              </w:rPr>
            </w:pPr>
          </w:p>
        </w:tc>
        <w:tc>
          <w:tcPr>
            <w:tcW w:w="617" w:type="dxa"/>
            <w:vAlign w:val="center"/>
          </w:tcPr>
          <w:p w14:paraId="6C8DA2C9">
            <w:pPr>
              <w:widowControl/>
              <w:spacing w:line="580" w:lineRule="atLeast"/>
              <w:jc w:val="center"/>
              <w:rPr>
                <w:rFonts w:ascii="宋体" w:cs="宋体"/>
                <w:kern w:val="0"/>
                <w:szCs w:val="21"/>
              </w:rPr>
            </w:pPr>
          </w:p>
        </w:tc>
        <w:tc>
          <w:tcPr>
            <w:tcW w:w="1104" w:type="dxa"/>
            <w:vAlign w:val="center"/>
          </w:tcPr>
          <w:p w14:paraId="59AD22A4">
            <w:pPr>
              <w:widowControl/>
              <w:spacing w:line="580" w:lineRule="atLeast"/>
              <w:jc w:val="center"/>
              <w:rPr>
                <w:rFonts w:ascii="宋体" w:cs="宋体"/>
                <w:kern w:val="0"/>
                <w:szCs w:val="21"/>
              </w:rPr>
            </w:pPr>
          </w:p>
        </w:tc>
      </w:tr>
      <w:tr w14:paraId="1D8CC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67CA0F55">
            <w:pPr>
              <w:rPr>
                <w:rFonts w:ascii="宋体" w:cs="宋体"/>
                <w:szCs w:val="21"/>
              </w:rPr>
            </w:pPr>
            <w:r>
              <w:rPr>
                <w:rFonts w:hint="eastAsia" w:ascii="宋体" w:hAnsi="宋体"/>
                <w:szCs w:val="21"/>
              </w:rPr>
              <w:t>海康威视电力线迁改工程</w:t>
            </w:r>
          </w:p>
        </w:tc>
        <w:tc>
          <w:tcPr>
            <w:tcW w:w="717" w:type="dxa"/>
            <w:vAlign w:val="center"/>
          </w:tcPr>
          <w:p w14:paraId="7BBBC757">
            <w:pPr>
              <w:jc w:val="right"/>
              <w:rPr>
                <w:rFonts w:ascii="宋体" w:cs="宋体"/>
                <w:szCs w:val="21"/>
              </w:rPr>
            </w:pPr>
            <w:r>
              <w:rPr>
                <w:rFonts w:ascii="宋体" w:hAnsi="宋体"/>
                <w:szCs w:val="21"/>
              </w:rPr>
              <w:t>200.00</w:t>
            </w:r>
          </w:p>
        </w:tc>
        <w:tc>
          <w:tcPr>
            <w:tcW w:w="920" w:type="dxa"/>
            <w:vAlign w:val="center"/>
          </w:tcPr>
          <w:p w14:paraId="6022C86C">
            <w:pPr>
              <w:rPr>
                <w:rFonts w:ascii="宋体" w:cs="宋体"/>
                <w:szCs w:val="21"/>
              </w:rPr>
            </w:pPr>
            <w:r>
              <w:rPr>
                <w:rFonts w:ascii="宋体" w:hAnsi="宋体"/>
                <w:szCs w:val="21"/>
              </w:rPr>
              <w:t>210</w:t>
            </w:r>
          </w:p>
        </w:tc>
        <w:tc>
          <w:tcPr>
            <w:tcW w:w="1069" w:type="dxa"/>
            <w:vAlign w:val="center"/>
          </w:tcPr>
          <w:p w14:paraId="5A7341AC">
            <w:pPr>
              <w:rPr>
                <w:rFonts w:ascii="宋体" w:cs="宋体"/>
                <w:szCs w:val="21"/>
              </w:rPr>
            </w:pPr>
            <w:r>
              <w:rPr>
                <w:rFonts w:ascii="宋体" w:hAnsi="宋体"/>
                <w:szCs w:val="21"/>
              </w:rPr>
              <w:t>210</w:t>
            </w:r>
          </w:p>
        </w:tc>
        <w:tc>
          <w:tcPr>
            <w:tcW w:w="771" w:type="dxa"/>
          </w:tcPr>
          <w:p w14:paraId="422428C7">
            <w:pPr>
              <w:widowControl/>
              <w:spacing w:line="580" w:lineRule="atLeast"/>
              <w:jc w:val="center"/>
              <w:rPr>
                <w:rFonts w:ascii="宋体" w:cs="宋体"/>
                <w:kern w:val="0"/>
                <w:szCs w:val="21"/>
              </w:rPr>
            </w:pPr>
          </w:p>
        </w:tc>
        <w:tc>
          <w:tcPr>
            <w:tcW w:w="657" w:type="dxa"/>
            <w:vAlign w:val="center"/>
          </w:tcPr>
          <w:p w14:paraId="7DCD81AA">
            <w:pPr>
              <w:jc w:val="right"/>
              <w:rPr>
                <w:rFonts w:ascii="宋体" w:cs="宋体"/>
                <w:szCs w:val="21"/>
              </w:rPr>
            </w:pPr>
            <w:r>
              <w:rPr>
                <w:rFonts w:ascii="宋体" w:hAnsi="宋体"/>
                <w:szCs w:val="21"/>
              </w:rPr>
              <w:t>1.00</w:t>
            </w:r>
          </w:p>
        </w:tc>
        <w:tc>
          <w:tcPr>
            <w:tcW w:w="1246" w:type="dxa"/>
            <w:vAlign w:val="center"/>
          </w:tcPr>
          <w:p w14:paraId="6D733C4A">
            <w:pPr>
              <w:jc w:val="right"/>
              <w:rPr>
                <w:rFonts w:ascii="宋体" w:cs="宋体"/>
                <w:szCs w:val="21"/>
              </w:rPr>
            </w:pPr>
            <w:r>
              <w:rPr>
                <w:rFonts w:ascii="宋体" w:hAnsi="宋体"/>
                <w:szCs w:val="21"/>
              </w:rPr>
              <w:t>200.00</w:t>
            </w:r>
          </w:p>
        </w:tc>
        <w:tc>
          <w:tcPr>
            <w:tcW w:w="891" w:type="dxa"/>
          </w:tcPr>
          <w:p w14:paraId="59B20D3F">
            <w:pPr>
              <w:widowControl/>
              <w:spacing w:line="580" w:lineRule="atLeast"/>
              <w:jc w:val="center"/>
              <w:rPr>
                <w:rFonts w:ascii="宋体" w:hAnsi="宋体" w:cs="宋体"/>
                <w:kern w:val="0"/>
                <w:szCs w:val="21"/>
              </w:rPr>
            </w:pPr>
            <w:r>
              <w:rPr>
                <w:rFonts w:ascii="宋体" w:hAnsi="宋体" w:cs="宋体"/>
                <w:kern w:val="0"/>
                <w:szCs w:val="21"/>
              </w:rPr>
              <w:t>21</w:t>
            </w:r>
          </w:p>
        </w:tc>
        <w:tc>
          <w:tcPr>
            <w:tcW w:w="891" w:type="dxa"/>
            <w:vAlign w:val="center"/>
          </w:tcPr>
          <w:p w14:paraId="19F7C84D">
            <w:pPr>
              <w:jc w:val="right"/>
              <w:rPr>
                <w:rFonts w:ascii="宋体" w:cs="宋体"/>
                <w:szCs w:val="21"/>
              </w:rPr>
            </w:pPr>
            <w:r>
              <w:rPr>
                <w:rFonts w:ascii="宋体" w:hAnsi="宋体"/>
                <w:szCs w:val="21"/>
              </w:rPr>
              <w:t>200.00</w:t>
            </w:r>
          </w:p>
        </w:tc>
        <w:tc>
          <w:tcPr>
            <w:tcW w:w="1187" w:type="dxa"/>
            <w:vAlign w:val="center"/>
          </w:tcPr>
          <w:p w14:paraId="6DC50A89">
            <w:pPr>
              <w:jc w:val="right"/>
              <w:rPr>
                <w:rFonts w:ascii="宋体" w:cs="宋体"/>
                <w:szCs w:val="21"/>
              </w:rPr>
            </w:pPr>
            <w:r>
              <w:rPr>
                <w:rFonts w:ascii="宋体" w:hAnsi="宋体"/>
                <w:szCs w:val="21"/>
              </w:rPr>
              <w:t>200.00</w:t>
            </w:r>
          </w:p>
        </w:tc>
        <w:tc>
          <w:tcPr>
            <w:tcW w:w="550" w:type="dxa"/>
          </w:tcPr>
          <w:p w14:paraId="66CBDD8A">
            <w:pPr>
              <w:widowControl/>
              <w:spacing w:line="580" w:lineRule="atLeast"/>
              <w:jc w:val="center"/>
              <w:rPr>
                <w:rFonts w:ascii="宋体" w:cs="宋体"/>
                <w:kern w:val="0"/>
                <w:szCs w:val="21"/>
              </w:rPr>
            </w:pPr>
          </w:p>
        </w:tc>
        <w:tc>
          <w:tcPr>
            <w:tcW w:w="829" w:type="dxa"/>
          </w:tcPr>
          <w:p w14:paraId="6320DF17">
            <w:pPr>
              <w:widowControl/>
              <w:spacing w:line="580" w:lineRule="atLeast"/>
              <w:jc w:val="center"/>
              <w:rPr>
                <w:rFonts w:ascii="宋体" w:cs="宋体"/>
                <w:kern w:val="0"/>
                <w:szCs w:val="21"/>
              </w:rPr>
            </w:pPr>
          </w:p>
        </w:tc>
        <w:tc>
          <w:tcPr>
            <w:tcW w:w="617" w:type="dxa"/>
          </w:tcPr>
          <w:p w14:paraId="11AFAE7A">
            <w:pPr>
              <w:widowControl/>
              <w:spacing w:line="580" w:lineRule="atLeast"/>
              <w:jc w:val="center"/>
              <w:rPr>
                <w:rFonts w:ascii="宋体" w:cs="宋体"/>
                <w:kern w:val="0"/>
                <w:szCs w:val="21"/>
              </w:rPr>
            </w:pPr>
          </w:p>
        </w:tc>
        <w:tc>
          <w:tcPr>
            <w:tcW w:w="1104" w:type="dxa"/>
          </w:tcPr>
          <w:p w14:paraId="442B5685">
            <w:pPr>
              <w:widowControl/>
              <w:spacing w:line="580" w:lineRule="atLeast"/>
              <w:jc w:val="center"/>
              <w:rPr>
                <w:rFonts w:ascii="宋体" w:cs="宋体"/>
                <w:kern w:val="0"/>
                <w:szCs w:val="21"/>
              </w:rPr>
            </w:pPr>
          </w:p>
        </w:tc>
      </w:tr>
      <w:tr w14:paraId="64562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736F1E7E">
            <w:pPr>
              <w:rPr>
                <w:rFonts w:ascii="宋体" w:cs="宋体"/>
                <w:szCs w:val="21"/>
              </w:rPr>
            </w:pPr>
            <w:r>
              <w:rPr>
                <w:rFonts w:hint="eastAsia" w:ascii="宋体" w:hAnsi="宋体"/>
                <w:szCs w:val="21"/>
              </w:rPr>
              <w:t>开发区土地集约利用评价项目</w:t>
            </w:r>
          </w:p>
        </w:tc>
        <w:tc>
          <w:tcPr>
            <w:tcW w:w="717" w:type="dxa"/>
            <w:vAlign w:val="center"/>
          </w:tcPr>
          <w:p w14:paraId="5CE1D431">
            <w:pPr>
              <w:jc w:val="right"/>
              <w:rPr>
                <w:rFonts w:ascii="宋体" w:cs="宋体"/>
                <w:szCs w:val="21"/>
              </w:rPr>
            </w:pPr>
            <w:r>
              <w:rPr>
                <w:rFonts w:ascii="宋体" w:hAnsi="宋体"/>
                <w:szCs w:val="21"/>
              </w:rPr>
              <w:t>30.00</w:t>
            </w:r>
          </w:p>
        </w:tc>
        <w:tc>
          <w:tcPr>
            <w:tcW w:w="920" w:type="dxa"/>
            <w:vAlign w:val="center"/>
          </w:tcPr>
          <w:p w14:paraId="40CB330B">
            <w:pPr>
              <w:rPr>
                <w:rFonts w:ascii="宋体" w:cs="宋体"/>
                <w:szCs w:val="21"/>
              </w:rPr>
            </w:pPr>
            <w:r>
              <w:rPr>
                <w:rFonts w:ascii="宋体" w:hAnsi="宋体"/>
                <w:szCs w:val="21"/>
              </w:rPr>
              <w:t>269</w:t>
            </w:r>
          </w:p>
        </w:tc>
        <w:tc>
          <w:tcPr>
            <w:tcW w:w="1069" w:type="dxa"/>
            <w:vAlign w:val="center"/>
          </w:tcPr>
          <w:p w14:paraId="0B59657D">
            <w:pPr>
              <w:rPr>
                <w:rFonts w:ascii="宋体" w:cs="宋体"/>
                <w:szCs w:val="21"/>
              </w:rPr>
            </w:pPr>
            <w:r>
              <w:rPr>
                <w:rFonts w:ascii="宋体" w:hAnsi="宋体"/>
                <w:szCs w:val="21"/>
              </w:rPr>
              <w:t>269</w:t>
            </w:r>
          </w:p>
        </w:tc>
        <w:tc>
          <w:tcPr>
            <w:tcW w:w="771" w:type="dxa"/>
          </w:tcPr>
          <w:p w14:paraId="3DA2E34F">
            <w:pPr>
              <w:widowControl/>
              <w:spacing w:line="580" w:lineRule="atLeast"/>
              <w:jc w:val="center"/>
              <w:rPr>
                <w:rFonts w:ascii="宋体" w:cs="宋体"/>
                <w:kern w:val="0"/>
                <w:szCs w:val="21"/>
              </w:rPr>
            </w:pPr>
          </w:p>
        </w:tc>
        <w:tc>
          <w:tcPr>
            <w:tcW w:w="657" w:type="dxa"/>
            <w:vAlign w:val="center"/>
          </w:tcPr>
          <w:p w14:paraId="66A237AE">
            <w:pPr>
              <w:jc w:val="right"/>
              <w:rPr>
                <w:rFonts w:ascii="宋体" w:cs="宋体"/>
                <w:szCs w:val="21"/>
              </w:rPr>
            </w:pPr>
            <w:r>
              <w:rPr>
                <w:rFonts w:ascii="宋体" w:hAnsi="宋体"/>
                <w:szCs w:val="21"/>
              </w:rPr>
              <w:t>1.00</w:t>
            </w:r>
          </w:p>
        </w:tc>
        <w:tc>
          <w:tcPr>
            <w:tcW w:w="1246" w:type="dxa"/>
            <w:vAlign w:val="center"/>
          </w:tcPr>
          <w:p w14:paraId="52B245AB">
            <w:pPr>
              <w:jc w:val="right"/>
              <w:rPr>
                <w:rFonts w:ascii="宋体" w:cs="宋体"/>
                <w:szCs w:val="21"/>
              </w:rPr>
            </w:pPr>
            <w:r>
              <w:rPr>
                <w:rFonts w:ascii="宋体" w:hAnsi="宋体"/>
                <w:szCs w:val="21"/>
              </w:rPr>
              <w:t>30.00</w:t>
            </w:r>
          </w:p>
        </w:tc>
        <w:tc>
          <w:tcPr>
            <w:tcW w:w="891" w:type="dxa"/>
          </w:tcPr>
          <w:p w14:paraId="595C41D7">
            <w:pPr>
              <w:widowControl/>
              <w:spacing w:line="580" w:lineRule="atLeast"/>
              <w:jc w:val="center"/>
              <w:rPr>
                <w:rFonts w:ascii="宋体" w:cs="宋体"/>
                <w:kern w:val="0"/>
                <w:szCs w:val="21"/>
              </w:rPr>
            </w:pPr>
          </w:p>
        </w:tc>
        <w:tc>
          <w:tcPr>
            <w:tcW w:w="891" w:type="dxa"/>
            <w:vAlign w:val="center"/>
          </w:tcPr>
          <w:p w14:paraId="72FFC29F">
            <w:pPr>
              <w:jc w:val="right"/>
              <w:rPr>
                <w:rFonts w:ascii="宋体" w:cs="宋体"/>
                <w:szCs w:val="21"/>
              </w:rPr>
            </w:pPr>
            <w:r>
              <w:rPr>
                <w:rFonts w:ascii="宋体" w:hAnsi="宋体"/>
                <w:szCs w:val="21"/>
              </w:rPr>
              <w:t>30.00</w:t>
            </w:r>
          </w:p>
        </w:tc>
        <w:tc>
          <w:tcPr>
            <w:tcW w:w="1187" w:type="dxa"/>
            <w:vAlign w:val="center"/>
          </w:tcPr>
          <w:p w14:paraId="1302C69E">
            <w:pPr>
              <w:jc w:val="right"/>
              <w:rPr>
                <w:rFonts w:ascii="宋体" w:cs="宋体"/>
                <w:szCs w:val="21"/>
              </w:rPr>
            </w:pPr>
            <w:r>
              <w:rPr>
                <w:rFonts w:ascii="宋体" w:hAnsi="宋体"/>
                <w:szCs w:val="21"/>
              </w:rPr>
              <w:t>30.00</w:t>
            </w:r>
          </w:p>
        </w:tc>
        <w:tc>
          <w:tcPr>
            <w:tcW w:w="550" w:type="dxa"/>
          </w:tcPr>
          <w:p w14:paraId="3DC2DD8A">
            <w:pPr>
              <w:widowControl/>
              <w:spacing w:line="580" w:lineRule="atLeast"/>
              <w:jc w:val="center"/>
              <w:rPr>
                <w:rFonts w:ascii="宋体" w:cs="宋体"/>
                <w:kern w:val="0"/>
                <w:szCs w:val="21"/>
              </w:rPr>
            </w:pPr>
          </w:p>
        </w:tc>
        <w:tc>
          <w:tcPr>
            <w:tcW w:w="829" w:type="dxa"/>
          </w:tcPr>
          <w:p w14:paraId="6C8FFBBB">
            <w:pPr>
              <w:widowControl/>
              <w:spacing w:line="580" w:lineRule="atLeast"/>
              <w:jc w:val="center"/>
              <w:rPr>
                <w:rFonts w:ascii="宋体" w:cs="宋体"/>
                <w:kern w:val="0"/>
                <w:szCs w:val="21"/>
              </w:rPr>
            </w:pPr>
          </w:p>
        </w:tc>
        <w:tc>
          <w:tcPr>
            <w:tcW w:w="617" w:type="dxa"/>
          </w:tcPr>
          <w:p w14:paraId="6E208958">
            <w:pPr>
              <w:widowControl/>
              <w:spacing w:line="580" w:lineRule="atLeast"/>
              <w:jc w:val="center"/>
              <w:rPr>
                <w:rFonts w:ascii="宋体" w:cs="宋体"/>
                <w:kern w:val="0"/>
                <w:szCs w:val="21"/>
              </w:rPr>
            </w:pPr>
          </w:p>
        </w:tc>
        <w:tc>
          <w:tcPr>
            <w:tcW w:w="1104" w:type="dxa"/>
          </w:tcPr>
          <w:p w14:paraId="26FD5F7E">
            <w:pPr>
              <w:widowControl/>
              <w:spacing w:line="580" w:lineRule="atLeast"/>
              <w:jc w:val="center"/>
              <w:rPr>
                <w:rFonts w:ascii="宋体" w:cs="宋体"/>
                <w:kern w:val="0"/>
                <w:szCs w:val="21"/>
              </w:rPr>
            </w:pPr>
          </w:p>
        </w:tc>
      </w:tr>
      <w:tr w14:paraId="72AE4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7F78C1DA">
            <w:pPr>
              <w:rPr>
                <w:rFonts w:ascii="宋体" w:cs="宋体"/>
                <w:szCs w:val="21"/>
              </w:rPr>
            </w:pPr>
            <w:r>
              <w:rPr>
                <w:rFonts w:hint="eastAsia" w:ascii="宋体" w:hAnsi="宋体"/>
                <w:szCs w:val="21"/>
              </w:rPr>
              <w:t>鹿泉经济开发区委托招商项目</w:t>
            </w:r>
          </w:p>
        </w:tc>
        <w:tc>
          <w:tcPr>
            <w:tcW w:w="717" w:type="dxa"/>
            <w:vAlign w:val="center"/>
          </w:tcPr>
          <w:p w14:paraId="1FEBC1FE">
            <w:pPr>
              <w:jc w:val="right"/>
              <w:rPr>
                <w:rFonts w:ascii="宋体" w:cs="宋体"/>
                <w:szCs w:val="21"/>
              </w:rPr>
            </w:pPr>
            <w:r>
              <w:rPr>
                <w:rFonts w:ascii="宋体" w:hAnsi="宋体"/>
                <w:szCs w:val="21"/>
              </w:rPr>
              <w:t>55.00</w:t>
            </w:r>
          </w:p>
        </w:tc>
        <w:tc>
          <w:tcPr>
            <w:tcW w:w="920" w:type="dxa"/>
            <w:vAlign w:val="center"/>
          </w:tcPr>
          <w:p w14:paraId="097B5C49">
            <w:pPr>
              <w:rPr>
                <w:rFonts w:ascii="宋体" w:cs="宋体"/>
                <w:szCs w:val="21"/>
              </w:rPr>
            </w:pPr>
            <w:r>
              <w:rPr>
                <w:rFonts w:ascii="宋体" w:hAnsi="宋体"/>
                <w:szCs w:val="21"/>
              </w:rPr>
              <w:t>296</w:t>
            </w:r>
          </w:p>
        </w:tc>
        <w:tc>
          <w:tcPr>
            <w:tcW w:w="1069" w:type="dxa"/>
            <w:vAlign w:val="center"/>
          </w:tcPr>
          <w:p w14:paraId="3E7C1905">
            <w:pPr>
              <w:rPr>
                <w:rFonts w:ascii="宋体" w:cs="宋体"/>
                <w:szCs w:val="21"/>
              </w:rPr>
            </w:pPr>
            <w:r>
              <w:rPr>
                <w:rFonts w:ascii="宋体" w:hAnsi="宋体"/>
                <w:szCs w:val="21"/>
              </w:rPr>
              <w:t>296</w:t>
            </w:r>
          </w:p>
        </w:tc>
        <w:tc>
          <w:tcPr>
            <w:tcW w:w="771" w:type="dxa"/>
          </w:tcPr>
          <w:p w14:paraId="17EE09C1">
            <w:pPr>
              <w:widowControl/>
              <w:spacing w:line="580" w:lineRule="atLeast"/>
              <w:jc w:val="center"/>
              <w:rPr>
                <w:rFonts w:ascii="宋体" w:cs="宋体"/>
                <w:kern w:val="0"/>
                <w:szCs w:val="21"/>
              </w:rPr>
            </w:pPr>
          </w:p>
        </w:tc>
        <w:tc>
          <w:tcPr>
            <w:tcW w:w="657" w:type="dxa"/>
            <w:vAlign w:val="center"/>
          </w:tcPr>
          <w:p w14:paraId="7FC6DFAC">
            <w:pPr>
              <w:jc w:val="right"/>
              <w:rPr>
                <w:rFonts w:ascii="宋体" w:cs="宋体"/>
                <w:szCs w:val="21"/>
              </w:rPr>
            </w:pPr>
            <w:r>
              <w:rPr>
                <w:rFonts w:ascii="宋体" w:hAnsi="宋体"/>
                <w:szCs w:val="21"/>
              </w:rPr>
              <w:t>1.00</w:t>
            </w:r>
          </w:p>
        </w:tc>
        <w:tc>
          <w:tcPr>
            <w:tcW w:w="1246" w:type="dxa"/>
            <w:vAlign w:val="center"/>
          </w:tcPr>
          <w:p w14:paraId="2A94F517">
            <w:pPr>
              <w:jc w:val="right"/>
              <w:rPr>
                <w:rFonts w:ascii="宋体" w:cs="宋体"/>
                <w:szCs w:val="21"/>
              </w:rPr>
            </w:pPr>
            <w:r>
              <w:rPr>
                <w:rFonts w:ascii="宋体" w:hAnsi="宋体"/>
                <w:szCs w:val="21"/>
              </w:rPr>
              <w:t>55.00</w:t>
            </w:r>
          </w:p>
        </w:tc>
        <w:tc>
          <w:tcPr>
            <w:tcW w:w="891" w:type="dxa"/>
          </w:tcPr>
          <w:p w14:paraId="3050E4D7">
            <w:pPr>
              <w:widowControl/>
              <w:spacing w:line="580" w:lineRule="atLeast"/>
              <w:jc w:val="center"/>
              <w:rPr>
                <w:rFonts w:ascii="宋体" w:cs="宋体"/>
                <w:kern w:val="0"/>
                <w:szCs w:val="21"/>
              </w:rPr>
            </w:pPr>
          </w:p>
        </w:tc>
        <w:tc>
          <w:tcPr>
            <w:tcW w:w="891" w:type="dxa"/>
            <w:vAlign w:val="center"/>
          </w:tcPr>
          <w:p w14:paraId="2818DFF0">
            <w:pPr>
              <w:jc w:val="right"/>
              <w:rPr>
                <w:rFonts w:ascii="宋体" w:cs="宋体"/>
                <w:szCs w:val="21"/>
              </w:rPr>
            </w:pPr>
            <w:r>
              <w:rPr>
                <w:rFonts w:ascii="宋体" w:hAnsi="宋体"/>
                <w:szCs w:val="21"/>
              </w:rPr>
              <w:t>55.00</w:t>
            </w:r>
          </w:p>
        </w:tc>
        <w:tc>
          <w:tcPr>
            <w:tcW w:w="1187" w:type="dxa"/>
            <w:vAlign w:val="center"/>
          </w:tcPr>
          <w:p w14:paraId="037C5C0A">
            <w:pPr>
              <w:jc w:val="right"/>
              <w:rPr>
                <w:rFonts w:ascii="宋体" w:cs="宋体"/>
                <w:szCs w:val="21"/>
              </w:rPr>
            </w:pPr>
            <w:r>
              <w:rPr>
                <w:rFonts w:ascii="宋体" w:hAnsi="宋体"/>
                <w:szCs w:val="21"/>
              </w:rPr>
              <w:t>55.00</w:t>
            </w:r>
          </w:p>
        </w:tc>
        <w:tc>
          <w:tcPr>
            <w:tcW w:w="550" w:type="dxa"/>
          </w:tcPr>
          <w:p w14:paraId="2227EE52">
            <w:pPr>
              <w:widowControl/>
              <w:spacing w:line="580" w:lineRule="atLeast"/>
              <w:jc w:val="center"/>
              <w:rPr>
                <w:rFonts w:ascii="宋体" w:cs="宋体"/>
                <w:kern w:val="0"/>
                <w:szCs w:val="21"/>
              </w:rPr>
            </w:pPr>
          </w:p>
        </w:tc>
        <w:tc>
          <w:tcPr>
            <w:tcW w:w="829" w:type="dxa"/>
          </w:tcPr>
          <w:p w14:paraId="0C54E5AF">
            <w:pPr>
              <w:widowControl/>
              <w:spacing w:line="580" w:lineRule="atLeast"/>
              <w:jc w:val="center"/>
              <w:rPr>
                <w:rFonts w:ascii="宋体" w:cs="宋体"/>
                <w:kern w:val="0"/>
                <w:szCs w:val="21"/>
              </w:rPr>
            </w:pPr>
          </w:p>
        </w:tc>
        <w:tc>
          <w:tcPr>
            <w:tcW w:w="617" w:type="dxa"/>
          </w:tcPr>
          <w:p w14:paraId="5D75BB5C">
            <w:pPr>
              <w:widowControl/>
              <w:spacing w:line="580" w:lineRule="atLeast"/>
              <w:jc w:val="center"/>
              <w:rPr>
                <w:rFonts w:ascii="宋体" w:cs="宋体"/>
                <w:kern w:val="0"/>
                <w:szCs w:val="21"/>
              </w:rPr>
            </w:pPr>
          </w:p>
        </w:tc>
        <w:tc>
          <w:tcPr>
            <w:tcW w:w="1104" w:type="dxa"/>
          </w:tcPr>
          <w:p w14:paraId="09A4EF5E">
            <w:pPr>
              <w:widowControl/>
              <w:spacing w:line="580" w:lineRule="atLeast"/>
              <w:jc w:val="center"/>
              <w:rPr>
                <w:rFonts w:ascii="宋体" w:cs="宋体"/>
                <w:kern w:val="0"/>
                <w:szCs w:val="21"/>
              </w:rPr>
            </w:pPr>
          </w:p>
        </w:tc>
      </w:tr>
      <w:tr w14:paraId="0C304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1BECB31A">
            <w:pPr>
              <w:rPr>
                <w:rFonts w:ascii="宋体" w:cs="宋体"/>
                <w:szCs w:val="21"/>
              </w:rPr>
            </w:pPr>
            <w:r>
              <w:rPr>
                <w:rFonts w:hint="eastAsia" w:ascii="宋体" w:hAnsi="宋体"/>
                <w:szCs w:val="21"/>
              </w:rPr>
              <w:t>青龙山大道、碧水街、南区办公楼及广场亮化工程</w:t>
            </w:r>
          </w:p>
        </w:tc>
        <w:tc>
          <w:tcPr>
            <w:tcW w:w="717" w:type="dxa"/>
            <w:vAlign w:val="center"/>
          </w:tcPr>
          <w:p w14:paraId="6CB6C393">
            <w:pPr>
              <w:jc w:val="right"/>
              <w:rPr>
                <w:rFonts w:ascii="宋体" w:cs="宋体"/>
                <w:szCs w:val="21"/>
              </w:rPr>
            </w:pPr>
            <w:r>
              <w:rPr>
                <w:rFonts w:ascii="宋体" w:hAnsi="宋体"/>
                <w:szCs w:val="21"/>
              </w:rPr>
              <w:t>150.00</w:t>
            </w:r>
          </w:p>
        </w:tc>
        <w:tc>
          <w:tcPr>
            <w:tcW w:w="920" w:type="dxa"/>
            <w:vAlign w:val="center"/>
          </w:tcPr>
          <w:p w14:paraId="00879DBB">
            <w:pPr>
              <w:rPr>
                <w:rFonts w:ascii="宋体" w:cs="宋体"/>
                <w:szCs w:val="21"/>
              </w:rPr>
            </w:pPr>
            <w:r>
              <w:rPr>
                <w:rFonts w:ascii="宋体" w:hAnsi="宋体"/>
                <w:szCs w:val="21"/>
              </w:rPr>
              <w:t>154</w:t>
            </w:r>
          </w:p>
        </w:tc>
        <w:tc>
          <w:tcPr>
            <w:tcW w:w="1069" w:type="dxa"/>
            <w:vAlign w:val="center"/>
          </w:tcPr>
          <w:p w14:paraId="19CBE2A4">
            <w:pPr>
              <w:rPr>
                <w:rFonts w:ascii="宋体" w:cs="宋体"/>
                <w:szCs w:val="21"/>
              </w:rPr>
            </w:pPr>
            <w:r>
              <w:rPr>
                <w:rFonts w:ascii="宋体" w:hAnsi="宋体"/>
                <w:szCs w:val="21"/>
              </w:rPr>
              <w:t>154</w:t>
            </w:r>
          </w:p>
        </w:tc>
        <w:tc>
          <w:tcPr>
            <w:tcW w:w="771" w:type="dxa"/>
          </w:tcPr>
          <w:p w14:paraId="275EB543">
            <w:pPr>
              <w:widowControl/>
              <w:spacing w:line="580" w:lineRule="atLeast"/>
              <w:jc w:val="center"/>
              <w:rPr>
                <w:rFonts w:ascii="宋体" w:cs="宋体"/>
                <w:kern w:val="0"/>
                <w:szCs w:val="21"/>
              </w:rPr>
            </w:pPr>
          </w:p>
        </w:tc>
        <w:tc>
          <w:tcPr>
            <w:tcW w:w="657" w:type="dxa"/>
            <w:vAlign w:val="center"/>
          </w:tcPr>
          <w:p w14:paraId="50A84CFE">
            <w:pPr>
              <w:jc w:val="right"/>
              <w:rPr>
                <w:rFonts w:ascii="宋体" w:cs="宋体"/>
                <w:szCs w:val="21"/>
              </w:rPr>
            </w:pPr>
            <w:r>
              <w:rPr>
                <w:rFonts w:ascii="宋体" w:hAnsi="宋体"/>
                <w:szCs w:val="21"/>
              </w:rPr>
              <w:t>1.00</w:t>
            </w:r>
          </w:p>
        </w:tc>
        <w:tc>
          <w:tcPr>
            <w:tcW w:w="1246" w:type="dxa"/>
            <w:vAlign w:val="center"/>
          </w:tcPr>
          <w:p w14:paraId="306BED8C">
            <w:pPr>
              <w:jc w:val="right"/>
              <w:rPr>
                <w:rFonts w:ascii="宋体" w:cs="宋体"/>
                <w:szCs w:val="21"/>
              </w:rPr>
            </w:pPr>
            <w:r>
              <w:rPr>
                <w:rFonts w:ascii="宋体" w:hAnsi="宋体"/>
                <w:szCs w:val="21"/>
              </w:rPr>
              <w:t>150.00</w:t>
            </w:r>
          </w:p>
        </w:tc>
        <w:tc>
          <w:tcPr>
            <w:tcW w:w="891" w:type="dxa"/>
          </w:tcPr>
          <w:p w14:paraId="47DB679D">
            <w:pPr>
              <w:widowControl/>
              <w:spacing w:line="580" w:lineRule="atLeast"/>
              <w:jc w:val="center"/>
              <w:rPr>
                <w:rFonts w:ascii="宋体" w:cs="宋体"/>
                <w:kern w:val="0"/>
                <w:szCs w:val="21"/>
              </w:rPr>
            </w:pPr>
          </w:p>
        </w:tc>
        <w:tc>
          <w:tcPr>
            <w:tcW w:w="891" w:type="dxa"/>
            <w:vAlign w:val="center"/>
          </w:tcPr>
          <w:p w14:paraId="1C129D3B">
            <w:pPr>
              <w:jc w:val="right"/>
              <w:rPr>
                <w:rFonts w:ascii="宋体" w:cs="宋体"/>
                <w:szCs w:val="21"/>
              </w:rPr>
            </w:pPr>
            <w:r>
              <w:rPr>
                <w:rFonts w:ascii="宋体" w:hAnsi="宋体"/>
                <w:szCs w:val="21"/>
              </w:rPr>
              <w:t>150.00</w:t>
            </w:r>
          </w:p>
        </w:tc>
        <w:tc>
          <w:tcPr>
            <w:tcW w:w="1187" w:type="dxa"/>
            <w:vAlign w:val="center"/>
          </w:tcPr>
          <w:p w14:paraId="47C5343C">
            <w:pPr>
              <w:jc w:val="right"/>
              <w:rPr>
                <w:rFonts w:ascii="宋体" w:cs="宋体"/>
                <w:szCs w:val="21"/>
              </w:rPr>
            </w:pPr>
            <w:r>
              <w:rPr>
                <w:rFonts w:ascii="宋体" w:hAnsi="宋体"/>
                <w:szCs w:val="21"/>
              </w:rPr>
              <w:t>150.00</w:t>
            </w:r>
          </w:p>
        </w:tc>
        <w:tc>
          <w:tcPr>
            <w:tcW w:w="550" w:type="dxa"/>
          </w:tcPr>
          <w:p w14:paraId="332556BF">
            <w:pPr>
              <w:widowControl/>
              <w:spacing w:line="580" w:lineRule="atLeast"/>
              <w:jc w:val="center"/>
              <w:rPr>
                <w:rFonts w:ascii="宋体" w:cs="宋体"/>
                <w:kern w:val="0"/>
                <w:szCs w:val="21"/>
              </w:rPr>
            </w:pPr>
          </w:p>
        </w:tc>
        <w:tc>
          <w:tcPr>
            <w:tcW w:w="829" w:type="dxa"/>
          </w:tcPr>
          <w:p w14:paraId="385A7D48">
            <w:pPr>
              <w:widowControl/>
              <w:spacing w:line="580" w:lineRule="atLeast"/>
              <w:jc w:val="center"/>
              <w:rPr>
                <w:rFonts w:ascii="宋体" w:cs="宋体"/>
                <w:kern w:val="0"/>
                <w:szCs w:val="21"/>
              </w:rPr>
            </w:pPr>
          </w:p>
        </w:tc>
        <w:tc>
          <w:tcPr>
            <w:tcW w:w="617" w:type="dxa"/>
          </w:tcPr>
          <w:p w14:paraId="041EEB29">
            <w:pPr>
              <w:widowControl/>
              <w:spacing w:line="580" w:lineRule="atLeast"/>
              <w:jc w:val="center"/>
              <w:rPr>
                <w:rFonts w:ascii="宋体" w:cs="宋体"/>
                <w:kern w:val="0"/>
                <w:szCs w:val="21"/>
              </w:rPr>
            </w:pPr>
          </w:p>
        </w:tc>
        <w:tc>
          <w:tcPr>
            <w:tcW w:w="1104" w:type="dxa"/>
          </w:tcPr>
          <w:p w14:paraId="4539F2CE">
            <w:pPr>
              <w:widowControl/>
              <w:spacing w:line="580" w:lineRule="atLeast"/>
              <w:jc w:val="center"/>
              <w:rPr>
                <w:rFonts w:ascii="宋体" w:cs="宋体"/>
                <w:kern w:val="0"/>
                <w:szCs w:val="21"/>
              </w:rPr>
            </w:pPr>
          </w:p>
        </w:tc>
      </w:tr>
      <w:tr w14:paraId="450AE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2172DA97">
            <w:pPr>
              <w:rPr>
                <w:rFonts w:ascii="宋体" w:cs="宋体"/>
                <w:szCs w:val="21"/>
              </w:rPr>
            </w:pPr>
            <w:r>
              <w:rPr>
                <w:rFonts w:hint="eastAsia" w:ascii="宋体" w:hAnsi="宋体"/>
                <w:szCs w:val="21"/>
              </w:rPr>
              <w:t>丰源路路灯安装工程</w:t>
            </w:r>
          </w:p>
        </w:tc>
        <w:tc>
          <w:tcPr>
            <w:tcW w:w="717" w:type="dxa"/>
            <w:vAlign w:val="center"/>
          </w:tcPr>
          <w:p w14:paraId="3F85A287">
            <w:pPr>
              <w:jc w:val="right"/>
              <w:rPr>
                <w:rFonts w:ascii="宋体" w:cs="宋体"/>
                <w:szCs w:val="21"/>
              </w:rPr>
            </w:pPr>
            <w:r>
              <w:rPr>
                <w:rFonts w:ascii="宋体" w:hAnsi="宋体"/>
                <w:szCs w:val="21"/>
              </w:rPr>
              <w:t>80.00</w:t>
            </w:r>
          </w:p>
        </w:tc>
        <w:tc>
          <w:tcPr>
            <w:tcW w:w="920" w:type="dxa"/>
            <w:vAlign w:val="center"/>
          </w:tcPr>
          <w:p w14:paraId="020FD008">
            <w:pPr>
              <w:rPr>
                <w:rFonts w:ascii="宋体" w:cs="宋体"/>
                <w:szCs w:val="21"/>
              </w:rPr>
            </w:pPr>
            <w:r>
              <w:rPr>
                <w:rFonts w:ascii="宋体" w:hAnsi="宋体"/>
                <w:szCs w:val="21"/>
              </w:rPr>
              <w:t>190</w:t>
            </w:r>
          </w:p>
        </w:tc>
        <w:tc>
          <w:tcPr>
            <w:tcW w:w="1069" w:type="dxa"/>
            <w:vAlign w:val="center"/>
          </w:tcPr>
          <w:p w14:paraId="4E53D6D8">
            <w:pPr>
              <w:rPr>
                <w:rFonts w:ascii="宋体" w:cs="宋体"/>
                <w:szCs w:val="21"/>
              </w:rPr>
            </w:pPr>
            <w:r>
              <w:rPr>
                <w:rFonts w:ascii="宋体" w:hAnsi="宋体"/>
                <w:szCs w:val="21"/>
              </w:rPr>
              <w:t>190</w:t>
            </w:r>
          </w:p>
        </w:tc>
        <w:tc>
          <w:tcPr>
            <w:tcW w:w="771" w:type="dxa"/>
          </w:tcPr>
          <w:p w14:paraId="5DB088E6">
            <w:pPr>
              <w:widowControl/>
              <w:spacing w:line="580" w:lineRule="atLeast"/>
              <w:jc w:val="center"/>
              <w:rPr>
                <w:rFonts w:ascii="宋体" w:cs="宋体"/>
                <w:kern w:val="0"/>
                <w:szCs w:val="21"/>
              </w:rPr>
            </w:pPr>
          </w:p>
        </w:tc>
        <w:tc>
          <w:tcPr>
            <w:tcW w:w="657" w:type="dxa"/>
            <w:vAlign w:val="center"/>
          </w:tcPr>
          <w:p w14:paraId="0B9C05C6">
            <w:pPr>
              <w:jc w:val="right"/>
              <w:rPr>
                <w:rFonts w:ascii="宋体" w:cs="宋体"/>
                <w:szCs w:val="21"/>
              </w:rPr>
            </w:pPr>
            <w:r>
              <w:rPr>
                <w:rFonts w:ascii="宋体" w:hAnsi="宋体"/>
                <w:szCs w:val="21"/>
              </w:rPr>
              <w:t>1.00</w:t>
            </w:r>
          </w:p>
        </w:tc>
        <w:tc>
          <w:tcPr>
            <w:tcW w:w="1246" w:type="dxa"/>
            <w:vAlign w:val="center"/>
          </w:tcPr>
          <w:p w14:paraId="048532C3">
            <w:pPr>
              <w:jc w:val="right"/>
              <w:rPr>
                <w:rFonts w:ascii="宋体" w:cs="宋体"/>
                <w:szCs w:val="21"/>
              </w:rPr>
            </w:pPr>
            <w:r>
              <w:rPr>
                <w:rFonts w:ascii="宋体" w:hAnsi="宋体"/>
                <w:szCs w:val="21"/>
              </w:rPr>
              <w:t>80.00</w:t>
            </w:r>
          </w:p>
        </w:tc>
        <w:tc>
          <w:tcPr>
            <w:tcW w:w="891" w:type="dxa"/>
          </w:tcPr>
          <w:p w14:paraId="6098AB8F">
            <w:pPr>
              <w:widowControl/>
              <w:spacing w:line="580" w:lineRule="atLeast"/>
              <w:jc w:val="center"/>
              <w:rPr>
                <w:rFonts w:ascii="宋体" w:cs="宋体"/>
                <w:kern w:val="0"/>
                <w:szCs w:val="21"/>
              </w:rPr>
            </w:pPr>
          </w:p>
        </w:tc>
        <w:tc>
          <w:tcPr>
            <w:tcW w:w="891" w:type="dxa"/>
            <w:vAlign w:val="center"/>
          </w:tcPr>
          <w:p w14:paraId="5E1FFCE5">
            <w:pPr>
              <w:jc w:val="right"/>
              <w:rPr>
                <w:rFonts w:ascii="宋体" w:cs="宋体"/>
                <w:szCs w:val="21"/>
              </w:rPr>
            </w:pPr>
            <w:r>
              <w:rPr>
                <w:rFonts w:ascii="宋体" w:hAnsi="宋体"/>
                <w:szCs w:val="21"/>
              </w:rPr>
              <w:t>80.00</w:t>
            </w:r>
          </w:p>
        </w:tc>
        <w:tc>
          <w:tcPr>
            <w:tcW w:w="1187" w:type="dxa"/>
            <w:vAlign w:val="center"/>
          </w:tcPr>
          <w:p w14:paraId="761CC86A">
            <w:pPr>
              <w:jc w:val="right"/>
              <w:rPr>
                <w:rFonts w:ascii="宋体" w:cs="宋体"/>
                <w:szCs w:val="21"/>
              </w:rPr>
            </w:pPr>
            <w:r>
              <w:rPr>
                <w:rFonts w:ascii="宋体" w:hAnsi="宋体"/>
                <w:szCs w:val="21"/>
              </w:rPr>
              <w:t>80.00</w:t>
            </w:r>
          </w:p>
        </w:tc>
        <w:tc>
          <w:tcPr>
            <w:tcW w:w="550" w:type="dxa"/>
          </w:tcPr>
          <w:p w14:paraId="3F7A46B3">
            <w:pPr>
              <w:widowControl/>
              <w:spacing w:line="580" w:lineRule="atLeast"/>
              <w:jc w:val="center"/>
              <w:rPr>
                <w:rFonts w:ascii="宋体" w:cs="宋体"/>
                <w:kern w:val="0"/>
                <w:szCs w:val="21"/>
              </w:rPr>
            </w:pPr>
          </w:p>
        </w:tc>
        <w:tc>
          <w:tcPr>
            <w:tcW w:w="829" w:type="dxa"/>
          </w:tcPr>
          <w:p w14:paraId="5E9F32EA">
            <w:pPr>
              <w:widowControl/>
              <w:spacing w:line="580" w:lineRule="atLeast"/>
              <w:jc w:val="center"/>
              <w:rPr>
                <w:rFonts w:ascii="宋体" w:cs="宋体"/>
                <w:kern w:val="0"/>
                <w:szCs w:val="21"/>
              </w:rPr>
            </w:pPr>
          </w:p>
        </w:tc>
        <w:tc>
          <w:tcPr>
            <w:tcW w:w="617" w:type="dxa"/>
          </w:tcPr>
          <w:p w14:paraId="24279D97">
            <w:pPr>
              <w:widowControl/>
              <w:spacing w:line="580" w:lineRule="atLeast"/>
              <w:jc w:val="center"/>
              <w:rPr>
                <w:rFonts w:ascii="宋体" w:cs="宋体"/>
                <w:kern w:val="0"/>
                <w:szCs w:val="21"/>
              </w:rPr>
            </w:pPr>
          </w:p>
        </w:tc>
        <w:tc>
          <w:tcPr>
            <w:tcW w:w="1104" w:type="dxa"/>
          </w:tcPr>
          <w:p w14:paraId="13FAF3C3">
            <w:pPr>
              <w:widowControl/>
              <w:spacing w:line="580" w:lineRule="atLeast"/>
              <w:jc w:val="center"/>
              <w:rPr>
                <w:rFonts w:ascii="宋体" w:cs="宋体"/>
                <w:kern w:val="0"/>
                <w:szCs w:val="21"/>
              </w:rPr>
            </w:pPr>
          </w:p>
        </w:tc>
      </w:tr>
      <w:tr w14:paraId="3D4CF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3126A1E9">
            <w:pPr>
              <w:rPr>
                <w:rFonts w:ascii="宋体" w:cs="宋体"/>
                <w:szCs w:val="21"/>
              </w:rPr>
            </w:pPr>
            <w:r>
              <w:rPr>
                <w:rFonts w:ascii="宋体" w:hAnsi="宋体"/>
                <w:szCs w:val="21"/>
              </w:rPr>
              <w:t xml:space="preserve"> </w:t>
            </w:r>
            <w:r>
              <w:rPr>
                <w:rFonts w:hint="eastAsia" w:ascii="宋体" w:hAnsi="宋体"/>
                <w:szCs w:val="21"/>
              </w:rPr>
              <w:t>旧碧水街路灯改造工程</w:t>
            </w:r>
          </w:p>
        </w:tc>
        <w:tc>
          <w:tcPr>
            <w:tcW w:w="717" w:type="dxa"/>
            <w:vAlign w:val="center"/>
          </w:tcPr>
          <w:p w14:paraId="4902D6AB">
            <w:pPr>
              <w:jc w:val="right"/>
              <w:rPr>
                <w:rFonts w:ascii="宋体" w:cs="宋体"/>
                <w:szCs w:val="21"/>
              </w:rPr>
            </w:pPr>
            <w:r>
              <w:rPr>
                <w:rFonts w:ascii="宋体" w:hAnsi="宋体"/>
                <w:szCs w:val="21"/>
              </w:rPr>
              <w:t>50.00</w:t>
            </w:r>
          </w:p>
        </w:tc>
        <w:tc>
          <w:tcPr>
            <w:tcW w:w="920" w:type="dxa"/>
            <w:vAlign w:val="center"/>
          </w:tcPr>
          <w:p w14:paraId="6FF4F7AB">
            <w:pPr>
              <w:rPr>
                <w:rFonts w:ascii="宋体" w:cs="宋体"/>
                <w:szCs w:val="21"/>
              </w:rPr>
            </w:pPr>
            <w:r>
              <w:rPr>
                <w:rFonts w:ascii="宋体" w:hAnsi="宋体"/>
                <w:szCs w:val="21"/>
              </w:rPr>
              <w:t>210</w:t>
            </w:r>
          </w:p>
        </w:tc>
        <w:tc>
          <w:tcPr>
            <w:tcW w:w="1069" w:type="dxa"/>
            <w:vAlign w:val="center"/>
          </w:tcPr>
          <w:p w14:paraId="77A35E42">
            <w:pPr>
              <w:rPr>
                <w:rFonts w:ascii="宋体" w:cs="宋体"/>
                <w:szCs w:val="21"/>
              </w:rPr>
            </w:pPr>
            <w:r>
              <w:rPr>
                <w:rFonts w:ascii="宋体" w:hAnsi="宋体"/>
                <w:szCs w:val="21"/>
              </w:rPr>
              <w:t>210</w:t>
            </w:r>
          </w:p>
        </w:tc>
        <w:tc>
          <w:tcPr>
            <w:tcW w:w="771" w:type="dxa"/>
          </w:tcPr>
          <w:p w14:paraId="123D0A13">
            <w:pPr>
              <w:widowControl/>
              <w:spacing w:line="580" w:lineRule="atLeast"/>
              <w:jc w:val="center"/>
              <w:rPr>
                <w:rFonts w:ascii="宋体" w:cs="宋体"/>
                <w:kern w:val="0"/>
                <w:szCs w:val="21"/>
              </w:rPr>
            </w:pPr>
          </w:p>
        </w:tc>
        <w:tc>
          <w:tcPr>
            <w:tcW w:w="657" w:type="dxa"/>
            <w:vAlign w:val="center"/>
          </w:tcPr>
          <w:p w14:paraId="59AB5EDD">
            <w:pPr>
              <w:jc w:val="right"/>
              <w:rPr>
                <w:rFonts w:ascii="宋体" w:cs="宋体"/>
                <w:szCs w:val="21"/>
              </w:rPr>
            </w:pPr>
            <w:r>
              <w:rPr>
                <w:rFonts w:ascii="宋体" w:hAnsi="宋体"/>
                <w:szCs w:val="21"/>
              </w:rPr>
              <w:t>1.00</w:t>
            </w:r>
          </w:p>
        </w:tc>
        <w:tc>
          <w:tcPr>
            <w:tcW w:w="1246" w:type="dxa"/>
            <w:vAlign w:val="center"/>
          </w:tcPr>
          <w:p w14:paraId="025FAEC0">
            <w:pPr>
              <w:jc w:val="right"/>
              <w:rPr>
                <w:rFonts w:ascii="宋体" w:cs="宋体"/>
                <w:szCs w:val="21"/>
              </w:rPr>
            </w:pPr>
            <w:r>
              <w:rPr>
                <w:rFonts w:ascii="宋体" w:hAnsi="宋体"/>
                <w:szCs w:val="21"/>
              </w:rPr>
              <w:t>50.00</w:t>
            </w:r>
          </w:p>
        </w:tc>
        <w:tc>
          <w:tcPr>
            <w:tcW w:w="891" w:type="dxa"/>
          </w:tcPr>
          <w:p w14:paraId="0AC99D9F">
            <w:pPr>
              <w:widowControl/>
              <w:spacing w:line="580" w:lineRule="atLeast"/>
              <w:jc w:val="center"/>
              <w:rPr>
                <w:rFonts w:ascii="宋体" w:cs="宋体"/>
                <w:kern w:val="0"/>
                <w:szCs w:val="21"/>
              </w:rPr>
            </w:pPr>
          </w:p>
        </w:tc>
        <w:tc>
          <w:tcPr>
            <w:tcW w:w="891" w:type="dxa"/>
            <w:vAlign w:val="center"/>
          </w:tcPr>
          <w:p w14:paraId="38D701B6">
            <w:pPr>
              <w:jc w:val="right"/>
              <w:rPr>
                <w:rFonts w:ascii="宋体" w:cs="宋体"/>
                <w:szCs w:val="21"/>
              </w:rPr>
            </w:pPr>
            <w:r>
              <w:rPr>
                <w:rFonts w:ascii="宋体" w:hAnsi="宋体"/>
                <w:szCs w:val="21"/>
              </w:rPr>
              <w:t>50.00</w:t>
            </w:r>
          </w:p>
        </w:tc>
        <w:tc>
          <w:tcPr>
            <w:tcW w:w="1187" w:type="dxa"/>
            <w:vAlign w:val="center"/>
          </w:tcPr>
          <w:p w14:paraId="64A1E182">
            <w:pPr>
              <w:jc w:val="right"/>
              <w:rPr>
                <w:rFonts w:ascii="宋体" w:cs="宋体"/>
                <w:szCs w:val="21"/>
              </w:rPr>
            </w:pPr>
            <w:r>
              <w:rPr>
                <w:rFonts w:ascii="宋体" w:hAnsi="宋体"/>
                <w:szCs w:val="21"/>
              </w:rPr>
              <w:t>50.00</w:t>
            </w:r>
          </w:p>
        </w:tc>
        <w:tc>
          <w:tcPr>
            <w:tcW w:w="550" w:type="dxa"/>
          </w:tcPr>
          <w:p w14:paraId="3DA7BFDC">
            <w:pPr>
              <w:widowControl/>
              <w:spacing w:line="580" w:lineRule="atLeast"/>
              <w:jc w:val="center"/>
              <w:rPr>
                <w:rFonts w:ascii="宋体" w:cs="宋体"/>
                <w:kern w:val="0"/>
                <w:szCs w:val="21"/>
              </w:rPr>
            </w:pPr>
          </w:p>
        </w:tc>
        <w:tc>
          <w:tcPr>
            <w:tcW w:w="829" w:type="dxa"/>
          </w:tcPr>
          <w:p w14:paraId="7E51CC74">
            <w:pPr>
              <w:widowControl/>
              <w:spacing w:line="580" w:lineRule="atLeast"/>
              <w:jc w:val="center"/>
              <w:rPr>
                <w:rFonts w:ascii="宋体" w:cs="宋体"/>
                <w:kern w:val="0"/>
                <w:szCs w:val="21"/>
              </w:rPr>
            </w:pPr>
          </w:p>
        </w:tc>
        <w:tc>
          <w:tcPr>
            <w:tcW w:w="617" w:type="dxa"/>
          </w:tcPr>
          <w:p w14:paraId="12D85FF9">
            <w:pPr>
              <w:widowControl/>
              <w:spacing w:line="580" w:lineRule="atLeast"/>
              <w:jc w:val="center"/>
              <w:rPr>
                <w:rFonts w:ascii="宋体" w:cs="宋体"/>
                <w:kern w:val="0"/>
                <w:szCs w:val="21"/>
              </w:rPr>
            </w:pPr>
          </w:p>
        </w:tc>
        <w:tc>
          <w:tcPr>
            <w:tcW w:w="1104" w:type="dxa"/>
          </w:tcPr>
          <w:p w14:paraId="372A017D">
            <w:pPr>
              <w:widowControl/>
              <w:spacing w:line="580" w:lineRule="atLeast"/>
              <w:jc w:val="center"/>
              <w:rPr>
                <w:rFonts w:ascii="宋体" w:cs="宋体"/>
                <w:kern w:val="0"/>
                <w:szCs w:val="21"/>
              </w:rPr>
            </w:pPr>
          </w:p>
        </w:tc>
      </w:tr>
      <w:tr w14:paraId="5D305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58D33E1E">
            <w:pPr>
              <w:rPr>
                <w:rFonts w:ascii="宋体" w:cs="宋体"/>
                <w:szCs w:val="21"/>
              </w:rPr>
            </w:pPr>
            <w:r>
              <w:rPr>
                <w:rFonts w:hint="eastAsia" w:ascii="宋体" w:hAnsi="宋体"/>
                <w:szCs w:val="21"/>
              </w:rPr>
              <w:t>省旅发大会</w:t>
            </w:r>
            <w:r>
              <w:rPr>
                <w:rFonts w:ascii="宋体" w:hAnsi="宋体"/>
                <w:szCs w:val="21"/>
              </w:rPr>
              <w:t>307</w:t>
            </w:r>
            <w:r>
              <w:rPr>
                <w:rFonts w:hint="eastAsia" w:ascii="宋体" w:hAnsi="宋体"/>
                <w:szCs w:val="21"/>
              </w:rPr>
              <w:t>国道及相关路段提升改造工程</w:t>
            </w:r>
          </w:p>
        </w:tc>
        <w:tc>
          <w:tcPr>
            <w:tcW w:w="717" w:type="dxa"/>
            <w:vAlign w:val="center"/>
          </w:tcPr>
          <w:p w14:paraId="5D75E13E">
            <w:pPr>
              <w:jc w:val="right"/>
              <w:rPr>
                <w:rFonts w:ascii="宋体" w:cs="宋体"/>
                <w:szCs w:val="21"/>
              </w:rPr>
            </w:pPr>
            <w:r>
              <w:rPr>
                <w:rFonts w:ascii="宋体" w:hAnsi="宋体"/>
                <w:szCs w:val="21"/>
              </w:rPr>
              <w:t>260.00</w:t>
            </w:r>
          </w:p>
        </w:tc>
        <w:tc>
          <w:tcPr>
            <w:tcW w:w="920" w:type="dxa"/>
            <w:vAlign w:val="center"/>
          </w:tcPr>
          <w:p w14:paraId="67CB3362">
            <w:pPr>
              <w:rPr>
                <w:rFonts w:ascii="宋体" w:cs="宋体"/>
                <w:szCs w:val="21"/>
              </w:rPr>
            </w:pPr>
            <w:r>
              <w:rPr>
                <w:rFonts w:ascii="宋体" w:hAnsi="宋体"/>
                <w:szCs w:val="21"/>
              </w:rPr>
              <w:t>168</w:t>
            </w:r>
          </w:p>
        </w:tc>
        <w:tc>
          <w:tcPr>
            <w:tcW w:w="1069" w:type="dxa"/>
            <w:vAlign w:val="center"/>
          </w:tcPr>
          <w:p w14:paraId="5EF5F6A0">
            <w:pPr>
              <w:rPr>
                <w:rFonts w:ascii="宋体" w:cs="宋体"/>
                <w:szCs w:val="21"/>
              </w:rPr>
            </w:pPr>
            <w:r>
              <w:rPr>
                <w:rFonts w:ascii="宋体" w:hAnsi="宋体"/>
                <w:szCs w:val="21"/>
              </w:rPr>
              <w:t>168</w:t>
            </w:r>
          </w:p>
        </w:tc>
        <w:tc>
          <w:tcPr>
            <w:tcW w:w="771" w:type="dxa"/>
          </w:tcPr>
          <w:p w14:paraId="56CED145">
            <w:pPr>
              <w:widowControl/>
              <w:spacing w:line="580" w:lineRule="atLeast"/>
              <w:jc w:val="center"/>
              <w:rPr>
                <w:rFonts w:ascii="宋体" w:cs="宋体"/>
                <w:kern w:val="0"/>
                <w:szCs w:val="21"/>
              </w:rPr>
            </w:pPr>
          </w:p>
        </w:tc>
        <w:tc>
          <w:tcPr>
            <w:tcW w:w="657" w:type="dxa"/>
            <w:vAlign w:val="center"/>
          </w:tcPr>
          <w:p w14:paraId="53627812">
            <w:pPr>
              <w:jc w:val="right"/>
              <w:rPr>
                <w:rFonts w:ascii="宋体" w:cs="宋体"/>
                <w:szCs w:val="21"/>
              </w:rPr>
            </w:pPr>
            <w:r>
              <w:rPr>
                <w:rFonts w:ascii="宋体" w:hAnsi="宋体"/>
                <w:szCs w:val="21"/>
              </w:rPr>
              <w:t>1.00</w:t>
            </w:r>
          </w:p>
        </w:tc>
        <w:tc>
          <w:tcPr>
            <w:tcW w:w="1246" w:type="dxa"/>
            <w:vAlign w:val="center"/>
          </w:tcPr>
          <w:p w14:paraId="6275B8F5">
            <w:pPr>
              <w:jc w:val="right"/>
              <w:rPr>
                <w:rFonts w:ascii="宋体" w:cs="宋体"/>
                <w:szCs w:val="21"/>
              </w:rPr>
            </w:pPr>
            <w:r>
              <w:rPr>
                <w:rFonts w:ascii="宋体" w:hAnsi="宋体"/>
                <w:szCs w:val="21"/>
              </w:rPr>
              <w:t>260.00</w:t>
            </w:r>
          </w:p>
        </w:tc>
        <w:tc>
          <w:tcPr>
            <w:tcW w:w="891" w:type="dxa"/>
          </w:tcPr>
          <w:p w14:paraId="7EF19685">
            <w:pPr>
              <w:widowControl/>
              <w:spacing w:line="580" w:lineRule="atLeast"/>
              <w:jc w:val="center"/>
              <w:rPr>
                <w:rFonts w:ascii="宋体" w:cs="宋体"/>
                <w:kern w:val="0"/>
                <w:szCs w:val="21"/>
              </w:rPr>
            </w:pPr>
          </w:p>
        </w:tc>
        <w:tc>
          <w:tcPr>
            <w:tcW w:w="891" w:type="dxa"/>
            <w:vAlign w:val="center"/>
          </w:tcPr>
          <w:p w14:paraId="00556E64">
            <w:pPr>
              <w:jc w:val="right"/>
              <w:rPr>
                <w:rFonts w:ascii="宋体" w:cs="宋体"/>
                <w:szCs w:val="21"/>
              </w:rPr>
            </w:pPr>
            <w:r>
              <w:rPr>
                <w:rFonts w:ascii="宋体" w:hAnsi="宋体"/>
                <w:szCs w:val="21"/>
              </w:rPr>
              <w:t>260.00</w:t>
            </w:r>
          </w:p>
        </w:tc>
        <w:tc>
          <w:tcPr>
            <w:tcW w:w="1187" w:type="dxa"/>
            <w:vAlign w:val="center"/>
          </w:tcPr>
          <w:p w14:paraId="36E5DA0B">
            <w:pPr>
              <w:jc w:val="right"/>
              <w:rPr>
                <w:rFonts w:ascii="宋体" w:cs="宋体"/>
                <w:szCs w:val="21"/>
              </w:rPr>
            </w:pPr>
            <w:r>
              <w:rPr>
                <w:rFonts w:ascii="宋体" w:hAnsi="宋体"/>
                <w:szCs w:val="21"/>
              </w:rPr>
              <w:t>260.00</w:t>
            </w:r>
          </w:p>
        </w:tc>
        <w:tc>
          <w:tcPr>
            <w:tcW w:w="550" w:type="dxa"/>
          </w:tcPr>
          <w:p w14:paraId="22FE9C38">
            <w:pPr>
              <w:widowControl/>
              <w:spacing w:line="580" w:lineRule="atLeast"/>
              <w:jc w:val="center"/>
              <w:rPr>
                <w:rFonts w:ascii="宋体" w:cs="宋体"/>
                <w:kern w:val="0"/>
                <w:szCs w:val="21"/>
              </w:rPr>
            </w:pPr>
          </w:p>
        </w:tc>
        <w:tc>
          <w:tcPr>
            <w:tcW w:w="829" w:type="dxa"/>
          </w:tcPr>
          <w:p w14:paraId="7BF39868">
            <w:pPr>
              <w:widowControl/>
              <w:spacing w:line="580" w:lineRule="atLeast"/>
              <w:jc w:val="center"/>
              <w:rPr>
                <w:rFonts w:ascii="宋体" w:cs="宋体"/>
                <w:kern w:val="0"/>
                <w:szCs w:val="21"/>
              </w:rPr>
            </w:pPr>
          </w:p>
        </w:tc>
        <w:tc>
          <w:tcPr>
            <w:tcW w:w="617" w:type="dxa"/>
          </w:tcPr>
          <w:p w14:paraId="34737602">
            <w:pPr>
              <w:widowControl/>
              <w:spacing w:line="580" w:lineRule="atLeast"/>
              <w:jc w:val="center"/>
              <w:rPr>
                <w:rFonts w:ascii="宋体" w:cs="宋体"/>
                <w:kern w:val="0"/>
                <w:szCs w:val="21"/>
              </w:rPr>
            </w:pPr>
          </w:p>
        </w:tc>
        <w:tc>
          <w:tcPr>
            <w:tcW w:w="1104" w:type="dxa"/>
          </w:tcPr>
          <w:p w14:paraId="4B79DB02">
            <w:pPr>
              <w:widowControl/>
              <w:spacing w:line="580" w:lineRule="atLeast"/>
              <w:jc w:val="center"/>
              <w:rPr>
                <w:rFonts w:ascii="宋体" w:cs="宋体"/>
                <w:kern w:val="0"/>
                <w:szCs w:val="21"/>
              </w:rPr>
            </w:pPr>
          </w:p>
        </w:tc>
      </w:tr>
      <w:tr w14:paraId="668AE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430C2419">
            <w:pPr>
              <w:rPr>
                <w:rFonts w:ascii="宋体" w:cs="宋体"/>
                <w:szCs w:val="21"/>
              </w:rPr>
            </w:pPr>
            <w:r>
              <w:rPr>
                <w:rFonts w:hint="eastAsia" w:ascii="宋体" w:hAnsi="宋体"/>
                <w:szCs w:val="21"/>
              </w:rPr>
              <w:t>梦巢小镇污水改造工程</w:t>
            </w:r>
          </w:p>
        </w:tc>
        <w:tc>
          <w:tcPr>
            <w:tcW w:w="717" w:type="dxa"/>
            <w:vAlign w:val="center"/>
          </w:tcPr>
          <w:p w14:paraId="3C04D558">
            <w:pPr>
              <w:jc w:val="right"/>
              <w:rPr>
                <w:rFonts w:ascii="宋体" w:cs="宋体"/>
                <w:szCs w:val="21"/>
              </w:rPr>
            </w:pPr>
            <w:r>
              <w:rPr>
                <w:rFonts w:ascii="宋体" w:hAnsi="宋体"/>
                <w:szCs w:val="21"/>
              </w:rPr>
              <w:t>36.00</w:t>
            </w:r>
          </w:p>
        </w:tc>
        <w:tc>
          <w:tcPr>
            <w:tcW w:w="920" w:type="dxa"/>
            <w:vAlign w:val="center"/>
          </w:tcPr>
          <w:p w14:paraId="37F73B11">
            <w:pPr>
              <w:rPr>
                <w:rFonts w:ascii="宋体" w:cs="宋体"/>
                <w:szCs w:val="21"/>
              </w:rPr>
            </w:pPr>
            <w:r>
              <w:rPr>
                <w:rFonts w:ascii="宋体" w:hAnsi="宋体"/>
                <w:szCs w:val="21"/>
              </w:rPr>
              <w:t>180</w:t>
            </w:r>
          </w:p>
        </w:tc>
        <w:tc>
          <w:tcPr>
            <w:tcW w:w="1069" w:type="dxa"/>
            <w:vAlign w:val="center"/>
          </w:tcPr>
          <w:p w14:paraId="59EF34D0">
            <w:pPr>
              <w:rPr>
                <w:rFonts w:ascii="宋体" w:cs="宋体"/>
                <w:szCs w:val="21"/>
              </w:rPr>
            </w:pPr>
            <w:r>
              <w:rPr>
                <w:rFonts w:ascii="宋体" w:hAnsi="宋体"/>
                <w:szCs w:val="21"/>
              </w:rPr>
              <w:t>180</w:t>
            </w:r>
          </w:p>
        </w:tc>
        <w:tc>
          <w:tcPr>
            <w:tcW w:w="771" w:type="dxa"/>
          </w:tcPr>
          <w:p w14:paraId="0D206C28">
            <w:pPr>
              <w:widowControl/>
              <w:spacing w:line="580" w:lineRule="atLeast"/>
              <w:jc w:val="center"/>
              <w:rPr>
                <w:rFonts w:ascii="宋体" w:cs="宋体"/>
                <w:kern w:val="0"/>
                <w:szCs w:val="21"/>
              </w:rPr>
            </w:pPr>
          </w:p>
        </w:tc>
        <w:tc>
          <w:tcPr>
            <w:tcW w:w="657" w:type="dxa"/>
            <w:vAlign w:val="center"/>
          </w:tcPr>
          <w:p w14:paraId="0BC1A853">
            <w:pPr>
              <w:jc w:val="right"/>
              <w:rPr>
                <w:rFonts w:ascii="宋体" w:cs="宋体"/>
                <w:szCs w:val="21"/>
              </w:rPr>
            </w:pPr>
            <w:r>
              <w:rPr>
                <w:rFonts w:ascii="宋体" w:hAnsi="宋体"/>
                <w:szCs w:val="21"/>
              </w:rPr>
              <w:t>1.00</w:t>
            </w:r>
          </w:p>
        </w:tc>
        <w:tc>
          <w:tcPr>
            <w:tcW w:w="1246" w:type="dxa"/>
            <w:vAlign w:val="center"/>
          </w:tcPr>
          <w:p w14:paraId="620042F5">
            <w:pPr>
              <w:jc w:val="right"/>
              <w:rPr>
                <w:rFonts w:ascii="宋体" w:cs="宋体"/>
                <w:szCs w:val="21"/>
              </w:rPr>
            </w:pPr>
            <w:r>
              <w:rPr>
                <w:rFonts w:ascii="宋体" w:hAnsi="宋体"/>
                <w:szCs w:val="21"/>
              </w:rPr>
              <w:t>36.00</w:t>
            </w:r>
          </w:p>
        </w:tc>
        <w:tc>
          <w:tcPr>
            <w:tcW w:w="891" w:type="dxa"/>
          </w:tcPr>
          <w:p w14:paraId="4A08874B">
            <w:pPr>
              <w:widowControl/>
              <w:spacing w:line="580" w:lineRule="atLeast"/>
              <w:jc w:val="center"/>
              <w:rPr>
                <w:rFonts w:ascii="宋体" w:cs="宋体"/>
                <w:kern w:val="0"/>
                <w:szCs w:val="21"/>
              </w:rPr>
            </w:pPr>
          </w:p>
        </w:tc>
        <w:tc>
          <w:tcPr>
            <w:tcW w:w="891" w:type="dxa"/>
            <w:vAlign w:val="center"/>
          </w:tcPr>
          <w:p w14:paraId="31EAD7A8">
            <w:pPr>
              <w:jc w:val="right"/>
              <w:rPr>
                <w:rFonts w:ascii="宋体" w:cs="宋体"/>
                <w:szCs w:val="21"/>
              </w:rPr>
            </w:pPr>
            <w:r>
              <w:rPr>
                <w:rFonts w:ascii="宋体" w:hAnsi="宋体"/>
                <w:szCs w:val="21"/>
              </w:rPr>
              <w:t>36.00</w:t>
            </w:r>
          </w:p>
        </w:tc>
        <w:tc>
          <w:tcPr>
            <w:tcW w:w="1187" w:type="dxa"/>
            <w:vAlign w:val="center"/>
          </w:tcPr>
          <w:p w14:paraId="5CEED8A7">
            <w:pPr>
              <w:jc w:val="right"/>
              <w:rPr>
                <w:rFonts w:ascii="宋体" w:cs="宋体"/>
                <w:szCs w:val="21"/>
              </w:rPr>
            </w:pPr>
            <w:r>
              <w:rPr>
                <w:rFonts w:ascii="宋体" w:hAnsi="宋体"/>
                <w:szCs w:val="21"/>
              </w:rPr>
              <w:t>36.00</w:t>
            </w:r>
          </w:p>
        </w:tc>
        <w:tc>
          <w:tcPr>
            <w:tcW w:w="550" w:type="dxa"/>
          </w:tcPr>
          <w:p w14:paraId="50C765E2">
            <w:pPr>
              <w:widowControl/>
              <w:spacing w:line="580" w:lineRule="atLeast"/>
              <w:jc w:val="center"/>
              <w:rPr>
                <w:rFonts w:ascii="宋体" w:cs="宋体"/>
                <w:kern w:val="0"/>
                <w:szCs w:val="21"/>
              </w:rPr>
            </w:pPr>
          </w:p>
        </w:tc>
        <w:tc>
          <w:tcPr>
            <w:tcW w:w="829" w:type="dxa"/>
          </w:tcPr>
          <w:p w14:paraId="7A557732">
            <w:pPr>
              <w:widowControl/>
              <w:spacing w:line="580" w:lineRule="atLeast"/>
              <w:jc w:val="center"/>
              <w:rPr>
                <w:rFonts w:ascii="宋体" w:cs="宋体"/>
                <w:kern w:val="0"/>
                <w:szCs w:val="21"/>
              </w:rPr>
            </w:pPr>
          </w:p>
        </w:tc>
        <w:tc>
          <w:tcPr>
            <w:tcW w:w="617" w:type="dxa"/>
          </w:tcPr>
          <w:p w14:paraId="0F78B02F">
            <w:pPr>
              <w:widowControl/>
              <w:spacing w:line="580" w:lineRule="atLeast"/>
              <w:jc w:val="center"/>
              <w:rPr>
                <w:rFonts w:ascii="宋体" w:cs="宋体"/>
                <w:kern w:val="0"/>
                <w:szCs w:val="21"/>
              </w:rPr>
            </w:pPr>
          </w:p>
        </w:tc>
        <w:tc>
          <w:tcPr>
            <w:tcW w:w="1104" w:type="dxa"/>
          </w:tcPr>
          <w:p w14:paraId="7950298E">
            <w:pPr>
              <w:widowControl/>
              <w:spacing w:line="580" w:lineRule="atLeast"/>
              <w:jc w:val="center"/>
              <w:rPr>
                <w:rFonts w:ascii="宋体" w:cs="宋体"/>
                <w:kern w:val="0"/>
                <w:szCs w:val="21"/>
              </w:rPr>
            </w:pPr>
          </w:p>
        </w:tc>
      </w:tr>
      <w:tr w14:paraId="3995F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trPr>
        <w:tc>
          <w:tcPr>
            <w:tcW w:w="1916" w:type="dxa"/>
            <w:vAlign w:val="center"/>
          </w:tcPr>
          <w:p w14:paraId="390B406D">
            <w:pPr>
              <w:rPr>
                <w:rFonts w:ascii="宋体" w:cs="宋体"/>
                <w:szCs w:val="21"/>
              </w:rPr>
            </w:pPr>
            <w:r>
              <w:rPr>
                <w:rFonts w:ascii="宋体" w:hAnsi="宋体"/>
                <w:szCs w:val="21"/>
              </w:rPr>
              <w:t>325</w:t>
            </w:r>
            <w:r>
              <w:rPr>
                <w:rFonts w:hint="eastAsia" w:ascii="宋体" w:hAnsi="宋体"/>
                <w:szCs w:val="21"/>
              </w:rPr>
              <w:t>路公交车起、终点站迁移工程</w:t>
            </w:r>
          </w:p>
        </w:tc>
        <w:tc>
          <w:tcPr>
            <w:tcW w:w="717" w:type="dxa"/>
            <w:vAlign w:val="center"/>
          </w:tcPr>
          <w:p w14:paraId="45CF60A2">
            <w:pPr>
              <w:jc w:val="right"/>
              <w:rPr>
                <w:rFonts w:ascii="宋体" w:cs="宋体"/>
                <w:szCs w:val="21"/>
              </w:rPr>
            </w:pPr>
            <w:r>
              <w:rPr>
                <w:rFonts w:ascii="宋体" w:hAnsi="宋体"/>
                <w:szCs w:val="21"/>
              </w:rPr>
              <w:t>200.00</w:t>
            </w:r>
          </w:p>
        </w:tc>
        <w:tc>
          <w:tcPr>
            <w:tcW w:w="920" w:type="dxa"/>
            <w:vAlign w:val="center"/>
          </w:tcPr>
          <w:p w14:paraId="2A609FAD">
            <w:pPr>
              <w:rPr>
                <w:rFonts w:ascii="宋体" w:cs="宋体"/>
                <w:szCs w:val="21"/>
              </w:rPr>
            </w:pPr>
            <w:r>
              <w:rPr>
                <w:rFonts w:ascii="宋体" w:hAnsi="宋体"/>
                <w:szCs w:val="21"/>
              </w:rPr>
              <w:t>210</w:t>
            </w:r>
          </w:p>
        </w:tc>
        <w:tc>
          <w:tcPr>
            <w:tcW w:w="1069" w:type="dxa"/>
            <w:vAlign w:val="center"/>
          </w:tcPr>
          <w:p w14:paraId="6C9C2121">
            <w:pPr>
              <w:rPr>
                <w:rFonts w:ascii="宋体" w:cs="宋体"/>
                <w:szCs w:val="21"/>
              </w:rPr>
            </w:pPr>
            <w:r>
              <w:rPr>
                <w:rFonts w:ascii="宋体" w:hAnsi="宋体"/>
                <w:szCs w:val="21"/>
              </w:rPr>
              <w:t>210</w:t>
            </w:r>
          </w:p>
        </w:tc>
        <w:tc>
          <w:tcPr>
            <w:tcW w:w="771" w:type="dxa"/>
          </w:tcPr>
          <w:p w14:paraId="1EEFB0A3">
            <w:pPr>
              <w:widowControl/>
              <w:spacing w:line="580" w:lineRule="atLeast"/>
              <w:jc w:val="center"/>
              <w:rPr>
                <w:rFonts w:ascii="宋体" w:cs="宋体"/>
                <w:kern w:val="0"/>
                <w:szCs w:val="21"/>
              </w:rPr>
            </w:pPr>
          </w:p>
        </w:tc>
        <w:tc>
          <w:tcPr>
            <w:tcW w:w="657" w:type="dxa"/>
            <w:vAlign w:val="center"/>
          </w:tcPr>
          <w:p w14:paraId="22B0530C">
            <w:pPr>
              <w:jc w:val="right"/>
              <w:rPr>
                <w:rFonts w:ascii="宋体" w:cs="宋体"/>
                <w:szCs w:val="21"/>
              </w:rPr>
            </w:pPr>
            <w:r>
              <w:rPr>
                <w:rFonts w:ascii="宋体" w:hAnsi="宋体"/>
                <w:szCs w:val="21"/>
              </w:rPr>
              <w:t>1.00</w:t>
            </w:r>
          </w:p>
        </w:tc>
        <w:tc>
          <w:tcPr>
            <w:tcW w:w="1246" w:type="dxa"/>
            <w:vAlign w:val="center"/>
          </w:tcPr>
          <w:p w14:paraId="6678D34D">
            <w:pPr>
              <w:jc w:val="right"/>
              <w:rPr>
                <w:rFonts w:ascii="宋体" w:cs="宋体"/>
                <w:szCs w:val="21"/>
              </w:rPr>
            </w:pPr>
            <w:r>
              <w:rPr>
                <w:rFonts w:ascii="宋体" w:hAnsi="宋体"/>
                <w:szCs w:val="21"/>
              </w:rPr>
              <w:t>200.00</w:t>
            </w:r>
          </w:p>
        </w:tc>
        <w:tc>
          <w:tcPr>
            <w:tcW w:w="891" w:type="dxa"/>
          </w:tcPr>
          <w:p w14:paraId="33792937">
            <w:pPr>
              <w:widowControl/>
              <w:spacing w:line="580" w:lineRule="atLeast"/>
              <w:jc w:val="center"/>
              <w:rPr>
                <w:rFonts w:ascii="宋体" w:cs="宋体"/>
                <w:kern w:val="0"/>
                <w:szCs w:val="21"/>
              </w:rPr>
            </w:pPr>
          </w:p>
        </w:tc>
        <w:tc>
          <w:tcPr>
            <w:tcW w:w="891" w:type="dxa"/>
            <w:vAlign w:val="center"/>
          </w:tcPr>
          <w:p w14:paraId="0F0FEBC2">
            <w:pPr>
              <w:jc w:val="right"/>
              <w:rPr>
                <w:rFonts w:ascii="宋体" w:cs="宋体"/>
                <w:szCs w:val="21"/>
              </w:rPr>
            </w:pPr>
            <w:r>
              <w:rPr>
                <w:rFonts w:ascii="宋体" w:hAnsi="宋体"/>
                <w:szCs w:val="21"/>
              </w:rPr>
              <w:t>200.00</w:t>
            </w:r>
          </w:p>
        </w:tc>
        <w:tc>
          <w:tcPr>
            <w:tcW w:w="1187" w:type="dxa"/>
            <w:vAlign w:val="center"/>
          </w:tcPr>
          <w:p w14:paraId="6AE33AD4">
            <w:pPr>
              <w:jc w:val="right"/>
              <w:rPr>
                <w:rFonts w:ascii="宋体" w:cs="宋体"/>
                <w:szCs w:val="21"/>
              </w:rPr>
            </w:pPr>
            <w:r>
              <w:rPr>
                <w:rFonts w:ascii="宋体" w:hAnsi="宋体"/>
                <w:szCs w:val="21"/>
              </w:rPr>
              <w:t>200.00</w:t>
            </w:r>
          </w:p>
        </w:tc>
        <w:tc>
          <w:tcPr>
            <w:tcW w:w="550" w:type="dxa"/>
          </w:tcPr>
          <w:p w14:paraId="5D247155">
            <w:pPr>
              <w:widowControl/>
              <w:spacing w:line="580" w:lineRule="atLeast"/>
              <w:jc w:val="center"/>
              <w:rPr>
                <w:rFonts w:ascii="宋体" w:cs="宋体"/>
                <w:kern w:val="0"/>
                <w:szCs w:val="21"/>
              </w:rPr>
            </w:pPr>
          </w:p>
        </w:tc>
        <w:tc>
          <w:tcPr>
            <w:tcW w:w="829" w:type="dxa"/>
          </w:tcPr>
          <w:p w14:paraId="2CA8D62C">
            <w:pPr>
              <w:widowControl/>
              <w:spacing w:line="580" w:lineRule="atLeast"/>
              <w:jc w:val="center"/>
              <w:rPr>
                <w:rFonts w:ascii="宋体" w:cs="宋体"/>
                <w:kern w:val="0"/>
                <w:szCs w:val="21"/>
              </w:rPr>
            </w:pPr>
          </w:p>
        </w:tc>
        <w:tc>
          <w:tcPr>
            <w:tcW w:w="617" w:type="dxa"/>
          </w:tcPr>
          <w:p w14:paraId="5FDD8229">
            <w:pPr>
              <w:widowControl/>
              <w:spacing w:line="580" w:lineRule="atLeast"/>
              <w:jc w:val="center"/>
              <w:rPr>
                <w:rFonts w:ascii="宋体" w:cs="宋体"/>
                <w:kern w:val="0"/>
                <w:szCs w:val="21"/>
              </w:rPr>
            </w:pPr>
          </w:p>
        </w:tc>
        <w:tc>
          <w:tcPr>
            <w:tcW w:w="1104" w:type="dxa"/>
          </w:tcPr>
          <w:p w14:paraId="35493B51">
            <w:pPr>
              <w:widowControl/>
              <w:spacing w:line="580" w:lineRule="atLeast"/>
              <w:jc w:val="center"/>
              <w:rPr>
                <w:rFonts w:ascii="宋体" w:cs="宋体"/>
                <w:kern w:val="0"/>
                <w:szCs w:val="21"/>
              </w:rPr>
            </w:pPr>
          </w:p>
        </w:tc>
      </w:tr>
      <w:tr w14:paraId="38D05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trPr>
        <w:tc>
          <w:tcPr>
            <w:tcW w:w="1916" w:type="dxa"/>
            <w:vAlign w:val="center"/>
          </w:tcPr>
          <w:p w14:paraId="4078F2F5">
            <w:pPr>
              <w:rPr>
                <w:rFonts w:ascii="宋体" w:cs="宋体"/>
                <w:szCs w:val="21"/>
              </w:rPr>
            </w:pPr>
            <w:r>
              <w:rPr>
                <w:rFonts w:hint="eastAsia" w:ascii="宋体" w:hAnsi="宋体"/>
                <w:szCs w:val="21"/>
              </w:rPr>
              <w:t>望山路（装院路至南平同村段）拓宽改造工程</w:t>
            </w:r>
          </w:p>
        </w:tc>
        <w:tc>
          <w:tcPr>
            <w:tcW w:w="717" w:type="dxa"/>
            <w:vAlign w:val="center"/>
          </w:tcPr>
          <w:p w14:paraId="59BDDDDA">
            <w:pPr>
              <w:jc w:val="right"/>
              <w:rPr>
                <w:rFonts w:ascii="宋体" w:cs="宋体"/>
                <w:szCs w:val="21"/>
              </w:rPr>
            </w:pPr>
            <w:r>
              <w:rPr>
                <w:rFonts w:ascii="宋体" w:hAnsi="宋体"/>
                <w:szCs w:val="21"/>
              </w:rPr>
              <w:t>90.00</w:t>
            </w:r>
          </w:p>
        </w:tc>
        <w:tc>
          <w:tcPr>
            <w:tcW w:w="920" w:type="dxa"/>
            <w:vAlign w:val="center"/>
          </w:tcPr>
          <w:p w14:paraId="258EB690">
            <w:pPr>
              <w:rPr>
                <w:rFonts w:ascii="宋体" w:cs="宋体"/>
                <w:szCs w:val="21"/>
              </w:rPr>
            </w:pPr>
            <w:r>
              <w:rPr>
                <w:rFonts w:ascii="宋体" w:hAnsi="宋体"/>
                <w:szCs w:val="21"/>
              </w:rPr>
              <w:t>168</w:t>
            </w:r>
          </w:p>
        </w:tc>
        <w:tc>
          <w:tcPr>
            <w:tcW w:w="1069" w:type="dxa"/>
            <w:vAlign w:val="center"/>
          </w:tcPr>
          <w:p w14:paraId="50556FA1">
            <w:pPr>
              <w:rPr>
                <w:rFonts w:ascii="宋体" w:cs="宋体"/>
                <w:szCs w:val="21"/>
              </w:rPr>
            </w:pPr>
            <w:r>
              <w:rPr>
                <w:rFonts w:ascii="宋体" w:hAnsi="宋体"/>
                <w:szCs w:val="21"/>
              </w:rPr>
              <w:t>168</w:t>
            </w:r>
          </w:p>
        </w:tc>
        <w:tc>
          <w:tcPr>
            <w:tcW w:w="771" w:type="dxa"/>
          </w:tcPr>
          <w:p w14:paraId="2EF08272">
            <w:pPr>
              <w:widowControl/>
              <w:spacing w:line="580" w:lineRule="atLeast"/>
              <w:jc w:val="center"/>
              <w:rPr>
                <w:rFonts w:ascii="宋体" w:cs="宋体"/>
                <w:kern w:val="0"/>
                <w:szCs w:val="21"/>
              </w:rPr>
            </w:pPr>
          </w:p>
        </w:tc>
        <w:tc>
          <w:tcPr>
            <w:tcW w:w="657" w:type="dxa"/>
            <w:vAlign w:val="center"/>
          </w:tcPr>
          <w:p w14:paraId="6859FFDC">
            <w:pPr>
              <w:jc w:val="right"/>
              <w:rPr>
                <w:rFonts w:ascii="宋体" w:cs="宋体"/>
                <w:szCs w:val="21"/>
              </w:rPr>
            </w:pPr>
            <w:r>
              <w:rPr>
                <w:rFonts w:ascii="宋体" w:hAnsi="宋体"/>
                <w:szCs w:val="21"/>
              </w:rPr>
              <w:t>1.00</w:t>
            </w:r>
          </w:p>
        </w:tc>
        <w:tc>
          <w:tcPr>
            <w:tcW w:w="1246" w:type="dxa"/>
            <w:vAlign w:val="center"/>
          </w:tcPr>
          <w:p w14:paraId="5BB116A3">
            <w:pPr>
              <w:jc w:val="right"/>
              <w:rPr>
                <w:rFonts w:ascii="宋体" w:cs="宋体"/>
                <w:szCs w:val="21"/>
              </w:rPr>
            </w:pPr>
            <w:r>
              <w:rPr>
                <w:rFonts w:ascii="宋体" w:hAnsi="宋体"/>
                <w:szCs w:val="21"/>
              </w:rPr>
              <w:t>90.00</w:t>
            </w:r>
          </w:p>
        </w:tc>
        <w:tc>
          <w:tcPr>
            <w:tcW w:w="891" w:type="dxa"/>
          </w:tcPr>
          <w:p w14:paraId="7718E909">
            <w:pPr>
              <w:widowControl/>
              <w:spacing w:line="580" w:lineRule="atLeast"/>
              <w:jc w:val="center"/>
              <w:rPr>
                <w:rFonts w:ascii="宋体" w:cs="宋体"/>
                <w:kern w:val="0"/>
                <w:szCs w:val="21"/>
              </w:rPr>
            </w:pPr>
          </w:p>
        </w:tc>
        <w:tc>
          <w:tcPr>
            <w:tcW w:w="891" w:type="dxa"/>
            <w:vAlign w:val="center"/>
          </w:tcPr>
          <w:p w14:paraId="1D25BB40">
            <w:pPr>
              <w:jc w:val="right"/>
              <w:rPr>
                <w:rFonts w:ascii="宋体" w:cs="宋体"/>
                <w:szCs w:val="21"/>
              </w:rPr>
            </w:pPr>
            <w:r>
              <w:rPr>
                <w:rFonts w:ascii="宋体" w:hAnsi="宋体"/>
                <w:szCs w:val="21"/>
              </w:rPr>
              <w:t>90.00</w:t>
            </w:r>
          </w:p>
        </w:tc>
        <w:tc>
          <w:tcPr>
            <w:tcW w:w="1187" w:type="dxa"/>
            <w:vAlign w:val="center"/>
          </w:tcPr>
          <w:p w14:paraId="6AA575CC">
            <w:pPr>
              <w:jc w:val="right"/>
              <w:rPr>
                <w:rFonts w:ascii="宋体" w:cs="宋体"/>
                <w:szCs w:val="21"/>
              </w:rPr>
            </w:pPr>
            <w:r>
              <w:rPr>
                <w:rFonts w:ascii="宋体" w:hAnsi="宋体"/>
                <w:szCs w:val="21"/>
              </w:rPr>
              <w:t>90.00</w:t>
            </w:r>
          </w:p>
        </w:tc>
        <w:tc>
          <w:tcPr>
            <w:tcW w:w="550" w:type="dxa"/>
          </w:tcPr>
          <w:p w14:paraId="208723C0">
            <w:pPr>
              <w:widowControl/>
              <w:spacing w:line="580" w:lineRule="atLeast"/>
              <w:jc w:val="center"/>
              <w:rPr>
                <w:rFonts w:ascii="宋体" w:cs="宋体"/>
                <w:kern w:val="0"/>
                <w:szCs w:val="21"/>
              </w:rPr>
            </w:pPr>
          </w:p>
        </w:tc>
        <w:tc>
          <w:tcPr>
            <w:tcW w:w="829" w:type="dxa"/>
          </w:tcPr>
          <w:p w14:paraId="423FC2E4">
            <w:pPr>
              <w:widowControl/>
              <w:spacing w:line="580" w:lineRule="atLeast"/>
              <w:jc w:val="center"/>
              <w:rPr>
                <w:rFonts w:ascii="宋体" w:cs="宋体"/>
                <w:kern w:val="0"/>
                <w:szCs w:val="21"/>
              </w:rPr>
            </w:pPr>
          </w:p>
        </w:tc>
        <w:tc>
          <w:tcPr>
            <w:tcW w:w="617" w:type="dxa"/>
          </w:tcPr>
          <w:p w14:paraId="7606FF57">
            <w:pPr>
              <w:widowControl/>
              <w:spacing w:line="580" w:lineRule="atLeast"/>
              <w:jc w:val="center"/>
              <w:rPr>
                <w:rFonts w:ascii="宋体" w:cs="宋体"/>
                <w:kern w:val="0"/>
                <w:szCs w:val="21"/>
              </w:rPr>
            </w:pPr>
          </w:p>
        </w:tc>
        <w:tc>
          <w:tcPr>
            <w:tcW w:w="1104" w:type="dxa"/>
          </w:tcPr>
          <w:p w14:paraId="0429E74F">
            <w:pPr>
              <w:widowControl/>
              <w:spacing w:line="580" w:lineRule="atLeast"/>
              <w:jc w:val="center"/>
              <w:rPr>
                <w:rFonts w:ascii="宋体" w:cs="宋体"/>
                <w:kern w:val="0"/>
                <w:szCs w:val="21"/>
              </w:rPr>
            </w:pPr>
          </w:p>
        </w:tc>
      </w:tr>
      <w:tr w14:paraId="46FC2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trPr>
        <w:tc>
          <w:tcPr>
            <w:tcW w:w="1916" w:type="dxa"/>
            <w:vAlign w:val="center"/>
          </w:tcPr>
          <w:p w14:paraId="676B9B8C">
            <w:pPr>
              <w:rPr>
                <w:rFonts w:ascii="宋体" w:cs="宋体"/>
                <w:szCs w:val="21"/>
              </w:rPr>
            </w:pPr>
            <w:r>
              <w:rPr>
                <w:rFonts w:hint="eastAsia" w:ascii="宋体" w:hAnsi="宋体"/>
                <w:szCs w:val="21"/>
              </w:rPr>
              <w:t>封龙河韩家园水库至装院路段综合整治工程</w:t>
            </w:r>
          </w:p>
        </w:tc>
        <w:tc>
          <w:tcPr>
            <w:tcW w:w="717" w:type="dxa"/>
            <w:vAlign w:val="center"/>
          </w:tcPr>
          <w:p w14:paraId="538871EF">
            <w:pPr>
              <w:jc w:val="right"/>
              <w:rPr>
                <w:rFonts w:ascii="宋体" w:cs="宋体"/>
                <w:szCs w:val="21"/>
              </w:rPr>
            </w:pPr>
            <w:r>
              <w:rPr>
                <w:rFonts w:ascii="宋体" w:hAnsi="宋体"/>
                <w:szCs w:val="21"/>
              </w:rPr>
              <w:t>450.00</w:t>
            </w:r>
          </w:p>
        </w:tc>
        <w:tc>
          <w:tcPr>
            <w:tcW w:w="920" w:type="dxa"/>
            <w:vAlign w:val="center"/>
          </w:tcPr>
          <w:p w14:paraId="735CF5B7">
            <w:pPr>
              <w:rPr>
                <w:rFonts w:ascii="宋体" w:cs="宋体"/>
                <w:szCs w:val="21"/>
              </w:rPr>
            </w:pPr>
            <w:r>
              <w:rPr>
                <w:rFonts w:ascii="宋体" w:hAnsi="宋体"/>
                <w:szCs w:val="21"/>
              </w:rPr>
              <w:t>168</w:t>
            </w:r>
          </w:p>
        </w:tc>
        <w:tc>
          <w:tcPr>
            <w:tcW w:w="1069" w:type="dxa"/>
            <w:vAlign w:val="center"/>
          </w:tcPr>
          <w:p w14:paraId="1F9118CA">
            <w:pPr>
              <w:rPr>
                <w:rFonts w:ascii="宋体" w:cs="宋体"/>
                <w:szCs w:val="21"/>
              </w:rPr>
            </w:pPr>
            <w:r>
              <w:rPr>
                <w:rFonts w:ascii="宋体" w:hAnsi="宋体"/>
                <w:szCs w:val="21"/>
              </w:rPr>
              <w:t>168</w:t>
            </w:r>
          </w:p>
        </w:tc>
        <w:tc>
          <w:tcPr>
            <w:tcW w:w="771" w:type="dxa"/>
          </w:tcPr>
          <w:p w14:paraId="24F63206">
            <w:pPr>
              <w:widowControl/>
              <w:spacing w:line="580" w:lineRule="atLeast"/>
              <w:jc w:val="center"/>
              <w:rPr>
                <w:rFonts w:ascii="宋体" w:cs="宋体"/>
                <w:kern w:val="0"/>
                <w:szCs w:val="21"/>
              </w:rPr>
            </w:pPr>
          </w:p>
        </w:tc>
        <w:tc>
          <w:tcPr>
            <w:tcW w:w="657" w:type="dxa"/>
            <w:vAlign w:val="center"/>
          </w:tcPr>
          <w:p w14:paraId="5579EB1E">
            <w:pPr>
              <w:jc w:val="right"/>
              <w:rPr>
                <w:rFonts w:ascii="宋体" w:cs="宋体"/>
                <w:szCs w:val="21"/>
              </w:rPr>
            </w:pPr>
            <w:r>
              <w:rPr>
                <w:rFonts w:ascii="宋体" w:hAnsi="宋体"/>
                <w:szCs w:val="21"/>
              </w:rPr>
              <w:t>1.00</w:t>
            </w:r>
          </w:p>
        </w:tc>
        <w:tc>
          <w:tcPr>
            <w:tcW w:w="1246" w:type="dxa"/>
            <w:vAlign w:val="center"/>
          </w:tcPr>
          <w:p w14:paraId="720AB7A3">
            <w:pPr>
              <w:jc w:val="right"/>
              <w:rPr>
                <w:rFonts w:ascii="宋体" w:cs="宋体"/>
                <w:szCs w:val="21"/>
              </w:rPr>
            </w:pPr>
            <w:r>
              <w:rPr>
                <w:rFonts w:ascii="宋体" w:hAnsi="宋体"/>
                <w:szCs w:val="21"/>
              </w:rPr>
              <w:t>450.00</w:t>
            </w:r>
          </w:p>
        </w:tc>
        <w:tc>
          <w:tcPr>
            <w:tcW w:w="891" w:type="dxa"/>
          </w:tcPr>
          <w:p w14:paraId="094E7D32">
            <w:pPr>
              <w:widowControl/>
              <w:spacing w:line="580" w:lineRule="atLeast"/>
              <w:jc w:val="center"/>
              <w:rPr>
                <w:rFonts w:ascii="宋体" w:cs="宋体"/>
                <w:kern w:val="0"/>
                <w:szCs w:val="21"/>
              </w:rPr>
            </w:pPr>
          </w:p>
        </w:tc>
        <w:tc>
          <w:tcPr>
            <w:tcW w:w="891" w:type="dxa"/>
            <w:vAlign w:val="center"/>
          </w:tcPr>
          <w:p w14:paraId="3D44808F">
            <w:pPr>
              <w:jc w:val="right"/>
              <w:rPr>
                <w:rFonts w:ascii="宋体" w:cs="宋体"/>
                <w:szCs w:val="21"/>
              </w:rPr>
            </w:pPr>
            <w:r>
              <w:rPr>
                <w:rFonts w:ascii="宋体" w:hAnsi="宋体"/>
                <w:szCs w:val="21"/>
              </w:rPr>
              <w:t>450.00</w:t>
            </w:r>
          </w:p>
        </w:tc>
        <w:tc>
          <w:tcPr>
            <w:tcW w:w="1187" w:type="dxa"/>
            <w:vAlign w:val="center"/>
          </w:tcPr>
          <w:p w14:paraId="6091931A">
            <w:pPr>
              <w:jc w:val="right"/>
              <w:rPr>
                <w:rFonts w:ascii="宋体" w:cs="宋体"/>
                <w:szCs w:val="21"/>
              </w:rPr>
            </w:pPr>
            <w:r>
              <w:rPr>
                <w:rFonts w:ascii="宋体" w:hAnsi="宋体"/>
                <w:szCs w:val="21"/>
              </w:rPr>
              <w:t>450.00</w:t>
            </w:r>
          </w:p>
        </w:tc>
        <w:tc>
          <w:tcPr>
            <w:tcW w:w="550" w:type="dxa"/>
          </w:tcPr>
          <w:p w14:paraId="58C99C58">
            <w:pPr>
              <w:widowControl/>
              <w:spacing w:line="580" w:lineRule="atLeast"/>
              <w:jc w:val="center"/>
              <w:rPr>
                <w:rFonts w:ascii="宋体" w:cs="宋体"/>
                <w:kern w:val="0"/>
                <w:szCs w:val="21"/>
              </w:rPr>
            </w:pPr>
          </w:p>
        </w:tc>
        <w:tc>
          <w:tcPr>
            <w:tcW w:w="829" w:type="dxa"/>
          </w:tcPr>
          <w:p w14:paraId="095F75CF">
            <w:pPr>
              <w:widowControl/>
              <w:spacing w:line="580" w:lineRule="atLeast"/>
              <w:jc w:val="center"/>
              <w:rPr>
                <w:rFonts w:ascii="宋体" w:cs="宋体"/>
                <w:kern w:val="0"/>
                <w:szCs w:val="21"/>
              </w:rPr>
            </w:pPr>
          </w:p>
        </w:tc>
        <w:tc>
          <w:tcPr>
            <w:tcW w:w="617" w:type="dxa"/>
          </w:tcPr>
          <w:p w14:paraId="2646EEF0">
            <w:pPr>
              <w:widowControl/>
              <w:spacing w:line="580" w:lineRule="atLeast"/>
              <w:jc w:val="center"/>
              <w:rPr>
                <w:rFonts w:ascii="宋体" w:cs="宋体"/>
                <w:kern w:val="0"/>
                <w:szCs w:val="21"/>
              </w:rPr>
            </w:pPr>
          </w:p>
        </w:tc>
        <w:tc>
          <w:tcPr>
            <w:tcW w:w="1104" w:type="dxa"/>
          </w:tcPr>
          <w:p w14:paraId="112230AB">
            <w:pPr>
              <w:widowControl/>
              <w:spacing w:line="580" w:lineRule="atLeast"/>
              <w:jc w:val="center"/>
              <w:rPr>
                <w:rFonts w:ascii="宋体" w:cs="宋体"/>
                <w:kern w:val="0"/>
                <w:szCs w:val="21"/>
              </w:rPr>
            </w:pPr>
          </w:p>
        </w:tc>
      </w:tr>
      <w:tr w14:paraId="38C6A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trPr>
        <w:tc>
          <w:tcPr>
            <w:tcW w:w="1916" w:type="dxa"/>
            <w:vAlign w:val="center"/>
          </w:tcPr>
          <w:p w14:paraId="389281C2">
            <w:pPr>
              <w:rPr>
                <w:rFonts w:ascii="宋体" w:cs="宋体"/>
                <w:szCs w:val="21"/>
              </w:rPr>
            </w:pPr>
            <w:r>
              <w:rPr>
                <w:rFonts w:hint="eastAsia" w:ascii="宋体" w:hAnsi="宋体"/>
                <w:szCs w:val="21"/>
              </w:rPr>
              <w:t>鹿泉经济开发区农村小区保温及给水改造工程</w:t>
            </w:r>
          </w:p>
        </w:tc>
        <w:tc>
          <w:tcPr>
            <w:tcW w:w="717" w:type="dxa"/>
            <w:vAlign w:val="center"/>
          </w:tcPr>
          <w:p w14:paraId="26BB2534">
            <w:pPr>
              <w:jc w:val="right"/>
              <w:rPr>
                <w:rFonts w:ascii="宋体" w:cs="宋体"/>
                <w:szCs w:val="21"/>
              </w:rPr>
            </w:pPr>
            <w:r>
              <w:rPr>
                <w:rFonts w:ascii="宋体" w:hAnsi="宋体"/>
                <w:szCs w:val="21"/>
              </w:rPr>
              <w:t>800.00</w:t>
            </w:r>
          </w:p>
        </w:tc>
        <w:tc>
          <w:tcPr>
            <w:tcW w:w="920" w:type="dxa"/>
            <w:vAlign w:val="center"/>
          </w:tcPr>
          <w:p w14:paraId="6B39D1D9">
            <w:pPr>
              <w:rPr>
                <w:rFonts w:ascii="宋体" w:cs="宋体"/>
                <w:szCs w:val="21"/>
              </w:rPr>
            </w:pPr>
            <w:r>
              <w:rPr>
                <w:rFonts w:ascii="宋体" w:hAnsi="宋体"/>
                <w:szCs w:val="21"/>
              </w:rPr>
              <w:t>210</w:t>
            </w:r>
          </w:p>
        </w:tc>
        <w:tc>
          <w:tcPr>
            <w:tcW w:w="1069" w:type="dxa"/>
            <w:vAlign w:val="center"/>
          </w:tcPr>
          <w:p w14:paraId="4960BE18">
            <w:pPr>
              <w:rPr>
                <w:rFonts w:ascii="宋体" w:cs="宋体"/>
                <w:szCs w:val="21"/>
              </w:rPr>
            </w:pPr>
            <w:r>
              <w:rPr>
                <w:rFonts w:ascii="宋体" w:hAnsi="宋体"/>
                <w:szCs w:val="21"/>
              </w:rPr>
              <w:t>210</w:t>
            </w:r>
          </w:p>
        </w:tc>
        <w:tc>
          <w:tcPr>
            <w:tcW w:w="771" w:type="dxa"/>
          </w:tcPr>
          <w:p w14:paraId="607DE8A3">
            <w:pPr>
              <w:widowControl/>
              <w:spacing w:line="580" w:lineRule="atLeast"/>
              <w:jc w:val="center"/>
              <w:rPr>
                <w:rFonts w:ascii="宋体" w:cs="宋体"/>
                <w:kern w:val="0"/>
                <w:szCs w:val="21"/>
              </w:rPr>
            </w:pPr>
          </w:p>
        </w:tc>
        <w:tc>
          <w:tcPr>
            <w:tcW w:w="657" w:type="dxa"/>
            <w:vAlign w:val="center"/>
          </w:tcPr>
          <w:p w14:paraId="094E3075">
            <w:pPr>
              <w:jc w:val="right"/>
              <w:rPr>
                <w:rFonts w:ascii="宋体" w:cs="宋体"/>
                <w:szCs w:val="21"/>
              </w:rPr>
            </w:pPr>
            <w:r>
              <w:rPr>
                <w:rFonts w:ascii="宋体" w:hAnsi="宋体"/>
                <w:szCs w:val="21"/>
              </w:rPr>
              <w:t>1.00</w:t>
            </w:r>
          </w:p>
        </w:tc>
        <w:tc>
          <w:tcPr>
            <w:tcW w:w="1246" w:type="dxa"/>
            <w:vAlign w:val="center"/>
          </w:tcPr>
          <w:p w14:paraId="074E5944">
            <w:pPr>
              <w:jc w:val="right"/>
              <w:rPr>
                <w:rFonts w:ascii="宋体" w:cs="宋体"/>
                <w:szCs w:val="21"/>
              </w:rPr>
            </w:pPr>
            <w:r>
              <w:rPr>
                <w:rFonts w:ascii="宋体" w:hAnsi="宋体"/>
                <w:szCs w:val="21"/>
              </w:rPr>
              <w:t>800.00</w:t>
            </w:r>
          </w:p>
        </w:tc>
        <w:tc>
          <w:tcPr>
            <w:tcW w:w="891" w:type="dxa"/>
          </w:tcPr>
          <w:p w14:paraId="34414185">
            <w:pPr>
              <w:widowControl/>
              <w:spacing w:line="580" w:lineRule="atLeast"/>
              <w:jc w:val="center"/>
              <w:rPr>
                <w:rFonts w:ascii="宋体" w:cs="宋体"/>
                <w:kern w:val="0"/>
                <w:szCs w:val="21"/>
              </w:rPr>
            </w:pPr>
          </w:p>
        </w:tc>
        <w:tc>
          <w:tcPr>
            <w:tcW w:w="891" w:type="dxa"/>
            <w:vAlign w:val="center"/>
          </w:tcPr>
          <w:p w14:paraId="15865082">
            <w:pPr>
              <w:jc w:val="right"/>
              <w:rPr>
                <w:rFonts w:ascii="宋体" w:cs="宋体"/>
                <w:szCs w:val="21"/>
              </w:rPr>
            </w:pPr>
            <w:r>
              <w:rPr>
                <w:rFonts w:ascii="宋体" w:hAnsi="宋体"/>
                <w:szCs w:val="21"/>
              </w:rPr>
              <w:t>800.00</w:t>
            </w:r>
          </w:p>
        </w:tc>
        <w:tc>
          <w:tcPr>
            <w:tcW w:w="1187" w:type="dxa"/>
            <w:vAlign w:val="center"/>
          </w:tcPr>
          <w:p w14:paraId="7C3243D9">
            <w:pPr>
              <w:jc w:val="right"/>
              <w:rPr>
                <w:rFonts w:ascii="宋体" w:cs="宋体"/>
                <w:szCs w:val="21"/>
              </w:rPr>
            </w:pPr>
            <w:r>
              <w:rPr>
                <w:rFonts w:ascii="宋体" w:hAnsi="宋体"/>
                <w:szCs w:val="21"/>
              </w:rPr>
              <w:t>800.00</w:t>
            </w:r>
          </w:p>
        </w:tc>
        <w:tc>
          <w:tcPr>
            <w:tcW w:w="550" w:type="dxa"/>
          </w:tcPr>
          <w:p w14:paraId="5ECEC147">
            <w:pPr>
              <w:widowControl/>
              <w:spacing w:line="580" w:lineRule="atLeast"/>
              <w:jc w:val="center"/>
              <w:rPr>
                <w:rFonts w:ascii="宋体" w:cs="宋体"/>
                <w:kern w:val="0"/>
                <w:szCs w:val="21"/>
              </w:rPr>
            </w:pPr>
          </w:p>
        </w:tc>
        <w:tc>
          <w:tcPr>
            <w:tcW w:w="829" w:type="dxa"/>
          </w:tcPr>
          <w:p w14:paraId="416CB859">
            <w:pPr>
              <w:widowControl/>
              <w:spacing w:line="580" w:lineRule="atLeast"/>
              <w:jc w:val="center"/>
              <w:rPr>
                <w:rFonts w:ascii="宋体" w:cs="宋体"/>
                <w:kern w:val="0"/>
                <w:szCs w:val="21"/>
              </w:rPr>
            </w:pPr>
          </w:p>
        </w:tc>
        <w:tc>
          <w:tcPr>
            <w:tcW w:w="617" w:type="dxa"/>
          </w:tcPr>
          <w:p w14:paraId="5FF6F6E8">
            <w:pPr>
              <w:widowControl/>
              <w:spacing w:line="580" w:lineRule="atLeast"/>
              <w:jc w:val="center"/>
              <w:rPr>
                <w:rFonts w:ascii="宋体" w:cs="宋体"/>
                <w:kern w:val="0"/>
                <w:szCs w:val="21"/>
              </w:rPr>
            </w:pPr>
          </w:p>
        </w:tc>
        <w:tc>
          <w:tcPr>
            <w:tcW w:w="1104" w:type="dxa"/>
          </w:tcPr>
          <w:p w14:paraId="750EB6CC">
            <w:pPr>
              <w:widowControl/>
              <w:spacing w:line="580" w:lineRule="atLeast"/>
              <w:jc w:val="center"/>
              <w:rPr>
                <w:rFonts w:ascii="宋体" w:cs="宋体"/>
                <w:kern w:val="0"/>
                <w:szCs w:val="21"/>
              </w:rPr>
            </w:pPr>
          </w:p>
        </w:tc>
      </w:tr>
      <w:tr w14:paraId="73891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1916" w:type="dxa"/>
            <w:vAlign w:val="center"/>
          </w:tcPr>
          <w:p w14:paraId="34A44FFC">
            <w:pPr>
              <w:rPr>
                <w:rFonts w:ascii="宋体" w:cs="宋体"/>
                <w:szCs w:val="21"/>
              </w:rPr>
            </w:pPr>
            <w:r>
              <w:rPr>
                <w:rFonts w:hint="eastAsia" w:ascii="宋体" w:hAnsi="宋体"/>
                <w:szCs w:val="21"/>
              </w:rPr>
              <w:t>昌盛大街地道桥改造提升工程</w:t>
            </w:r>
          </w:p>
        </w:tc>
        <w:tc>
          <w:tcPr>
            <w:tcW w:w="717" w:type="dxa"/>
            <w:vAlign w:val="center"/>
          </w:tcPr>
          <w:p w14:paraId="25D91A63">
            <w:pPr>
              <w:jc w:val="right"/>
              <w:rPr>
                <w:rFonts w:ascii="宋体" w:cs="宋体"/>
                <w:szCs w:val="21"/>
              </w:rPr>
            </w:pPr>
            <w:r>
              <w:rPr>
                <w:rFonts w:ascii="宋体" w:hAnsi="宋体"/>
                <w:szCs w:val="21"/>
              </w:rPr>
              <w:t>300.00</w:t>
            </w:r>
          </w:p>
        </w:tc>
        <w:tc>
          <w:tcPr>
            <w:tcW w:w="920" w:type="dxa"/>
            <w:vAlign w:val="center"/>
          </w:tcPr>
          <w:p w14:paraId="143AA29F">
            <w:pPr>
              <w:rPr>
                <w:rFonts w:ascii="宋体" w:cs="宋体"/>
                <w:szCs w:val="21"/>
              </w:rPr>
            </w:pPr>
            <w:r>
              <w:rPr>
                <w:rFonts w:ascii="宋体" w:hAnsi="宋体"/>
                <w:szCs w:val="21"/>
              </w:rPr>
              <w:t>168</w:t>
            </w:r>
          </w:p>
        </w:tc>
        <w:tc>
          <w:tcPr>
            <w:tcW w:w="1069" w:type="dxa"/>
            <w:vAlign w:val="center"/>
          </w:tcPr>
          <w:p w14:paraId="4F75D987">
            <w:pPr>
              <w:rPr>
                <w:rFonts w:ascii="宋体" w:cs="宋体"/>
                <w:szCs w:val="21"/>
              </w:rPr>
            </w:pPr>
            <w:r>
              <w:rPr>
                <w:rFonts w:ascii="宋体" w:hAnsi="宋体"/>
                <w:szCs w:val="21"/>
              </w:rPr>
              <w:t>168</w:t>
            </w:r>
          </w:p>
        </w:tc>
        <w:tc>
          <w:tcPr>
            <w:tcW w:w="771" w:type="dxa"/>
          </w:tcPr>
          <w:p w14:paraId="7307CAF5">
            <w:pPr>
              <w:widowControl/>
              <w:spacing w:line="580" w:lineRule="atLeast"/>
              <w:jc w:val="center"/>
              <w:rPr>
                <w:rFonts w:ascii="宋体" w:cs="宋体"/>
                <w:kern w:val="0"/>
                <w:szCs w:val="21"/>
              </w:rPr>
            </w:pPr>
          </w:p>
        </w:tc>
        <w:tc>
          <w:tcPr>
            <w:tcW w:w="657" w:type="dxa"/>
            <w:vAlign w:val="center"/>
          </w:tcPr>
          <w:p w14:paraId="0C8194DE">
            <w:pPr>
              <w:jc w:val="right"/>
              <w:rPr>
                <w:rFonts w:ascii="宋体" w:cs="宋体"/>
                <w:szCs w:val="21"/>
              </w:rPr>
            </w:pPr>
            <w:r>
              <w:rPr>
                <w:rFonts w:ascii="宋体" w:hAnsi="宋体"/>
                <w:szCs w:val="21"/>
              </w:rPr>
              <w:t>1.00</w:t>
            </w:r>
          </w:p>
        </w:tc>
        <w:tc>
          <w:tcPr>
            <w:tcW w:w="1246" w:type="dxa"/>
            <w:vAlign w:val="center"/>
          </w:tcPr>
          <w:p w14:paraId="2C262DDA">
            <w:pPr>
              <w:jc w:val="right"/>
              <w:rPr>
                <w:rFonts w:ascii="宋体" w:cs="宋体"/>
                <w:szCs w:val="21"/>
              </w:rPr>
            </w:pPr>
            <w:r>
              <w:rPr>
                <w:rFonts w:ascii="宋体" w:hAnsi="宋体"/>
                <w:szCs w:val="21"/>
              </w:rPr>
              <w:t>300.00</w:t>
            </w:r>
          </w:p>
        </w:tc>
        <w:tc>
          <w:tcPr>
            <w:tcW w:w="891" w:type="dxa"/>
          </w:tcPr>
          <w:p w14:paraId="201E8B1E">
            <w:pPr>
              <w:widowControl/>
              <w:spacing w:line="580" w:lineRule="atLeast"/>
              <w:jc w:val="center"/>
              <w:rPr>
                <w:rFonts w:ascii="宋体" w:cs="宋体"/>
                <w:kern w:val="0"/>
                <w:szCs w:val="21"/>
              </w:rPr>
            </w:pPr>
          </w:p>
        </w:tc>
        <w:tc>
          <w:tcPr>
            <w:tcW w:w="891" w:type="dxa"/>
            <w:vAlign w:val="center"/>
          </w:tcPr>
          <w:p w14:paraId="6D112197">
            <w:pPr>
              <w:jc w:val="right"/>
              <w:rPr>
                <w:rFonts w:ascii="宋体" w:cs="宋体"/>
                <w:szCs w:val="21"/>
              </w:rPr>
            </w:pPr>
            <w:r>
              <w:rPr>
                <w:rFonts w:ascii="宋体" w:hAnsi="宋体"/>
                <w:szCs w:val="21"/>
              </w:rPr>
              <w:t>300.00</w:t>
            </w:r>
          </w:p>
        </w:tc>
        <w:tc>
          <w:tcPr>
            <w:tcW w:w="1187" w:type="dxa"/>
            <w:vAlign w:val="center"/>
          </w:tcPr>
          <w:p w14:paraId="1517E873">
            <w:pPr>
              <w:jc w:val="right"/>
              <w:rPr>
                <w:rFonts w:ascii="宋体" w:cs="宋体"/>
                <w:szCs w:val="21"/>
              </w:rPr>
            </w:pPr>
            <w:r>
              <w:rPr>
                <w:rFonts w:ascii="宋体" w:hAnsi="宋体"/>
                <w:szCs w:val="21"/>
              </w:rPr>
              <w:t>300.00</w:t>
            </w:r>
          </w:p>
        </w:tc>
        <w:tc>
          <w:tcPr>
            <w:tcW w:w="550" w:type="dxa"/>
          </w:tcPr>
          <w:p w14:paraId="2D550A20">
            <w:pPr>
              <w:widowControl/>
              <w:spacing w:line="580" w:lineRule="atLeast"/>
              <w:jc w:val="center"/>
              <w:rPr>
                <w:rFonts w:ascii="宋体" w:cs="宋体"/>
                <w:kern w:val="0"/>
                <w:szCs w:val="21"/>
              </w:rPr>
            </w:pPr>
          </w:p>
        </w:tc>
        <w:tc>
          <w:tcPr>
            <w:tcW w:w="829" w:type="dxa"/>
          </w:tcPr>
          <w:p w14:paraId="295EB22A">
            <w:pPr>
              <w:widowControl/>
              <w:spacing w:line="580" w:lineRule="atLeast"/>
              <w:jc w:val="center"/>
              <w:rPr>
                <w:rFonts w:ascii="宋体" w:cs="宋体"/>
                <w:kern w:val="0"/>
                <w:szCs w:val="21"/>
              </w:rPr>
            </w:pPr>
          </w:p>
        </w:tc>
        <w:tc>
          <w:tcPr>
            <w:tcW w:w="617" w:type="dxa"/>
          </w:tcPr>
          <w:p w14:paraId="2F0D3934">
            <w:pPr>
              <w:widowControl/>
              <w:spacing w:line="580" w:lineRule="atLeast"/>
              <w:jc w:val="center"/>
              <w:rPr>
                <w:rFonts w:ascii="宋体" w:cs="宋体"/>
                <w:kern w:val="0"/>
                <w:szCs w:val="21"/>
              </w:rPr>
            </w:pPr>
          </w:p>
        </w:tc>
        <w:tc>
          <w:tcPr>
            <w:tcW w:w="1104" w:type="dxa"/>
          </w:tcPr>
          <w:p w14:paraId="22F5CC53">
            <w:pPr>
              <w:widowControl/>
              <w:spacing w:line="580" w:lineRule="atLeast"/>
              <w:jc w:val="center"/>
              <w:rPr>
                <w:rFonts w:ascii="宋体" w:cs="宋体"/>
                <w:kern w:val="0"/>
                <w:szCs w:val="21"/>
              </w:rPr>
            </w:pPr>
          </w:p>
        </w:tc>
      </w:tr>
      <w:tr w14:paraId="2B44D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916" w:type="dxa"/>
            <w:vAlign w:val="center"/>
          </w:tcPr>
          <w:p w14:paraId="2EDBF24E">
            <w:pPr>
              <w:rPr>
                <w:rFonts w:ascii="宋体" w:cs="宋体"/>
                <w:szCs w:val="21"/>
              </w:rPr>
            </w:pPr>
            <w:r>
              <w:rPr>
                <w:rFonts w:hint="eastAsia" w:ascii="宋体" w:hAnsi="宋体"/>
                <w:szCs w:val="21"/>
              </w:rPr>
              <w:t>开发区采购环卫设备</w:t>
            </w:r>
          </w:p>
        </w:tc>
        <w:tc>
          <w:tcPr>
            <w:tcW w:w="717" w:type="dxa"/>
            <w:vAlign w:val="center"/>
          </w:tcPr>
          <w:p w14:paraId="16EC36E7">
            <w:pPr>
              <w:jc w:val="right"/>
              <w:rPr>
                <w:rFonts w:ascii="宋体" w:cs="宋体"/>
                <w:szCs w:val="21"/>
              </w:rPr>
            </w:pPr>
            <w:r>
              <w:rPr>
                <w:rFonts w:ascii="宋体" w:hAnsi="宋体"/>
                <w:szCs w:val="21"/>
              </w:rPr>
              <w:t>150.00</w:t>
            </w:r>
          </w:p>
        </w:tc>
        <w:tc>
          <w:tcPr>
            <w:tcW w:w="920" w:type="dxa"/>
            <w:vAlign w:val="center"/>
          </w:tcPr>
          <w:p w14:paraId="5E19CC7E">
            <w:pPr>
              <w:rPr>
                <w:rFonts w:ascii="宋体" w:cs="宋体"/>
                <w:szCs w:val="21"/>
              </w:rPr>
            </w:pPr>
            <w:r>
              <w:rPr>
                <w:rFonts w:ascii="宋体" w:hAnsi="宋体"/>
                <w:szCs w:val="21"/>
              </w:rPr>
              <w:t>46</w:t>
            </w:r>
          </w:p>
        </w:tc>
        <w:tc>
          <w:tcPr>
            <w:tcW w:w="1069" w:type="dxa"/>
            <w:vAlign w:val="center"/>
          </w:tcPr>
          <w:p w14:paraId="4CEFF221">
            <w:pPr>
              <w:rPr>
                <w:rFonts w:ascii="宋体" w:cs="宋体"/>
                <w:szCs w:val="21"/>
              </w:rPr>
            </w:pPr>
            <w:r>
              <w:rPr>
                <w:rFonts w:ascii="宋体" w:hAnsi="宋体"/>
                <w:szCs w:val="21"/>
              </w:rPr>
              <w:t>46</w:t>
            </w:r>
          </w:p>
        </w:tc>
        <w:tc>
          <w:tcPr>
            <w:tcW w:w="771" w:type="dxa"/>
          </w:tcPr>
          <w:p w14:paraId="27AB28E1">
            <w:pPr>
              <w:widowControl/>
              <w:spacing w:line="580" w:lineRule="atLeast"/>
              <w:jc w:val="center"/>
              <w:rPr>
                <w:rFonts w:ascii="宋体" w:cs="宋体"/>
                <w:kern w:val="0"/>
                <w:szCs w:val="21"/>
              </w:rPr>
            </w:pPr>
          </w:p>
        </w:tc>
        <w:tc>
          <w:tcPr>
            <w:tcW w:w="657" w:type="dxa"/>
            <w:vAlign w:val="center"/>
          </w:tcPr>
          <w:p w14:paraId="471FEE78">
            <w:pPr>
              <w:jc w:val="right"/>
              <w:rPr>
                <w:rFonts w:ascii="宋体" w:cs="宋体"/>
                <w:szCs w:val="21"/>
              </w:rPr>
            </w:pPr>
            <w:r>
              <w:rPr>
                <w:rFonts w:ascii="宋体" w:hAnsi="宋体"/>
                <w:szCs w:val="21"/>
              </w:rPr>
              <w:t>3.00</w:t>
            </w:r>
          </w:p>
        </w:tc>
        <w:tc>
          <w:tcPr>
            <w:tcW w:w="1246" w:type="dxa"/>
            <w:vAlign w:val="center"/>
          </w:tcPr>
          <w:p w14:paraId="68866805">
            <w:pPr>
              <w:jc w:val="right"/>
              <w:rPr>
                <w:rFonts w:ascii="宋体" w:cs="宋体"/>
                <w:szCs w:val="21"/>
              </w:rPr>
            </w:pPr>
            <w:r>
              <w:rPr>
                <w:rFonts w:ascii="宋体" w:hAnsi="宋体"/>
                <w:szCs w:val="21"/>
              </w:rPr>
              <w:t>50.00</w:t>
            </w:r>
          </w:p>
        </w:tc>
        <w:tc>
          <w:tcPr>
            <w:tcW w:w="891" w:type="dxa"/>
          </w:tcPr>
          <w:p w14:paraId="0F14F388">
            <w:pPr>
              <w:widowControl/>
              <w:spacing w:line="580" w:lineRule="atLeast"/>
              <w:jc w:val="center"/>
              <w:rPr>
                <w:rFonts w:ascii="宋体" w:cs="宋体"/>
                <w:kern w:val="0"/>
                <w:szCs w:val="21"/>
              </w:rPr>
            </w:pPr>
          </w:p>
        </w:tc>
        <w:tc>
          <w:tcPr>
            <w:tcW w:w="891" w:type="dxa"/>
            <w:vAlign w:val="center"/>
          </w:tcPr>
          <w:p w14:paraId="50C3747F">
            <w:pPr>
              <w:jc w:val="right"/>
              <w:rPr>
                <w:rFonts w:ascii="宋体" w:cs="宋体"/>
                <w:szCs w:val="21"/>
              </w:rPr>
            </w:pPr>
            <w:r>
              <w:rPr>
                <w:rFonts w:ascii="宋体" w:hAnsi="宋体"/>
                <w:szCs w:val="21"/>
              </w:rPr>
              <w:t>150.00</w:t>
            </w:r>
          </w:p>
        </w:tc>
        <w:tc>
          <w:tcPr>
            <w:tcW w:w="1187" w:type="dxa"/>
            <w:vAlign w:val="center"/>
          </w:tcPr>
          <w:p w14:paraId="11659925">
            <w:pPr>
              <w:jc w:val="right"/>
              <w:rPr>
                <w:rFonts w:ascii="宋体" w:cs="宋体"/>
                <w:szCs w:val="21"/>
              </w:rPr>
            </w:pPr>
            <w:r>
              <w:rPr>
                <w:rFonts w:ascii="宋体" w:hAnsi="宋体"/>
                <w:szCs w:val="21"/>
              </w:rPr>
              <w:t>150.00</w:t>
            </w:r>
          </w:p>
        </w:tc>
        <w:tc>
          <w:tcPr>
            <w:tcW w:w="550" w:type="dxa"/>
          </w:tcPr>
          <w:p w14:paraId="141A933B">
            <w:pPr>
              <w:widowControl/>
              <w:spacing w:line="580" w:lineRule="atLeast"/>
              <w:jc w:val="center"/>
              <w:rPr>
                <w:rFonts w:ascii="宋体" w:cs="宋体"/>
                <w:kern w:val="0"/>
                <w:szCs w:val="21"/>
              </w:rPr>
            </w:pPr>
          </w:p>
        </w:tc>
        <w:tc>
          <w:tcPr>
            <w:tcW w:w="829" w:type="dxa"/>
          </w:tcPr>
          <w:p w14:paraId="46BBFBE3">
            <w:pPr>
              <w:widowControl/>
              <w:spacing w:line="580" w:lineRule="atLeast"/>
              <w:jc w:val="center"/>
              <w:rPr>
                <w:rFonts w:ascii="宋体" w:cs="宋体"/>
                <w:kern w:val="0"/>
                <w:szCs w:val="21"/>
              </w:rPr>
            </w:pPr>
          </w:p>
        </w:tc>
        <w:tc>
          <w:tcPr>
            <w:tcW w:w="617" w:type="dxa"/>
          </w:tcPr>
          <w:p w14:paraId="4CE08AE5">
            <w:pPr>
              <w:widowControl/>
              <w:spacing w:line="580" w:lineRule="atLeast"/>
              <w:jc w:val="center"/>
              <w:rPr>
                <w:rFonts w:ascii="宋体" w:cs="宋体"/>
                <w:kern w:val="0"/>
                <w:szCs w:val="21"/>
              </w:rPr>
            </w:pPr>
          </w:p>
        </w:tc>
        <w:tc>
          <w:tcPr>
            <w:tcW w:w="1104" w:type="dxa"/>
          </w:tcPr>
          <w:p w14:paraId="4B5DF455">
            <w:pPr>
              <w:widowControl/>
              <w:spacing w:line="580" w:lineRule="atLeast"/>
              <w:jc w:val="center"/>
              <w:rPr>
                <w:rFonts w:ascii="宋体" w:cs="宋体"/>
                <w:kern w:val="0"/>
                <w:szCs w:val="21"/>
              </w:rPr>
            </w:pPr>
          </w:p>
        </w:tc>
      </w:tr>
      <w:tr w14:paraId="12E58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916" w:type="dxa"/>
            <w:vAlign w:val="center"/>
          </w:tcPr>
          <w:p w14:paraId="0F08F7D1">
            <w:pPr>
              <w:rPr>
                <w:rFonts w:ascii="宋体" w:cs="宋体"/>
                <w:szCs w:val="21"/>
              </w:rPr>
            </w:pPr>
            <w:r>
              <w:rPr>
                <w:rFonts w:hint="eastAsia" w:ascii="宋体" w:hAnsi="宋体"/>
                <w:szCs w:val="21"/>
              </w:rPr>
              <w:t>开发区保洁垃圾分类处理</w:t>
            </w:r>
          </w:p>
        </w:tc>
        <w:tc>
          <w:tcPr>
            <w:tcW w:w="717" w:type="dxa"/>
            <w:vAlign w:val="center"/>
          </w:tcPr>
          <w:p w14:paraId="310D0461">
            <w:pPr>
              <w:jc w:val="right"/>
              <w:rPr>
                <w:rFonts w:ascii="宋体" w:cs="宋体"/>
                <w:szCs w:val="21"/>
              </w:rPr>
            </w:pPr>
            <w:r>
              <w:rPr>
                <w:rFonts w:ascii="宋体" w:hAnsi="宋体"/>
                <w:szCs w:val="21"/>
              </w:rPr>
              <w:t>200.00</w:t>
            </w:r>
          </w:p>
        </w:tc>
        <w:tc>
          <w:tcPr>
            <w:tcW w:w="920" w:type="dxa"/>
            <w:vAlign w:val="center"/>
          </w:tcPr>
          <w:p w14:paraId="79DD380E">
            <w:pPr>
              <w:rPr>
                <w:rFonts w:ascii="宋体" w:cs="宋体"/>
                <w:szCs w:val="21"/>
              </w:rPr>
            </w:pPr>
            <w:r>
              <w:rPr>
                <w:rFonts w:ascii="宋体" w:hAnsi="宋体"/>
                <w:szCs w:val="21"/>
              </w:rPr>
              <w:t>210</w:t>
            </w:r>
          </w:p>
        </w:tc>
        <w:tc>
          <w:tcPr>
            <w:tcW w:w="1069" w:type="dxa"/>
            <w:vAlign w:val="center"/>
          </w:tcPr>
          <w:p w14:paraId="55546B02">
            <w:pPr>
              <w:rPr>
                <w:rFonts w:ascii="宋体" w:cs="宋体"/>
                <w:szCs w:val="21"/>
              </w:rPr>
            </w:pPr>
            <w:r>
              <w:rPr>
                <w:rFonts w:ascii="宋体" w:hAnsi="宋体"/>
                <w:szCs w:val="21"/>
              </w:rPr>
              <w:t>210</w:t>
            </w:r>
          </w:p>
        </w:tc>
        <w:tc>
          <w:tcPr>
            <w:tcW w:w="771" w:type="dxa"/>
          </w:tcPr>
          <w:p w14:paraId="398F3325">
            <w:pPr>
              <w:widowControl/>
              <w:spacing w:line="580" w:lineRule="atLeast"/>
              <w:jc w:val="center"/>
              <w:rPr>
                <w:rFonts w:ascii="宋体" w:cs="宋体"/>
                <w:kern w:val="0"/>
                <w:szCs w:val="21"/>
              </w:rPr>
            </w:pPr>
          </w:p>
        </w:tc>
        <w:tc>
          <w:tcPr>
            <w:tcW w:w="657" w:type="dxa"/>
            <w:vAlign w:val="center"/>
          </w:tcPr>
          <w:p w14:paraId="43EE5640">
            <w:pPr>
              <w:jc w:val="right"/>
              <w:rPr>
                <w:rFonts w:ascii="宋体" w:cs="宋体"/>
                <w:szCs w:val="21"/>
              </w:rPr>
            </w:pPr>
            <w:r>
              <w:rPr>
                <w:rFonts w:ascii="宋体" w:hAnsi="宋体"/>
                <w:szCs w:val="21"/>
              </w:rPr>
              <w:t>1.00</w:t>
            </w:r>
          </w:p>
        </w:tc>
        <w:tc>
          <w:tcPr>
            <w:tcW w:w="1246" w:type="dxa"/>
            <w:vAlign w:val="center"/>
          </w:tcPr>
          <w:p w14:paraId="01FB492E">
            <w:pPr>
              <w:jc w:val="right"/>
              <w:rPr>
                <w:rFonts w:ascii="宋体" w:cs="宋体"/>
                <w:szCs w:val="21"/>
              </w:rPr>
            </w:pPr>
            <w:r>
              <w:rPr>
                <w:rFonts w:ascii="宋体" w:hAnsi="宋体"/>
                <w:szCs w:val="21"/>
              </w:rPr>
              <w:t>200.00</w:t>
            </w:r>
          </w:p>
        </w:tc>
        <w:tc>
          <w:tcPr>
            <w:tcW w:w="891" w:type="dxa"/>
          </w:tcPr>
          <w:p w14:paraId="2B3E453A">
            <w:pPr>
              <w:widowControl/>
              <w:spacing w:line="580" w:lineRule="atLeast"/>
              <w:jc w:val="center"/>
              <w:rPr>
                <w:rFonts w:ascii="宋体" w:cs="宋体"/>
                <w:kern w:val="0"/>
                <w:szCs w:val="21"/>
              </w:rPr>
            </w:pPr>
          </w:p>
        </w:tc>
        <w:tc>
          <w:tcPr>
            <w:tcW w:w="891" w:type="dxa"/>
            <w:vAlign w:val="center"/>
          </w:tcPr>
          <w:p w14:paraId="0448F74B">
            <w:pPr>
              <w:jc w:val="right"/>
              <w:rPr>
                <w:rFonts w:ascii="宋体" w:cs="宋体"/>
                <w:szCs w:val="21"/>
              </w:rPr>
            </w:pPr>
            <w:r>
              <w:rPr>
                <w:rFonts w:ascii="宋体" w:hAnsi="宋体"/>
                <w:szCs w:val="21"/>
              </w:rPr>
              <w:t>200.00</w:t>
            </w:r>
          </w:p>
        </w:tc>
        <w:tc>
          <w:tcPr>
            <w:tcW w:w="1187" w:type="dxa"/>
            <w:vAlign w:val="center"/>
          </w:tcPr>
          <w:p w14:paraId="749AEB9F">
            <w:pPr>
              <w:jc w:val="right"/>
              <w:rPr>
                <w:rFonts w:ascii="宋体" w:cs="宋体"/>
                <w:szCs w:val="21"/>
              </w:rPr>
            </w:pPr>
            <w:r>
              <w:rPr>
                <w:rFonts w:ascii="宋体" w:hAnsi="宋体"/>
                <w:szCs w:val="21"/>
              </w:rPr>
              <w:t>200.00</w:t>
            </w:r>
          </w:p>
        </w:tc>
        <w:tc>
          <w:tcPr>
            <w:tcW w:w="550" w:type="dxa"/>
          </w:tcPr>
          <w:p w14:paraId="6BD132AB">
            <w:pPr>
              <w:widowControl/>
              <w:spacing w:line="580" w:lineRule="atLeast"/>
              <w:jc w:val="center"/>
              <w:rPr>
                <w:rFonts w:ascii="宋体" w:cs="宋体"/>
                <w:kern w:val="0"/>
                <w:szCs w:val="21"/>
              </w:rPr>
            </w:pPr>
          </w:p>
        </w:tc>
        <w:tc>
          <w:tcPr>
            <w:tcW w:w="829" w:type="dxa"/>
          </w:tcPr>
          <w:p w14:paraId="0F671B28">
            <w:pPr>
              <w:widowControl/>
              <w:spacing w:line="580" w:lineRule="atLeast"/>
              <w:jc w:val="center"/>
              <w:rPr>
                <w:rFonts w:ascii="宋体" w:cs="宋体"/>
                <w:kern w:val="0"/>
                <w:szCs w:val="21"/>
              </w:rPr>
            </w:pPr>
          </w:p>
        </w:tc>
        <w:tc>
          <w:tcPr>
            <w:tcW w:w="617" w:type="dxa"/>
          </w:tcPr>
          <w:p w14:paraId="7DA1ABA3">
            <w:pPr>
              <w:widowControl/>
              <w:spacing w:line="580" w:lineRule="atLeast"/>
              <w:jc w:val="center"/>
              <w:rPr>
                <w:rFonts w:ascii="宋体" w:cs="宋体"/>
                <w:kern w:val="0"/>
                <w:szCs w:val="21"/>
              </w:rPr>
            </w:pPr>
          </w:p>
        </w:tc>
        <w:tc>
          <w:tcPr>
            <w:tcW w:w="1104" w:type="dxa"/>
          </w:tcPr>
          <w:p w14:paraId="7D663724">
            <w:pPr>
              <w:widowControl/>
              <w:spacing w:line="580" w:lineRule="atLeast"/>
              <w:jc w:val="center"/>
              <w:rPr>
                <w:rFonts w:ascii="宋体" w:cs="宋体"/>
                <w:kern w:val="0"/>
                <w:szCs w:val="21"/>
              </w:rPr>
            </w:pPr>
          </w:p>
        </w:tc>
      </w:tr>
      <w:tr w14:paraId="3018C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1916" w:type="dxa"/>
            <w:vAlign w:val="center"/>
          </w:tcPr>
          <w:p w14:paraId="761188B5">
            <w:pPr>
              <w:rPr>
                <w:rFonts w:ascii="宋体" w:cs="宋体"/>
                <w:szCs w:val="21"/>
              </w:rPr>
            </w:pPr>
            <w:r>
              <w:rPr>
                <w:rFonts w:hint="eastAsia" w:ascii="宋体" w:hAnsi="宋体"/>
                <w:szCs w:val="21"/>
              </w:rPr>
              <w:t>初步设计及投资概算的评估咨询</w:t>
            </w:r>
          </w:p>
        </w:tc>
        <w:tc>
          <w:tcPr>
            <w:tcW w:w="717" w:type="dxa"/>
            <w:vAlign w:val="center"/>
          </w:tcPr>
          <w:p w14:paraId="5BD4302E">
            <w:pPr>
              <w:jc w:val="right"/>
              <w:rPr>
                <w:rFonts w:ascii="宋体" w:cs="宋体"/>
                <w:szCs w:val="21"/>
              </w:rPr>
            </w:pPr>
            <w:r>
              <w:rPr>
                <w:rFonts w:ascii="宋体" w:hAnsi="宋体"/>
                <w:szCs w:val="21"/>
              </w:rPr>
              <w:t>37.50</w:t>
            </w:r>
          </w:p>
        </w:tc>
        <w:tc>
          <w:tcPr>
            <w:tcW w:w="920" w:type="dxa"/>
            <w:vAlign w:val="center"/>
          </w:tcPr>
          <w:p w14:paraId="49767485">
            <w:pPr>
              <w:rPr>
                <w:rFonts w:ascii="宋体" w:cs="宋体"/>
                <w:szCs w:val="21"/>
              </w:rPr>
            </w:pPr>
            <w:r>
              <w:rPr>
                <w:rFonts w:ascii="宋体" w:hAnsi="宋体"/>
                <w:szCs w:val="21"/>
              </w:rPr>
              <w:t>251</w:t>
            </w:r>
          </w:p>
        </w:tc>
        <w:tc>
          <w:tcPr>
            <w:tcW w:w="1069" w:type="dxa"/>
            <w:vAlign w:val="center"/>
          </w:tcPr>
          <w:p w14:paraId="793EF637">
            <w:pPr>
              <w:rPr>
                <w:rFonts w:ascii="宋体" w:cs="宋体"/>
                <w:szCs w:val="21"/>
              </w:rPr>
            </w:pPr>
            <w:r>
              <w:rPr>
                <w:rFonts w:ascii="宋体" w:hAnsi="宋体"/>
                <w:szCs w:val="21"/>
              </w:rPr>
              <w:t>251</w:t>
            </w:r>
          </w:p>
        </w:tc>
        <w:tc>
          <w:tcPr>
            <w:tcW w:w="771" w:type="dxa"/>
          </w:tcPr>
          <w:p w14:paraId="63248638">
            <w:pPr>
              <w:widowControl/>
              <w:spacing w:line="580" w:lineRule="atLeast"/>
              <w:jc w:val="center"/>
              <w:rPr>
                <w:rFonts w:ascii="宋体" w:cs="宋体"/>
                <w:kern w:val="0"/>
                <w:szCs w:val="21"/>
              </w:rPr>
            </w:pPr>
          </w:p>
        </w:tc>
        <w:tc>
          <w:tcPr>
            <w:tcW w:w="657" w:type="dxa"/>
            <w:vAlign w:val="center"/>
          </w:tcPr>
          <w:p w14:paraId="215C25CE">
            <w:pPr>
              <w:jc w:val="right"/>
              <w:rPr>
                <w:rFonts w:ascii="宋体" w:cs="宋体"/>
                <w:szCs w:val="21"/>
              </w:rPr>
            </w:pPr>
            <w:r>
              <w:rPr>
                <w:rFonts w:ascii="宋体" w:hAnsi="宋体"/>
                <w:szCs w:val="21"/>
              </w:rPr>
              <w:t>15.00</w:t>
            </w:r>
          </w:p>
        </w:tc>
        <w:tc>
          <w:tcPr>
            <w:tcW w:w="1246" w:type="dxa"/>
            <w:vAlign w:val="center"/>
          </w:tcPr>
          <w:p w14:paraId="2D2EE013">
            <w:pPr>
              <w:jc w:val="right"/>
              <w:rPr>
                <w:rFonts w:ascii="宋体" w:cs="宋体"/>
                <w:szCs w:val="21"/>
              </w:rPr>
            </w:pPr>
            <w:r>
              <w:rPr>
                <w:rFonts w:ascii="宋体" w:hAnsi="宋体"/>
                <w:szCs w:val="21"/>
              </w:rPr>
              <w:t>2.50</w:t>
            </w:r>
          </w:p>
        </w:tc>
        <w:tc>
          <w:tcPr>
            <w:tcW w:w="891" w:type="dxa"/>
          </w:tcPr>
          <w:p w14:paraId="6FEE92F3">
            <w:pPr>
              <w:widowControl/>
              <w:spacing w:line="580" w:lineRule="atLeast"/>
              <w:jc w:val="center"/>
              <w:rPr>
                <w:rFonts w:ascii="宋体" w:cs="宋体"/>
                <w:kern w:val="0"/>
                <w:szCs w:val="21"/>
              </w:rPr>
            </w:pPr>
          </w:p>
        </w:tc>
        <w:tc>
          <w:tcPr>
            <w:tcW w:w="891" w:type="dxa"/>
            <w:vAlign w:val="center"/>
          </w:tcPr>
          <w:p w14:paraId="4099C0BA">
            <w:pPr>
              <w:jc w:val="right"/>
              <w:rPr>
                <w:rFonts w:ascii="宋体" w:cs="宋体"/>
                <w:szCs w:val="21"/>
              </w:rPr>
            </w:pPr>
            <w:r>
              <w:rPr>
                <w:rFonts w:ascii="宋体" w:hAnsi="宋体"/>
                <w:szCs w:val="21"/>
              </w:rPr>
              <w:t>37.50</w:t>
            </w:r>
          </w:p>
        </w:tc>
        <w:tc>
          <w:tcPr>
            <w:tcW w:w="1187" w:type="dxa"/>
            <w:vAlign w:val="center"/>
          </w:tcPr>
          <w:p w14:paraId="7E8AC9DC">
            <w:pPr>
              <w:jc w:val="right"/>
              <w:rPr>
                <w:rFonts w:ascii="宋体" w:cs="宋体"/>
                <w:szCs w:val="21"/>
              </w:rPr>
            </w:pPr>
            <w:r>
              <w:rPr>
                <w:rFonts w:ascii="宋体" w:hAnsi="宋体"/>
                <w:szCs w:val="21"/>
              </w:rPr>
              <w:t>37.50</w:t>
            </w:r>
          </w:p>
        </w:tc>
        <w:tc>
          <w:tcPr>
            <w:tcW w:w="550" w:type="dxa"/>
          </w:tcPr>
          <w:p w14:paraId="4DBCA1B8">
            <w:pPr>
              <w:widowControl/>
              <w:spacing w:line="580" w:lineRule="atLeast"/>
              <w:jc w:val="center"/>
              <w:rPr>
                <w:rFonts w:ascii="宋体" w:cs="宋体"/>
                <w:kern w:val="0"/>
                <w:szCs w:val="21"/>
              </w:rPr>
            </w:pPr>
          </w:p>
        </w:tc>
        <w:tc>
          <w:tcPr>
            <w:tcW w:w="829" w:type="dxa"/>
          </w:tcPr>
          <w:p w14:paraId="1B1124B3">
            <w:pPr>
              <w:widowControl/>
              <w:spacing w:line="580" w:lineRule="atLeast"/>
              <w:jc w:val="center"/>
              <w:rPr>
                <w:rFonts w:ascii="宋体" w:cs="宋体"/>
                <w:kern w:val="0"/>
                <w:szCs w:val="21"/>
              </w:rPr>
            </w:pPr>
          </w:p>
        </w:tc>
        <w:tc>
          <w:tcPr>
            <w:tcW w:w="617" w:type="dxa"/>
          </w:tcPr>
          <w:p w14:paraId="06030F18">
            <w:pPr>
              <w:widowControl/>
              <w:spacing w:line="580" w:lineRule="atLeast"/>
              <w:jc w:val="center"/>
              <w:rPr>
                <w:rFonts w:ascii="宋体" w:cs="宋体"/>
                <w:kern w:val="0"/>
                <w:szCs w:val="21"/>
              </w:rPr>
            </w:pPr>
          </w:p>
        </w:tc>
        <w:tc>
          <w:tcPr>
            <w:tcW w:w="1104" w:type="dxa"/>
          </w:tcPr>
          <w:p w14:paraId="0D80E344">
            <w:pPr>
              <w:widowControl/>
              <w:spacing w:line="580" w:lineRule="atLeast"/>
              <w:jc w:val="center"/>
              <w:rPr>
                <w:rFonts w:ascii="宋体" w:cs="宋体"/>
                <w:kern w:val="0"/>
                <w:szCs w:val="21"/>
              </w:rPr>
            </w:pPr>
          </w:p>
        </w:tc>
      </w:tr>
      <w:tr w14:paraId="340C2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trPr>
        <w:tc>
          <w:tcPr>
            <w:tcW w:w="1916" w:type="dxa"/>
            <w:vAlign w:val="center"/>
          </w:tcPr>
          <w:p w14:paraId="1099B39C">
            <w:pPr>
              <w:rPr>
                <w:rFonts w:ascii="宋体" w:cs="宋体"/>
                <w:szCs w:val="21"/>
              </w:rPr>
            </w:pPr>
            <w:r>
              <w:rPr>
                <w:rFonts w:hint="eastAsia" w:ascii="宋体" w:hAnsi="宋体"/>
                <w:szCs w:val="21"/>
              </w:rPr>
              <w:t>建设项目环境影响文件技术评估</w:t>
            </w:r>
          </w:p>
        </w:tc>
        <w:tc>
          <w:tcPr>
            <w:tcW w:w="717" w:type="dxa"/>
            <w:vAlign w:val="center"/>
          </w:tcPr>
          <w:p w14:paraId="772E2421">
            <w:pPr>
              <w:jc w:val="right"/>
              <w:rPr>
                <w:rFonts w:ascii="宋体" w:cs="宋体"/>
                <w:szCs w:val="21"/>
              </w:rPr>
            </w:pPr>
            <w:r>
              <w:rPr>
                <w:rFonts w:ascii="宋体" w:hAnsi="宋体"/>
                <w:szCs w:val="21"/>
              </w:rPr>
              <w:t>100.00</w:t>
            </w:r>
          </w:p>
        </w:tc>
        <w:tc>
          <w:tcPr>
            <w:tcW w:w="920" w:type="dxa"/>
            <w:vAlign w:val="center"/>
          </w:tcPr>
          <w:p w14:paraId="075E75A8">
            <w:pPr>
              <w:rPr>
                <w:rFonts w:ascii="宋体" w:cs="宋体"/>
                <w:szCs w:val="21"/>
              </w:rPr>
            </w:pPr>
            <w:r>
              <w:rPr>
                <w:rFonts w:ascii="宋体" w:hAnsi="宋体"/>
                <w:szCs w:val="21"/>
              </w:rPr>
              <w:t>251</w:t>
            </w:r>
          </w:p>
        </w:tc>
        <w:tc>
          <w:tcPr>
            <w:tcW w:w="1069" w:type="dxa"/>
            <w:vAlign w:val="center"/>
          </w:tcPr>
          <w:p w14:paraId="4ACCEC72">
            <w:pPr>
              <w:rPr>
                <w:rFonts w:ascii="宋体" w:cs="宋体"/>
                <w:szCs w:val="21"/>
              </w:rPr>
            </w:pPr>
            <w:r>
              <w:rPr>
                <w:rFonts w:ascii="宋体" w:hAnsi="宋体"/>
                <w:szCs w:val="21"/>
              </w:rPr>
              <w:t>251</w:t>
            </w:r>
          </w:p>
        </w:tc>
        <w:tc>
          <w:tcPr>
            <w:tcW w:w="771" w:type="dxa"/>
          </w:tcPr>
          <w:p w14:paraId="65A8FEBF">
            <w:pPr>
              <w:widowControl/>
              <w:spacing w:line="580" w:lineRule="atLeast"/>
              <w:jc w:val="center"/>
              <w:rPr>
                <w:rFonts w:ascii="宋体" w:cs="宋体"/>
                <w:kern w:val="0"/>
                <w:szCs w:val="21"/>
              </w:rPr>
            </w:pPr>
          </w:p>
        </w:tc>
        <w:tc>
          <w:tcPr>
            <w:tcW w:w="657" w:type="dxa"/>
            <w:vAlign w:val="center"/>
          </w:tcPr>
          <w:p w14:paraId="208A418F">
            <w:pPr>
              <w:jc w:val="right"/>
              <w:rPr>
                <w:rFonts w:ascii="宋体" w:cs="宋体"/>
                <w:szCs w:val="21"/>
              </w:rPr>
            </w:pPr>
            <w:r>
              <w:rPr>
                <w:rFonts w:ascii="宋体" w:hAnsi="宋体"/>
                <w:szCs w:val="21"/>
              </w:rPr>
              <w:t>100.00</w:t>
            </w:r>
          </w:p>
        </w:tc>
        <w:tc>
          <w:tcPr>
            <w:tcW w:w="1246" w:type="dxa"/>
            <w:vAlign w:val="center"/>
          </w:tcPr>
          <w:p w14:paraId="4B149141">
            <w:pPr>
              <w:jc w:val="right"/>
              <w:rPr>
                <w:rFonts w:ascii="宋体" w:cs="宋体"/>
                <w:szCs w:val="21"/>
              </w:rPr>
            </w:pPr>
            <w:r>
              <w:rPr>
                <w:rFonts w:ascii="宋体" w:hAnsi="宋体"/>
                <w:szCs w:val="21"/>
              </w:rPr>
              <w:t>1.00</w:t>
            </w:r>
          </w:p>
        </w:tc>
        <w:tc>
          <w:tcPr>
            <w:tcW w:w="891" w:type="dxa"/>
          </w:tcPr>
          <w:p w14:paraId="0FF2621E">
            <w:pPr>
              <w:widowControl/>
              <w:spacing w:line="580" w:lineRule="atLeast"/>
              <w:jc w:val="center"/>
              <w:rPr>
                <w:rFonts w:ascii="宋体" w:cs="宋体"/>
                <w:kern w:val="0"/>
                <w:szCs w:val="21"/>
              </w:rPr>
            </w:pPr>
          </w:p>
        </w:tc>
        <w:tc>
          <w:tcPr>
            <w:tcW w:w="891" w:type="dxa"/>
            <w:vAlign w:val="center"/>
          </w:tcPr>
          <w:p w14:paraId="5080FF2F">
            <w:pPr>
              <w:jc w:val="right"/>
              <w:rPr>
                <w:rFonts w:ascii="宋体" w:cs="宋体"/>
                <w:szCs w:val="21"/>
              </w:rPr>
            </w:pPr>
            <w:r>
              <w:rPr>
                <w:rFonts w:ascii="宋体" w:hAnsi="宋体"/>
                <w:szCs w:val="21"/>
              </w:rPr>
              <w:t>100.00</w:t>
            </w:r>
          </w:p>
        </w:tc>
        <w:tc>
          <w:tcPr>
            <w:tcW w:w="1187" w:type="dxa"/>
            <w:vAlign w:val="center"/>
          </w:tcPr>
          <w:p w14:paraId="29121016">
            <w:pPr>
              <w:jc w:val="right"/>
              <w:rPr>
                <w:rFonts w:ascii="宋体" w:cs="宋体"/>
                <w:szCs w:val="21"/>
              </w:rPr>
            </w:pPr>
            <w:r>
              <w:rPr>
                <w:rFonts w:ascii="宋体" w:hAnsi="宋体"/>
                <w:szCs w:val="21"/>
              </w:rPr>
              <w:t>100.00</w:t>
            </w:r>
          </w:p>
        </w:tc>
        <w:tc>
          <w:tcPr>
            <w:tcW w:w="550" w:type="dxa"/>
          </w:tcPr>
          <w:p w14:paraId="0478F6B6">
            <w:pPr>
              <w:widowControl/>
              <w:spacing w:line="580" w:lineRule="atLeast"/>
              <w:jc w:val="center"/>
              <w:rPr>
                <w:rFonts w:ascii="宋体" w:cs="宋体"/>
                <w:kern w:val="0"/>
                <w:szCs w:val="21"/>
              </w:rPr>
            </w:pPr>
          </w:p>
        </w:tc>
        <w:tc>
          <w:tcPr>
            <w:tcW w:w="829" w:type="dxa"/>
          </w:tcPr>
          <w:p w14:paraId="283E4B35">
            <w:pPr>
              <w:widowControl/>
              <w:spacing w:line="580" w:lineRule="atLeast"/>
              <w:jc w:val="center"/>
              <w:rPr>
                <w:rFonts w:ascii="宋体" w:cs="宋体"/>
                <w:kern w:val="0"/>
                <w:szCs w:val="21"/>
              </w:rPr>
            </w:pPr>
          </w:p>
        </w:tc>
        <w:tc>
          <w:tcPr>
            <w:tcW w:w="617" w:type="dxa"/>
          </w:tcPr>
          <w:p w14:paraId="4E97D090">
            <w:pPr>
              <w:widowControl/>
              <w:spacing w:line="580" w:lineRule="atLeast"/>
              <w:jc w:val="center"/>
              <w:rPr>
                <w:rFonts w:ascii="宋体" w:cs="宋体"/>
                <w:kern w:val="0"/>
                <w:szCs w:val="21"/>
              </w:rPr>
            </w:pPr>
          </w:p>
        </w:tc>
        <w:tc>
          <w:tcPr>
            <w:tcW w:w="1104" w:type="dxa"/>
          </w:tcPr>
          <w:p w14:paraId="5DE6F1F7">
            <w:pPr>
              <w:widowControl/>
              <w:spacing w:line="580" w:lineRule="atLeast"/>
              <w:jc w:val="center"/>
              <w:rPr>
                <w:rFonts w:ascii="宋体" w:cs="宋体"/>
                <w:kern w:val="0"/>
                <w:szCs w:val="21"/>
              </w:rPr>
            </w:pPr>
          </w:p>
        </w:tc>
      </w:tr>
      <w:tr w14:paraId="12DFC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trPr>
        <w:tc>
          <w:tcPr>
            <w:tcW w:w="1916" w:type="dxa"/>
            <w:vAlign w:val="center"/>
          </w:tcPr>
          <w:p w14:paraId="5F60E928">
            <w:pPr>
              <w:rPr>
                <w:rFonts w:ascii="宋体" w:cs="宋体"/>
                <w:szCs w:val="21"/>
              </w:rPr>
            </w:pPr>
            <w:r>
              <w:rPr>
                <w:rFonts w:hint="eastAsia" w:ascii="宋体" w:hAnsi="宋体"/>
                <w:szCs w:val="21"/>
              </w:rPr>
              <w:t>育才路（果岭湾至鹿泉开发区学校段）道路硬化、路灯工程</w:t>
            </w:r>
          </w:p>
        </w:tc>
        <w:tc>
          <w:tcPr>
            <w:tcW w:w="717" w:type="dxa"/>
            <w:vAlign w:val="center"/>
          </w:tcPr>
          <w:p w14:paraId="4D11BC65">
            <w:pPr>
              <w:jc w:val="right"/>
              <w:rPr>
                <w:rFonts w:ascii="宋体" w:cs="宋体"/>
                <w:szCs w:val="21"/>
              </w:rPr>
            </w:pPr>
            <w:r>
              <w:rPr>
                <w:rFonts w:ascii="宋体" w:hAnsi="宋体"/>
                <w:szCs w:val="21"/>
              </w:rPr>
              <w:t>150.00</w:t>
            </w:r>
          </w:p>
        </w:tc>
        <w:tc>
          <w:tcPr>
            <w:tcW w:w="920" w:type="dxa"/>
            <w:vAlign w:val="center"/>
          </w:tcPr>
          <w:p w14:paraId="63A03CC1">
            <w:pPr>
              <w:rPr>
                <w:rFonts w:ascii="宋体" w:cs="宋体"/>
                <w:szCs w:val="21"/>
              </w:rPr>
            </w:pPr>
            <w:r>
              <w:rPr>
                <w:rFonts w:ascii="宋体" w:hAnsi="宋体"/>
                <w:szCs w:val="21"/>
              </w:rPr>
              <w:t>168</w:t>
            </w:r>
          </w:p>
        </w:tc>
        <w:tc>
          <w:tcPr>
            <w:tcW w:w="1069" w:type="dxa"/>
            <w:vAlign w:val="center"/>
          </w:tcPr>
          <w:p w14:paraId="24FED36B">
            <w:pPr>
              <w:rPr>
                <w:rFonts w:ascii="宋体" w:cs="宋体"/>
                <w:szCs w:val="21"/>
              </w:rPr>
            </w:pPr>
            <w:r>
              <w:rPr>
                <w:rFonts w:ascii="宋体" w:hAnsi="宋体"/>
                <w:szCs w:val="21"/>
              </w:rPr>
              <w:t>168</w:t>
            </w:r>
          </w:p>
        </w:tc>
        <w:tc>
          <w:tcPr>
            <w:tcW w:w="771" w:type="dxa"/>
          </w:tcPr>
          <w:p w14:paraId="4C4E57B1">
            <w:pPr>
              <w:widowControl/>
              <w:spacing w:line="580" w:lineRule="atLeast"/>
              <w:jc w:val="center"/>
              <w:rPr>
                <w:rFonts w:ascii="宋体" w:cs="宋体"/>
                <w:kern w:val="0"/>
                <w:szCs w:val="21"/>
              </w:rPr>
            </w:pPr>
          </w:p>
        </w:tc>
        <w:tc>
          <w:tcPr>
            <w:tcW w:w="657" w:type="dxa"/>
            <w:vAlign w:val="center"/>
          </w:tcPr>
          <w:p w14:paraId="2B3F04AA">
            <w:pPr>
              <w:jc w:val="right"/>
              <w:rPr>
                <w:rFonts w:ascii="宋体" w:cs="宋体"/>
                <w:szCs w:val="21"/>
              </w:rPr>
            </w:pPr>
            <w:r>
              <w:rPr>
                <w:rFonts w:ascii="宋体" w:hAnsi="宋体"/>
                <w:szCs w:val="21"/>
              </w:rPr>
              <w:t>150.00</w:t>
            </w:r>
          </w:p>
        </w:tc>
        <w:tc>
          <w:tcPr>
            <w:tcW w:w="1246" w:type="dxa"/>
            <w:vAlign w:val="center"/>
          </w:tcPr>
          <w:p w14:paraId="4AE724F4">
            <w:pPr>
              <w:jc w:val="right"/>
              <w:rPr>
                <w:rFonts w:ascii="宋体" w:cs="宋体"/>
                <w:szCs w:val="21"/>
              </w:rPr>
            </w:pPr>
            <w:r>
              <w:rPr>
                <w:rFonts w:ascii="宋体" w:hAnsi="宋体"/>
                <w:szCs w:val="21"/>
              </w:rPr>
              <w:t>1.00</w:t>
            </w:r>
          </w:p>
        </w:tc>
        <w:tc>
          <w:tcPr>
            <w:tcW w:w="891" w:type="dxa"/>
          </w:tcPr>
          <w:p w14:paraId="07E432B3">
            <w:pPr>
              <w:widowControl/>
              <w:spacing w:line="580" w:lineRule="atLeast"/>
              <w:jc w:val="center"/>
              <w:rPr>
                <w:rFonts w:ascii="宋体" w:cs="宋体"/>
                <w:kern w:val="0"/>
                <w:szCs w:val="21"/>
              </w:rPr>
            </w:pPr>
          </w:p>
        </w:tc>
        <w:tc>
          <w:tcPr>
            <w:tcW w:w="891" w:type="dxa"/>
            <w:vAlign w:val="center"/>
          </w:tcPr>
          <w:p w14:paraId="64430CF4">
            <w:pPr>
              <w:jc w:val="right"/>
              <w:rPr>
                <w:rFonts w:ascii="宋体" w:cs="宋体"/>
                <w:szCs w:val="21"/>
              </w:rPr>
            </w:pPr>
            <w:r>
              <w:rPr>
                <w:rFonts w:ascii="宋体" w:hAnsi="宋体"/>
                <w:szCs w:val="21"/>
              </w:rPr>
              <w:t>150.00</w:t>
            </w:r>
          </w:p>
        </w:tc>
        <w:tc>
          <w:tcPr>
            <w:tcW w:w="1187" w:type="dxa"/>
            <w:vAlign w:val="center"/>
          </w:tcPr>
          <w:p w14:paraId="24E9A756">
            <w:pPr>
              <w:jc w:val="right"/>
              <w:rPr>
                <w:rFonts w:ascii="宋体" w:cs="宋体"/>
                <w:szCs w:val="21"/>
              </w:rPr>
            </w:pPr>
            <w:r>
              <w:rPr>
                <w:rFonts w:ascii="宋体" w:hAnsi="宋体"/>
                <w:szCs w:val="21"/>
              </w:rPr>
              <w:t>150.00</w:t>
            </w:r>
          </w:p>
        </w:tc>
        <w:tc>
          <w:tcPr>
            <w:tcW w:w="550" w:type="dxa"/>
          </w:tcPr>
          <w:p w14:paraId="4D360BC0">
            <w:pPr>
              <w:widowControl/>
              <w:spacing w:line="580" w:lineRule="atLeast"/>
              <w:jc w:val="center"/>
              <w:rPr>
                <w:rFonts w:ascii="宋体" w:cs="宋体"/>
                <w:kern w:val="0"/>
                <w:szCs w:val="21"/>
              </w:rPr>
            </w:pPr>
          </w:p>
        </w:tc>
        <w:tc>
          <w:tcPr>
            <w:tcW w:w="829" w:type="dxa"/>
          </w:tcPr>
          <w:p w14:paraId="39B9243B">
            <w:pPr>
              <w:widowControl/>
              <w:spacing w:line="580" w:lineRule="atLeast"/>
              <w:jc w:val="center"/>
              <w:rPr>
                <w:rFonts w:ascii="宋体" w:cs="宋体"/>
                <w:kern w:val="0"/>
                <w:szCs w:val="21"/>
              </w:rPr>
            </w:pPr>
          </w:p>
        </w:tc>
        <w:tc>
          <w:tcPr>
            <w:tcW w:w="617" w:type="dxa"/>
          </w:tcPr>
          <w:p w14:paraId="7CA4793C">
            <w:pPr>
              <w:widowControl/>
              <w:spacing w:line="580" w:lineRule="atLeast"/>
              <w:jc w:val="center"/>
              <w:rPr>
                <w:rFonts w:ascii="宋体" w:cs="宋体"/>
                <w:kern w:val="0"/>
                <w:szCs w:val="21"/>
              </w:rPr>
            </w:pPr>
          </w:p>
        </w:tc>
        <w:tc>
          <w:tcPr>
            <w:tcW w:w="1104" w:type="dxa"/>
          </w:tcPr>
          <w:p w14:paraId="45835469">
            <w:pPr>
              <w:widowControl/>
              <w:spacing w:line="580" w:lineRule="atLeast"/>
              <w:jc w:val="center"/>
              <w:rPr>
                <w:rFonts w:ascii="宋体" w:cs="宋体"/>
                <w:kern w:val="0"/>
                <w:szCs w:val="21"/>
              </w:rPr>
            </w:pPr>
          </w:p>
        </w:tc>
      </w:tr>
      <w:tr w14:paraId="4F217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1916" w:type="dxa"/>
            <w:vAlign w:val="center"/>
          </w:tcPr>
          <w:p w14:paraId="738851A4">
            <w:pPr>
              <w:rPr>
                <w:rFonts w:ascii="宋体" w:cs="宋体"/>
                <w:szCs w:val="21"/>
              </w:rPr>
            </w:pPr>
            <w:r>
              <w:rPr>
                <w:rFonts w:hint="eastAsia" w:ascii="宋体" w:hAnsi="宋体"/>
                <w:szCs w:val="21"/>
              </w:rPr>
              <w:t>申请国家中小企业发展专项资金项目</w:t>
            </w:r>
          </w:p>
        </w:tc>
        <w:tc>
          <w:tcPr>
            <w:tcW w:w="717" w:type="dxa"/>
            <w:vAlign w:val="center"/>
          </w:tcPr>
          <w:p w14:paraId="5840AE64">
            <w:pPr>
              <w:jc w:val="right"/>
              <w:rPr>
                <w:rFonts w:ascii="宋体" w:cs="宋体"/>
                <w:szCs w:val="21"/>
              </w:rPr>
            </w:pPr>
            <w:r>
              <w:rPr>
                <w:rFonts w:ascii="宋体" w:hAnsi="宋体"/>
                <w:szCs w:val="21"/>
              </w:rPr>
              <w:t>100.00</w:t>
            </w:r>
          </w:p>
        </w:tc>
        <w:tc>
          <w:tcPr>
            <w:tcW w:w="920" w:type="dxa"/>
            <w:vAlign w:val="center"/>
          </w:tcPr>
          <w:p w14:paraId="031127C0">
            <w:pPr>
              <w:rPr>
                <w:rFonts w:ascii="宋体" w:cs="宋体"/>
                <w:szCs w:val="21"/>
              </w:rPr>
            </w:pPr>
            <w:r>
              <w:rPr>
                <w:rFonts w:ascii="宋体" w:hAnsi="宋体"/>
                <w:szCs w:val="21"/>
              </w:rPr>
              <w:t>251</w:t>
            </w:r>
          </w:p>
        </w:tc>
        <w:tc>
          <w:tcPr>
            <w:tcW w:w="1069" w:type="dxa"/>
            <w:vAlign w:val="center"/>
          </w:tcPr>
          <w:p w14:paraId="2618309A">
            <w:pPr>
              <w:rPr>
                <w:rFonts w:ascii="宋体" w:cs="宋体"/>
                <w:szCs w:val="21"/>
              </w:rPr>
            </w:pPr>
            <w:r>
              <w:rPr>
                <w:rFonts w:ascii="宋体" w:hAnsi="宋体"/>
                <w:szCs w:val="21"/>
              </w:rPr>
              <w:t>251</w:t>
            </w:r>
          </w:p>
        </w:tc>
        <w:tc>
          <w:tcPr>
            <w:tcW w:w="771" w:type="dxa"/>
          </w:tcPr>
          <w:p w14:paraId="4452407E">
            <w:pPr>
              <w:widowControl/>
              <w:spacing w:line="580" w:lineRule="atLeast"/>
              <w:jc w:val="center"/>
              <w:rPr>
                <w:rFonts w:ascii="宋体" w:cs="宋体"/>
                <w:kern w:val="0"/>
                <w:szCs w:val="21"/>
              </w:rPr>
            </w:pPr>
          </w:p>
        </w:tc>
        <w:tc>
          <w:tcPr>
            <w:tcW w:w="657" w:type="dxa"/>
            <w:vAlign w:val="center"/>
          </w:tcPr>
          <w:p w14:paraId="3E72E7A1">
            <w:pPr>
              <w:jc w:val="right"/>
              <w:rPr>
                <w:rFonts w:ascii="宋体" w:cs="宋体"/>
                <w:szCs w:val="21"/>
              </w:rPr>
            </w:pPr>
            <w:r>
              <w:rPr>
                <w:rFonts w:ascii="宋体" w:hAnsi="宋体"/>
                <w:szCs w:val="21"/>
              </w:rPr>
              <w:t>100.00</w:t>
            </w:r>
          </w:p>
        </w:tc>
        <w:tc>
          <w:tcPr>
            <w:tcW w:w="1246" w:type="dxa"/>
            <w:vAlign w:val="center"/>
          </w:tcPr>
          <w:p w14:paraId="6D3734E3">
            <w:pPr>
              <w:jc w:val="right"/>
              <w:rPr>
                <w:rFonts w:ascii="宋体" w:cs="宋体"/>
                <w:szCs w:val="21"/>
              </w:rPr>
            </w:pPr>
            <w:r>
              <w:rPr>
                <w:rFonts w:ascii="宋体" w:hAnsi="宋体"/>
                <w:szCs w:val="21"/>
              </w:rPr>
              <w:t>1.00</w:t>
            </w:r>
          </w:p>
        </w:tc>
        <w:tc>
          <w:tcPr>
            <w:tcW w:w="891" w:type="dxa"/>
          </w:tcPr>
          <w:p w14:paraId="70AC4FAA">
            <w:pPr>
              <w:widowControl/>
              <w:spacing w:line="580" w:lineRule="atLeast"/>
              <w:jc w:val="center"/>
              <w:rPr>
                <w:rFonts w:ascii="宋体" w:cs="宋体"/>
                <w:kern w:val="0"/>
                <w:szCs w:val="21"/>
              </w:rPr>
            </w:pPr>
          </w:p>
        </w:tc>
        <w:tc>
          <w:tcPr>
            <w:tcW w:w="891" w:type="dxa"/>
            <w:vAlign w:val="center"/>
          </w:tcPr>
          <w:p w14:paraId="4A0E70B3">
            <w:pPr>
              <w:jc w:val="right"/>
              <w:rPr>
                <w:rFonts w:ascii="宋体" w:cs="宋体"/>
                <w:szCs w:val="21"/>
              </w:rPr>
            </w:pPr>
            <w:r>
              <w:rPr>
                <w:rFonts w:ascii="宋体" w:hAnsi="宋体"/>
                <w:szCs w:val="21"/>
              </w:rPr>
              <w:t>100.00</w:t>
            </w:r>
          </w:p>
        </w:tc>
        <w:tc>
          <w:tcPr>
            <w:tcW w:w="1187" w:type="dxa"/>
            <w:vAlign w:val="center"/>
          </w:tcPr>
          <w:p w14:paraId="7F6C89AB">
            <w:pPr>
              <w:jc w:val="right"/>
              <w:rPr>
                <w:rFonts w:ascii="宋体" w:cs="宋体"/>
                <w:szCs w:val="21"/>
              </w:rPr>
            </w:pPr>
            <w:r>
              <w:rPr>
                <w:rFonts w:ascii="宋体" w:hAnsi="宋体"/>
                <w:szCs w:val="21"/>
              </w:rPr>
              <w:t>100.00</w:t>
            </w:r>
          </w:p>
        </w:tc>
        <w:tc>
          <w:tcPr>
            <w:tcW w:w="550" w:type="dxa"/>
          </w:tcPr>
          <w:p w14:paraId="2BBA2B3E">
            <w:pPr>
              <w:widowControl/>
              <w:spacing w:line="580" w:lineRule="atLeast"/>
              <w:jc w:val="center"/>
              <w:rPr>
                <w:rFonts w:ascii="宋体" w:cs="宋体"/>
                <w:kern w:val="0"/>
                <w:szCs w:val="21"/>
              </w:rPr>
            </w:pPr>
          </w:p>
        </w:tc>
        <w:tc>
          <w:tcPr>
            <w:tcW w:w="829" w:type="dxa"/>
          </w:tcPr>
          <w:p w14:paraId="3298BA3F">
            <w:pPr>
              <w:widowControl/>
              <w:spacing w:line="580" w:lineRule="atLeast"/>
              <w:jc w:val="center"/>
              <w:rPr>
                <w:rFonts w:ascii="宋体" w:cs="宋体"/>
                <w:kern w:val="0"/>
                <w:szCs w:val="21"/>
              </w:rPr>
            </w:pPr>
          </w:p>
        </w:tc>
        <w:tc>
          <w:tcPr>
            <w:tcW w:w="617" w:type="dxa"/>
          </w:tcPr>
          <w:p w14:paraId="6615FEE4">
            <w:pPr>
              <w:widowControl/>
              <w:spacing w:line="580" w:lineRule="atLeast"/>
              <w:jc w:val="center"/>
              <w:rPr>
                <w:rFonts w:ascii="宋体" w:cs="宋体"/>
                <w:kern w:val="0"/>
                <w:szCs w:val="21"/>
              </w:rPr>
            </w:pPr>
          </w:p>
        </w:tc>
        <w:tc>
          <w:tcPr>
            <w:tcW w:w="1104" w:type="dxa"/>
          </w:tcPr>
          <w:p w14:paraId="05F43468">
            <w:pPr>
              <w:widowControl/>
              <w:spacing w:line="580" w:lineRule="atLeast"/>
              <w:jc w:val="center"/>
              <w:rPr>
                <w:rFonts w:ascii="宋体" w:cs="宋体"/>
                <w:kern w:val="0"/>
                <w:szCs w:val="21"/>
              </w:rPr>
            </w:pPr>
          </w:p>
        </w:tc>
      </w:tr>
      <w:tr w14:paraId="6933A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1916" w:type="dxa"/>
            <w:vAlign w:val="center"/>
          </w:tcPr>
          <w:p w14:paraId="2B4E5D9A">
            <w:pPr>
              <w:rPr>
                <w:rFonts w:ascii="宋体" w:cs="宋体"/>
                <w:szCs w:val="21"/>
              </w:rPr>
            </w:pPr>
            <w:r>
              <w:rPr>
                <w:rFonts w:hint="eastAsia" w:ascii="宋体" w:hAnsi="宋体"/>
                <w:szCs w:val="21"/>
              </w:rPr>
              <w:t>国际数字产业园会议</w:t>
            </w:r>
          </w:p>
        </w:tc>
        <w:tc>
          <w:tcPr>
            <w:tcW w:w="717" w:type="dxa"/>
            <w:vAlign w:val="center"/>
          </w:tcPr>
          <w:p w14:paraId="1643719E">
            <w:pPr>
              <w:jc w:val="right"/>
              <w:rPr>
                <w:rFonts w:ascii="宋体" w:cs="宋体"/>
                <w:szCs w:val="21"/>
              </w:rPr>
            </w:pPr>
            <w:r>
              <w:rPr>
                <w:rFonts w:ascii="宋体" w:hAnsi="宋体"/>
                <w:szCs w:val="21"/>
              </w:rPr>
              <w:t>180.00</w:t>
            </w:r>
          </w:p>
        </w:tc>
        <w:tc>
          <w:tcPr>
            <w:tcW w:w="920" w:type="dxa"/>
            <w:vAlign w:val="center"/>
          </w:tcPr>
          <w:p w14:paraId="4FC6D265">
            <w:pPr>
              <w:rPr>
                <w:rFonts w:ascii="宋体" w:cs="宋体"/>
                <w:szCs w:val="21"/>
              </w:rPr>
            </w:pPr>
            <w:r>
              <w:rPr>
                <w:rFonts w:ascii="宋体" w:hAnsi="宋体"/>
                <w:szCs w:val="21"/>
              </w:rPr>
              <w:t>229</w:t>
            </w:r>
          </w:p>
        </w:tc>
        <w:tc>
          <w:tcPr>
            <w:tcW w:w="1069" w:type="dxa"/>
            <w:vAlign w:val="center"/>
          </w:tcPr>
          <w:p w14:paraId="2546B1AE">
            <w:pPr>
              <w:rPr>
                <w:rFonts w:ascii="宋体" w:cs="宋体"/>
                <w:szCs w:val="21"/>
              </w:rPr>
            </w:pPr>
            <w:r>
              <w:rPr>
                <w:rFonts w:ascii="宋体" w:hAnsi="宋体"/>
                <w:szCs w:val="21"/>
              </w:rPr>
              <w:t>229</w:t>
            </w:r>
          </w:p>
        </w:tc>
        <w:tc>
          <w:tcPr>
            <w:tcW w:w="771" w:type="dxa"/>
          </w:tcPr>
          <w:p w14:paraId="50CA2B76">
            <w:pPr>
              <w:widowControl/>
              <w:spacing w:line="580" w:lineRule="atLeast"/>
              <w:jc w:val="center"/>
              <w:rPr>
                <w:rFonts w:ascii="宋体" w:cs="宋体"/>
                <w:kern w:val="0"/>
                <w:szCs w:val="21"/>
              </w:rPr>
            </w:pPr>
          </w:p>
        </w:tc>
        <w:tc>
          <w:tcPr>
            <w:tcW w:w="657" w:type="dxa"/>
            <w:vAlign w:val="center"/>
          </w:tcPr>
          <w:p w14:paraId="769B535C">
            <w:pPr>
              <w:jc w:val="right"/>
              <w:rPr>
                <w:rFonts w:ascii="宋体" w:cs="宋体"/>
                <w:szCs w:val="21"/>
              </w:rPr>
            </w:pPr>
            <w:r>
              <w:rPr>
                <w:rFonts w:ascii="宋体" w:hAnsi="宋体"/>
                <w:szCs w:val="21"/>
              </w:rPr>
              <w:t>180.00</w:t>
            </w:r>
          </w:p>
        </w:tc>
        <w:tc>
          <w:tcPr>
            <w:tcW w:w="1246" w:type="dxa"/>
            <w:vAlign w:val="center"/>
          </w:tcPr>
          <w:p w14:paraId="74A04020">
            <w:pPr>
              <w:jc w:val="right"/>
              <w:rPr>
                <w:rFonts w:ascii="宋体" w:cs="宋体"/>
                <w:szCs w:val="21"/>
              </w:rPr>
            </w:pPr>
            <w:r>
              <w:rPr>
                <w:rFonts w:ascii="宋体" w:hAnsi="宋体"/>
                <w:szCs w:val="21"/>
              </w:rPr>
              <w:t>1.00</w:t>
            </w:r>
          </w:p>
        </w:tc>
        <w:tc>
          <w:tcPr>
            <w:tcW w:w="891" w:type="dxa"/>
          </w:tcPr>
          <w:p w14:paraId="6BBAB1EE">
            <w:pPr>
              <w:widowControl/>
              <w:spacing w:line="580" w:lineRule="atLeast"/>
              <w:jc w:val="center"/>
              <w:rPr>
                <w:rFonts w:ascii="宋体" w:cs="宋体"/>
                <w:kern w:val="0"/>
                <w:szCs w:val="21"/>
              </w:rPr>
            </w:pPr>
          </w:p>
        </w:tc>
        <w:tc>
          <w:tcPr>
            <w:tcW w:w="891" w:type="dxa"/>
            <w:vAlign w:val="center"/>
          </w:tcPr>
          <w:p w14:paraId="1A485FCD">
            <w:pPr>
              <w:jc w:val="right"/>
              <w:rPr>
                <w:rFonts w:ascii="宋体" w:cs="宋体"/>
                <w:szCs w:val="21"/>
              </w:rPr>
            </w:pPr>
            <w:r>
              <w:rPr>
                <w:rFonts w:ascii="宋体" w:hAnsi="宋体"/>
                <w:szCs w:val="21"/>
              </w:rPr>
              <w:t>180.00</w:t>
            </w:r>
          </w:p>
        </w:tc>
        <w:tc>
          <w:tcPr>
            <w:tcW w:w="1187" w:type="dxa"/>
            <w:vAlign w:val="center"/>
          </w:tcPr>
          <w:p w14:paraId="126C3514">
            <w:pPr>
              <w:jc w:val="right"/>
              <w:rPr>
                <w:rFonts w:ascii="宋体" w:cs="宋体"/>
                <w:szCs w:val="21"/>
              </w:rPr>
            </w:pPr>
            <w:r>
              <w:rPr>
                <w:rFonts w:ascii="宋体" w:hAnsi="宋体"/>
                <w:szCs w:val="21"/>
              </w:rPr>
              <w:t>180.00</w:t>
            </w:r>
          </w:p>
        </w:tc>
        <w:tc>
          <w:tcPr>
            <w:tcW w:w="550" w:type="dxa"/>
          </w:tcPr>
          <w:p w14:paraId="14920EEA">
            <w:pPr>
              <w:widowControl/>
              <w:spacing w:line="580" w:lineRule="atLeast"/>
              <w:jc w:val="center"/>
              <w:rPr>
                <w:rFonts w:ascii="宋体" w:cs="宋体"/>
                <w:kern w:val="0"/>
                <w:szCs w:val="21"/>
              </w:rPr>
            </w:pPr>
          </w:p>
        </w:tc>
        <w:tc>
          <w:tcPr>
            <w:tcW w:w="829" w:type="dxa"/>
          </w:tcPr>
          <w:p w14:paraId="7788A092">
            <w:pPr>
              <w:widowControl/>
              <w:spacing w:line="580" w:lineRule="atLeast"/>
              <w:jc w:val="center"/>
              <w:rPr>
                <w:rFonts w:ascii="宋体" w:cs="宋体"/>
                <w:kern w:val="0"/>
                <w:szCs w:val="21"/>
              </w:rPr>
            </w:pPr>
          </w:p>
        </w:tc>
        <w:tc>
          <w:tcPr>
            <w:tcW w:w="617" w:type="dxa"/>
          </w:tcPr>
          <w:p w14:paraId="09076006">
            <w:pPr>
              <w:widowControl/>
              <w:spacing w:line="580" w:lineRule="atLeast"/>
              <w:jc w:val="center"/>
              <w:rPr>
                <w:rFonts w:ascii="宋体" w:cs="宋体"/>
                <w:kern w:val="0"/>
                <w:szCs w:val="21"/>
              </w:rPr>
            </w:pPr>
          </w:p>
        </w:tc>
        <w:tc>
          <w:tcPr>
            <w:tcW w:w="1104" w:type="dxa"/>
          </w:tcPr>
          <w:p w14:paraId="1BE74150">
            <w:pPr>
              <w:widowControl/>
              <w:spacing w:line="580" w:lineRule="atLeast"/>
              <w:jc w:val="center"/>
              <w:rPr>
                <w:rFonts w:ascii="宋体" w:cs="宋体"/>
                <w:kern w:val="0"/>
                <w:szCs w:val="21"/>
              </w:rPr>
            </w:pPr>
          </w:p>
        </w:tc>
      </w:tr>
    </w:tbl>
    <w:p w14:paraId="1B011448">
      <w:pPr>
        <w:jc w:val="center"/>
        <w:outlineLvl w:val="0"/>
        <w:rPr>
          <w:rFonts w:ascii="方正小标宋_GBK" w:hAnsi="Times New Roman" w:eastAsia="方正小标宋_GBK"/>
          <w:sz w:val="32"/>
          <w:szCs w:val="24"/>
        </w:rPr>
      </w:pPr>
    </w:p>
    <w:p w14:paraId="0D011109">
      <w:pPr>
        <w:autoSpaceDE w:val="0"/>
        <w:autoSpaceDN w:val="0"/>
        <w:adjustRightInd w:val="0"/>
        <w:jc w:val="left"/>
        <w:rPr>
          <w:rFonts w:ascii="黑体" w:hAnsi="黑体" w:eastAsia="黑体"/>
          <w:sz w:val="32"/>
          <w:szCs w:val="32"/>
        </w:rPr>
      </w:pPr>
    </w:p>
    <w:p w14:paraId="10ABD980">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14:paraId="6FC94153">
      <w:pPr>
        <w:ind w:firstLine="640" w:firstLineChars="200"/>
        <w:rPr>
          <w:rFonts w:ascii="仿宋" w:hAnsi="仿宋" w:eastAsia="仿宋" w:cs="仿宋"/>
          <w:sz w:val="32"/>
          <w:szCs w:val="32"/>
        </w:rPr>
      </w:pPr>
      <w:r>
        <w:rPr>
          <w:rFonts w:hint="eastAsia" w:ascii="仿宋" w:hAnsi="仿宋" w:eastAsia="仿宋" w:cs="仿宋"/>
          <w:sz w:val="32"/>
          <w:szCs w:val="32"/>
        </w:rPr>
        <w:t>我单位上年末固定资产金额为</w:t>
      </w:r>
      <w:r>
        <w:rPr>
          <w:rFonts w:ascii="仿宋" w:hAnsi="仿宋" w:eastAsia="仿宋" w:cs="仿宋"/>
          <w:sz w:val="32"/>
          <w:szCs w:val="32"/>
        </w:rPr>
        <w:t>2982.01</w:t>
      </w:r>
      <w:r>
        <w:rPr>
          <w:rFonts w:hint="eastAsia" w:ascii="仿宋" w:hAnsi="仿宋" w:eastAsia="仿宋" w:cs="仿宋"/>
          <w:sz w:val="32"/>
          <w:szCs w:val="32"/>
        </w:rPr>
        <w:t>万元（详见下表），本年度拟购置固定资产总额为</w:t>
      </w:r>
      <w:r>
        <w:rPr>
          <w:rFonts w:ascii="仿宋" w:hAnsi="仿宋" w:eastAsia="仿宋" w:cs="仿宋"/>
          <w:sz w:val="32"/>
          <w:szCs w:val="32"/>
        </w:rPr>
        <w:t>50</w:t>
      </w:r>
      <w:r>
        <w:rPr>
          <w:rFonts w:hint="eastAsia" w:ascii="仿宋" w:hAnsi="仿宋" w:eastAsia="仿宋" w:cs="仿宋"/>
          <w:sz w:val="32"/>
          <w:szCs w:val="32"/>
        </w:rPr>
        <w:t>万元。</w:t>
      </w:r>
    </w:p>
    <w:tbl>
      <w:tblPr>
        <w:tblStyle w:val="10"/>
        <w:tblW w:w="13482" w:type="dxa"/>
        <w:tblInd w:w="93" w:type="dxa"/>
        <w:tblLayout w:type="fixed"/>
        <w:tblCellMar>
          <w:top w:w="0" w:type="dxa"/>
          <w:left w:w="108" w:type="dxa"/>
          <w:bottom w:w="0" w:type="dxa"/>
          <w:right w:w="108" w:type="dxa"/>
        </w:tblCellMar>
      </w:tblPr>
      <w:tblGrid>
        <w:gridCol w:w="5224"/>
        <w:gridCol w:w="3155"/>
        <w:gridCol w:w="5103"/>
      </w:tblGrid>
      <w:tr w14:paraId="26DED0CC">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399DCDE9">
            <w:pPr>
              <w:widowControl/>
              <w:jc w:val="center"/>
              <w:rPr>
                <w:rFonts w:ascii="宋体" w:cs="宋体"/>
                <w:b/>
                <w:bCs/>
                <w:kern w:val="0"/>
                <w:sz w:val="32"/>
                <w:szCs w:val="32"/>
              </w:rPr>
            </w:pPr>
            <w:r>
              <w:rPr>
                <w:rFonts w:hint="eastAsia" w:ascii="宋体" w:hAnsi="宋体" w:cs="宋体"/>
                <w:b/>
                <w:bCs/>
                <w:kern w:val="0"/>
                <w:sz w:val="32"/>
                <w:szCs w:val="32"/>
              </w:rPr>
              <w:t>固定资产占用情况表</w:t>
            </w:r>
          </w:p>
        </w:tc>
      </w:tr>
      <w:tr w14:paraId="20F168E9">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4D4AB3F">
            <w:pPr>
              <w:widowControl/>
              <w:jc w:val="left"/>
              <w:rPr>
                <w:rFonts w:ascii="宋体" w:cs="宋体"/>
                <w:kern w:val="0"/>
                <w:sz w:val="22"/>
              </w:rPr>
            </w:pPr>
            <w:r>
              <w:rPr>
                <w:rFonts w:hint="eastAsia" w:ascii="宋体" w:hAnsi="宋体" w:cs="宋体"/>
                <w:kern w:val="0"/>
                <w:sz w:val="22"/>
              </w:rPr>
              <w:t>编制部门：河北鹿泉经济开发区管理委员会</w:t>
            </w:r>
          </w:p>
        </w:tc>
        <w:tc>
          <w:tcPr>
            <w:tcW w:w="5103" w:type="dxa"/>
            <w:tcBorders>
              <w:top w:val="nil"/>
              <w:left w:val="nil"/>
              <w:bottom w:val="nil"/>
              <w:right w:val="nil"/>
            </w:tcBorders>
            <w:vAlign w:val="center"/>
          </w:tcPr>
          <w:p w14:paraId="0F3C4FCC">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2018</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14:paraId="0FEF5C08">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6FA1C1F5">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3155" w:type="dxa"/>
            <w:tcBorders>
              <w:top w:val="single" w:color="auto" w:sz="4" w:space="0"/>
              <w:left w:val="nil"/>
              <w:bottom w:val="single" w:color="auto" w:sz="4" w:space="0"/>
              <w:right w:val="single" w:color="auto" w:sz="4" w:space="0"/>
            </w:tcBorders>
            <w:vAlign w:val="center"/>
          </w:tcPr>
          <w:p w14:paraId="7E1FE078">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2FDA548A">
            <w:pPr>
              <w:widowControl/>
              <w:jc w:val="center"/>
              <w:rPr>
                <w:rFonts w:ascii="宋体" w:cs="宋体"/>
                <w:b/>
                <w:bCs/>
                <w:kern w:val="0"/>
                <w:sz w:val="22"/>
              </w:rPr>
            </w:pPr>
            <w:r>
              <w:rPr>
                <w:rFonts w:hint="eastAsia" w:ascii="宋体" w:hAnsi="宋体" w:cs="宋体"/>
                <w:b/>
                <w:bCs/>
                <w:kern w:val="0"/>
                <w:sz w:val="22"/>
              </w:rPr>
              <w:t>价值（金额单位：万元）</w:t>
            </w:r>
          </w:p>
        </w:tc>
      </w:tr>
      <w:tr w14:paraId="2808AEF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673EE74">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14:paraId="71205889">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vAlign w:val="center"/>
          </w:tcPr>
          <w:p w14:paraId="5E3E516B">
            <w:pPr>
              <w:widowControl/>
              <w:jc w:val="center"/>
              <w:rPr>
                <w:rFonts w:ascii="Times New Roman" w:hAnsi="Times New Roman"/>
                <w:kern w:val="0"/>
                <w:sz w:val="22"/>
              </w:rPr>
            </w:pPr>
            <w:r>
              <w:rPr>
                <w:rFonts w:ascii="Times New Roman" w:hAnsi="Times New Roman"/>
                <w:kern w:val="0"/>
                <w:sz w:val="22"/>
              </w:rPr>
              <w:t>2982.01</w:t>
            </w:r>
          </w:p>
        </w:tc>
      </w:tr>
      <w:tr w14:paraId="152A9ED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D9E930B">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vAlign w:val="center"/>
          </w:tcPr>
          <w:p w14:paraId="23856F22">
            <w:pPr>
              <w:jc w:val="center"/>
              <w:rPr>
                <w:rFonts w:ascii="Times New Roman" w:hAnsi="Times New Roman"/>
                <w:sz w:val="22"/>
              </w:rPr>
            </w:pPr>
            <w:r>
              <w:rPr>
                <w:rFonts w:ascii="Times New Roman" w:hAnsi="Times New Roman"/>
                <w:sz w:val="22"/>
              </w:rPr>
              <w:t>16373.42</w:t>
            </w:r>
          </w:p>
        </w:tc>
        <w:tc>
          <w:tcPr>
            <w:tcW w:w="5103" w:type="dxa"/>
            <w:tcBorders>
              <w:top w:val="nil"/>
              <w:left w:val="nil"/>
              <w:bottom w:val="single" w:color="auto" w:sz="4" w:space="0"/>
              <w:right w:val="single" w:color="auto" w:sz="4" w:space="0"/>
            </w:tcBorders>
            <w:vAlign w:val="center"/>
          </w:tcPr>
          <w:p w14:paraId="1612999B">
            <w:pPr>
              <w:jc w:val="center"/>
              <w:rPr>
                <w:rFonts w:ascii="Times New Roman" w:hAnsi="Times New Roman"/>
                <w:sz w:val="22"/>
              </w:rPr>
            </w:pPr>
            <w:r>
              <w:rPr>
                <w:rFonts w:ascii="Times New Roman" w:hAnsi="Times New Roman"/>
                <w:sz w:val="22"/>
              </w:rPr>
              <w:t>1921.53</w:t>
            </w:r>
          </w:p>
        </w:tc>
      </w:tr>
      <w:tr w14:paraId="247A7C7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C999C17">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vAlign w:val="center"/>
          </w:tcPr>
          <w:p w14:paraId="452421F0">
            <w:pPr>
              <w:jc w:val="center"/>
              <w:rPr>
                <w:rFonts w:ascii="Times New Roman" w:hAnsi="Times New Roman"/>
                <w:sz w:val="22"/>
              </w:rPr>
            </w:pPr>
            <w:r>
              <w:rPr>
                <w:rFonts w:ascii="Times New Roman" w:hAnsi="Times New Roman"/>
                <w:sz w:val="22"/>
              </w:rPr>
              <w:t>16373.42</w:t>
            </w:r>
          </w:p>
        </w:tc>
        <w:tc>
          <w:tcPr>
            <w:tcW w:w="5103" w:type="dxa"/>
            <w:tcBorders>
              <w:top w:val="nil"/>
              <w:left w:val="nil"/>
              <w:bottom w:val="single" w:color="auto" w:sz="4" w:space="0"/>
              <w:right w:val="single" w:color="auto" w:sz="4" w:space="0"/>
            </w:tcBorders>
            <w:vAlign w:val="center"/>
          </w:tcPr>
          <w:p w14:paraId="17322965">
            <w:pPr>
              <w:jc w:val="center"/>
              <w:rPr>
                <w:rFonts w:ascii="Times New Roman" w:hAnsi="Times New Roman"/>
                <w:sz w:val="22"/>
              </w:rPr>
            </w:pPr>
            <w:r>
              <w:rPr>
                <w:rFonts w:ascii="Times New Roman" w:hAnsi="Times New Roman"/>
                <w:sz w:val="22"/>
              </w:rPr>
              <w:t>1921.53</w:t>
            </w:r>
          </w:p>
        </w:tc>
      </w:tr>
      <w:tr w14:paraId="2ABE521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762210A">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vAlign w:val="center"/>
          </w:tcPr>
          <w:p w14:paraId="1379C5A9">
            <w:pPr>
              <w:jc w:val="center"/>
              <w:rPr>
                <w:rFonts w:ascii="Times New Roman" w:hAnsi="Times New Roman"/>
                <w:sz w:val="22"/>
              </w:rPr>
            </w:pPr>
            <w:r>
              <w:rPr>
                <w:rFonts w:ascii="Times New Roman" w:hAnsi="Times New Roman"/>
                <w:sz w:val="22"/>
              </w:rPr>
              <w:t>8</w:t>
            </w:r>
          </w:p>
        </w:tc>
        <w:tc>
          <w:tcPr>
            <w:tcW w:w="5103" w:type="dxa"/>
            <w:tcBorders>
              <w:top w:val="nil"/>
              <w:left w:val="nil"/>
              <w:bottom w:val="single" w:color="auto" w:sz="4" w:space="0"/>
              <w:right w:val="single" w:color="auto" w:sz="4" w:space="0"/>
            </w:tcBorders>
            <w:vAlign w:val="center"/>
          </w:tcPr>
          <w:p w14:paraId="253B2F1A">
            <w:pPr>
              <w:jc w:val="center"/>
              <w:rPr>
                <w:rFonts w:ascii="Times New Roman" w:hAnsi="Times New Roman"/>
                <w:sz w:val="22"/>
              </w:rPr>
            </w:pPr>
            <w:r>
              <w:rPr>
                <w:rFonts w:ascii="Times New Roman" w:hAnsi="Times New Roman"/>
                <w:sz w:val="22"/>
              </w:rPr>
              <w:t>88.57</w:t>
            </w:r>
          </w:p>
        </w:tc>
      </w:tr>
      <w:tr w14:paraId="143F2B5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1FAFCCB">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vAlign w:val="center"/>
          </w:tcPr>
          <w:p w14:paraId="6292C65D">
            <w:pPr>
              <w:jc w:val="center"/>
              <w:rPr>
                <w:rFonts w:ascii="Times New Roman" w:hAnsi="Times New Roman"/>
                <w:sz w:val="22"/>
              </w:rPr>
            </w:pPr>
          </w:p>
        </w:tc>
        <w:tc>
          <w:tcPr>
            <w:tcW w:w="5103" w:type="dxa"/>
            <w:tcBorders>
              <w:top w:val="nil"/>
              <w:left w:val="nil"/>
              <w:bottom w:val="single" w:color="auto" w:sz="4" w:space="0"/>
              <w:right w:val="single" w:color="auto" w:sz="4" w:space="0"/>
            </w:tcBorders>
            <w:vAlign w:val="center"/>
          </w:tcPr>
          <w:p w14:paraId="34C16A4B">
            <w:pPr>
              <w:jc w:val="center"/>
              <w:rPr>
                <w:rFonts w:ascii="Times New Roman" w:hAnsi="Times New Roman"/>
                <w:sz w:val="22"/>
              </w:rPr>
            </w:pPr>
            <w:r>
              <w:rPr>
                <w:rFonts w:ascii="Times New Roman" w:hAnsi="Times New Roman"/>
                <w:sz w:val="22"/>
              </w:rPr>
              <w:t>0</w:t>
            </w:r>
          </w:p>
        </w:tc>
      </w:tr>
      <w:tr w14:paraId="41DCAB4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14A1B65">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vAlign w:val="center"/>
          </w:tcPr>
          <w:p w14:paraId="6E7CEFAB">
            <w:pPr>
              <w:jc w:val="center"/>
              <w:rPr>
                <w:rFonts w:ascii="Times New Roman" w:hAnsi="Times New Roman"/>
                <w:sz w:val="22"/>
              </w:rPr>
            </w:pPr>
          </w:p>
        </w:tc>
        <w:tc>
          <w:tcPr>
            <w:tcW w:w="5103" w:type="dxa"/>
            <w:tcBorders>
              <w:top w:val="nil"/>
              <w:left w:val="nil"/>
              <w:bottom w:val="single" w:color="auto" w:sz="4" w:space="0"/>
              <w:right w:val="single" w:color="auto" w:sz="4" w:space="0"/>
            </w:tcBorders>
            <w:vAlign w:val="center"/>
          </w:tcPr>
          <w:p w14:paraId="10E8C4E2">
            <w:pPr>
              <w:jc w:val="center"/>
              <w:rPr>
                <w:rFonts w:ascii="Times New Roman" w:hAnsi="Times New Roman"/>
                <w:sz w:val="22"/>
              </w:rPr>
            </w:pPr>
            <w:r>
              <w:rPr>
                <w:rFonts w:ascii="Times New Roman" w:hAnsi="Times New Roman"/>
                <w:sz w:val="22"/>
              </w:rPr>
              <w:t>971.91</w:t>
            </w:r>
          </w:p>
        </w:tc>
      </w:tr>
    </w:tbl>
    <w:p w14:paraId="477C6603">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14:paraId="0428A0BF">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w:t>
      </w:r>
      <w:r>
        <w:rPr>
          <w:rFonts w:hint="eastAsia" w:ascii="仿宋" w:hAnsi="仿宋" w:eastAsia="仿宋" w:cs="仿宋"/>
          <w:sz w:val="32"/>
          <w:szCs w:val="32"/>
          <w:lang w:val="en-US" w:eastAsia="zh-CN"/>
        </w:rPr>
        <w:t>区级</w:t>
      </w:r>
      <w:r>
        <w:rPr>
          <w:rFonts w:hint="eastAsia" w:ascii="仿宋" w:hAnsi="仿宋" w:eastAsia="仿宋" w:cs="仿宋"/>
          <w:sz w:val="32"/>
          <w:szCs w:val="32"/>
        </w:rPr>
        <w:t>财政当年拨付的资金。</w:t>
      </w:r>
    </w:p>
    <w:p w14:paraId="3080EC11">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14:paraId="6C73DECE">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14:paraId="12616949">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14:paraId="1D9BD56D">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14:paraId="5900B677">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14:paraId="3887ADB1">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w:t>
      </w:r>
      <w:r>
        <w:rPr>
          <w:rFonts w:hint="eastAsia" w:ascii="仿宋" w:hAnsi="仿宋" w:eastAsia="仿宋" w:cs="仿宋"/>
          <w:sz w:val="32"/>
          <w:szCs w:val="32"/>
          <w:lang w:val="en-US" w:eastAsia="zh-CN"/>
        </w:rPr>
        <w:t>区级</w:t>
      </w:r>
      <w:r>
        <w:rPr>
          <w:rFonts w:hint="eastAsia" w:ascii="仿宋" w:hAnsi="仿宋" w:eastAsia="仿宋" w:cs="仿宋"/>
          <w:sz w:val="32"/>
          <w:szCs w:val="32"/>
        </w:rPr>
        <w:t>财政预算管理的“三公”经费，是指</w:t>
      </w:r>
      <w:r>
        <w:rPr>
          <w:rFonts w:hint="eastAsia" w:ascii="仿宋" w:hAnsi="仿宋" w:eastAsia="仿宋" w:cs="仿宋"/>
          <w:sz w:val="32"/>
          <w:szCs w:val="32"/>
          <w:lang w:val="en-US" w:eastAsia="zh-CN"/>
        </w:rPr>
        <w:t>区级</w:t>
      </w:r>
      <w:r>
        <w:rPr>
          <w:rFonts w:hint="eastAsia" w:ascii="仿宋" w:hAnsi="仿宋"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B079030">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0482DBD7">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14:paraId="34CAA279">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14:paraId="78A9A5F5">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56966DE3">
      <w:pPr>
        <w:ind w:firstLine="640" w:firstLineChars="200"/>
        <w:rPr>
          <w:rFonts w:ascii="仿宋" w:hAnsi="仿宋" w:eastAsia="仿宋" w:cs="仿宋"/>
          <w:sz w:val="32"/>
          <w:szCs w:val="32"/>
        </w:rPr>
      </w:pPr>
      <w:r>
        <w:rPr>
          <w:rFonts w:hint="eastAsia" w:ascii="仿宋" w:hAnsi="仿宋" w:eastAsia="仿宋" w:cs="仿宋"/>
          <w:sz w:val="32"/>
          <w:szCs w:val="32"/>
        </w:rPr>
        <w:t>我单位</w:t>
      </w:r>
      <w:r>
        <w:rPr>
          <w:rFonts w:ascii="仿宋" w:hAnsi="仿宋" w:eastAsia="仿宋" w:cs="仿宋"/>
          <w:sz w:val="32"/>
          <w:szCs w:val="32"/>
        </w:rPr>
        <w:t>2019</w:t>
      </w:r>
      <w:r>
        <w:rPr>
          <w:rFonts w:hint="eastAsia" w:ascii="仿宋" w:hAnsi="仿宋" w:eastAsia="仿宋" w:cs="仿宋"/>
          <w:sz w:val="32"/>
          <w:szCs w:val="32"/>
        </w:rPr>
        <w:t>年无国有资本经营预算财政拨款支出，所以部门预算国有资本经营预算财政拨款支出表为空表。</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altName w:val="微软雅黑"/>
    <w:panose1 w:val="02000000000000000000"/>
    <w:charset w:val="86"/>
    <w:family w:val="roman"/>
    <w:pitch w:val="default"/>
    <w:sig w:usb0="00000000" w:usb1="00000000" w:usb2="00000000" w:usb3="00000000" w:csb0="00040000" w:csb1="00000000"/>
  </w:font>
  <w:font w:name="仿宋">
    <w:panose1 w:val="02010609060101010101"/>
    <w:charset w:val="86"/>
    <w:family w:val="roman"/>
    <w:pitch w:val="default"/>
    <w:sig w:usb0="800002BF" w:usb1="38CF7CFA" w:usb2="00000016" w:usb3="00000000" w:csb0="00040001" w:csb1="00000000"/>
  </w:font>
  <w:font w:name="方正仿宋_GBK">
    <w:altName w:val="微软雅黑"/>
    <w:panose1 w:val="02000000000000000000"/>
    <w:charset w:val="86"/>
    <w:family w:val="roman"/>
    <w:pitch w:val="default"/>
    <w:sig w:usb0="00000000" w:usb1="00000000" w:usb2="00000000" w:usb3="00000000" w:csb0="00040000" w:csb1="00000000"/>
  </w:font>
  <w:font w:name="方正楷体_GBK">
    <w:altName w:val="微软雅黑"/>
    <w:panose1 w:val="02000000000000000000"/>
    <w:charset w:val="86"/>
    <w:family w:val="roman"/>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书宋_GBK">
    <w:altName w:val="微软雅黑"/>
    <w:panose1 w:val="02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3632D581">
      <w:pPr>
        <w:pStyle w:val="7"/>
      </w:pPr>
      <w:r>
        <w:rPr>
          <w:rStyle w:val="14"/>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CD75E7"/>
    <w:multiLevelType w:val="singleLevel"/>
    <w:tmpl w:val="ABCD75E7"/>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2"/>
    <w:footnote w:id="3"/>
  </w:foot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IzNTI1YmNmZWI1OGFjZmM0MzhmZTMxN2NiYTUwOWEifQ=="/>
  </w:docVars>
  <w:rsids>
    <w:rsidRoot w:val="00F66032"/>
    <w:rsid w:val="00034786"/>
    <w:rsid w:val="00037AF6"/>
    <w:rsid w:val="00042F57"/>
    <w:rsid w:val="0006483E"/>
    <w:rsid w:val="00075D5F"/>
    <w:rsid w:val="0008102F"/>
    <w:rsid w:val="000B529B"/>
    <w:rsid w:val="000C3A19"/>
    <w:rsid w:val="00112B54"/>
    <w:rsid w:val="001245BB"/>
    <w:rsid w:val="001251A3"/>
    <w:rsid w:val="00165294"/>
    <w:rsid w:val="00167891"/>
    <w:rsid w:val="001A3F78"/>
    <w:rsid w:val="001B4EF3"/>
    <w:rsid w:val="001F6DD2"/>
    <w:rsid w:val="001F7873"/>
    <w:rsid w:val="00241FD4"/>
    <w:rsid w:val="00251B12"/>
    <w:rsid w:val="00296113"/>
    <w:rsid w:val="002A673A"/>
    <w:rsid w:val="002C07BE"/>
    <w:rsid w:val="002C5E13"/>
    <w:rsid w:val="002C62BC"/>
    <w:rsid w:val="002E0EB8"/>
    <w:rsid w:val="002F3E58"/>
    <w:rsid w:val="00300637"/>
    <w:rsid w:val="00304221"/>
    <w:rsid w:val="0030542C"/>
    <w:rsid w:val="00310161"/>
    <w:rsid w:val="00311B7A"/>
    <w:rsid w:val="003573EB"/>
    <w:rsid w:val="003603CA"/>
    <w:rsid w:val="00372FA3"/>
    <w:rsid w:val="003D417F"/>
    <w:rsid w:val="003F60E9"/>
    <w:rsid w:val="00420324"/>
    <w:rsid w:val="004248B8"/>
    <w:rsid w:val="00424943"/>
    <w:rsid w:val="0043175C"/>
    <w:rsid w:val="00437296"/>
    <w:rsid w:val="00451590"/>
    <w:rsid w:val="00451871"/>
    <w:rsid w:val="004526C0"/>
    <w:rsid w:val="004631FC"/>
    <w:rsid w:val="004706DE"/>
    <w:rsid w:val="00472923"/>
    <w:rsid w:val="00496109"/>
    <w:rsid w:val="004B0C3A"/>
    <w:rsid w:val="004D5788"/>
    <w:rsid w:val="004E28FD"/>
    <w:rsid w:val="004E3066"/>
    <w:rsid w:val="004E74CD"/>
    <w:rsid w:val="00516E04"/>
    <w:rsid w:val="00565588"/>
    <w:rsid w:val="00572067"/>
    <w:rsid w:val="00573562"/>
    <w:rsid w:val="005829E5"/>
    <w:rsid w:val="00590ECE"/>
    <w:rsid w:val="00592ADD"/>
    <w:rsid w:val="00593A8B"/>
    <w:rsid w:val="00602022"/>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087F"/>
    <w:rsid w:val="008A25C2"/>
    <w:rsid w:val="008A6576"/>
    <w:rsid w:val="008B3CC5"/>
    <w:rsid w:val="008B52CD"/>
    <w:rsid w:val="008D7023"/>
    <w:rsid w:val="008E0326"/>
    <w:rsid w:val="008E4261"/>
    <w:rsid w:val="008F4662"/>
    <w:rsid w:val="00905D08"/>
    <w:rsid w:val="00922AEB"/>
    <w:rsid w:val="00925753"/>
    <w:rsid w:val="009425F4"/>
    <w:rsid w:val="00966C5C"/>
    <w:rsid w:val="00970D1F"/>
    <w:rsid w:val="00973104"/>
    <w:rsid w:val="00995BF0"/>
    <w:rsid w:val="009A16D5"/>
    <w:rsid w:val="009A353D"/>
    <w:rsid w:val="009B0B77"/>
    <w:rsid w:val="009B511E"/>
    <w:rsid w:val="009C2E2E"/>
    <w:rsid w:val="00A44E3D"/>
    <w:rsid w:val="00A6041A"/>
    <w:rsid w:val="00A72D2E"/>
    <w:rsid w:val="00A74447"/>
    <w:rsid w:val="00A74CE5"/>
    <w:rsid w:val="00A911E7"/>
    <w:rsid w:val="00A939D9"/>
    <w:rsid w:val="00AC78FF"/>
    <w:rsid w:val="00B07D9E"/>
    <w:rsid w:val="00B20712"/>
    <w:rsid w:val="00B43238"/>
    <w:rsid w:val="00B45DD3"/>
    <w:rsid w:val="00B52632"/>
    <w:rsid w:val="00B727A9"/>
    <w:rsid w:val="00B75216"/>
    <w:rsid w:val="00B91D52"/>
    <w:rsid w:val="00B9490F"/>
    <w:rsid w:val="00BA1ACD"/>
    <w:rsid w:val="00BD09F8"/>
    <w:rsid w:val="00C11B74"/>
    <w:rsid w:val="00C625BC"/>
    <w:rsid w:val="00C62B44"/>
    <w:rsid w:val="00CA7176"/>
    <w:rsid w:val="00CB3D48"/>
    <w:rsid w:val="00CB4665"/>
    <w:rsid w:val="00CC75B0"/>
    <w:rsid w:val="00CD2773"/>
    <w:rsid w:val="00CE143B"/>
    <w:rsid w:val="00D0024A"/>
    <w:rsid w:val="00D27003"/>
    <w:rsid w:val="00DB4A9B"/>
    <w:rsid w:val="00E00196"/>
    <w:rsid w:val="00E167C7"/>
    <w:rsid w:val="00E2482E"/>
    <w:rsid w:val="00E73D47"/>
    <w:rsid w:val="00E76859"/>
    <w:rsid w:val="00EC0441"/>
    <w:rsid w:val="00EC47F6"/>
    <w:rsid w:val="00ED4605"/>
    <w:rsid w:val="00EE156D"/>
    <w:rsid w:val="00EE65B8"/>
    <w:rsid w:val="00F149E2"/>
    <w:rsid w:val="00F466AD"/>
    <w:rsid w:val="00F66032"/>
    <w:rsid w:val="00F87C1E"/>
    <w:rsid w:val="00F958C2"/>
    <w:rsid w:val="0ADD0974"/>
    <w:rsid w:val="26A03795"/>
    <w:rsid w:val="28DB4923"/>
    <w:rsid w:val="2DD76D51"/>
    <w:rsid w:val="35CB23D2"/>
    <w:rsid w:val="36801CC7"/>
    <w:rsid w:val="380A315B"/>
    <w:rsid w:val="39A4303A"/>
    <w:rsid w:val="45A40FAB"/>
    <w:rsid w:val="4D944EC4"/>
    <w:rsid w:val="4DBB05CF"/>
    <w:rsid w:val="7A3D2CBA"/>
    <w:rsid w:val="7B032161"/>
    <w:rsid w:val="F9D869F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11">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Balloon Text"/>
    <w:basedOn w:val="1"/>
    <w:link w:val="15"/>
    <w:qFormat/>
    <w:uiPriority w:val="99"/>
    <w:rPr>
      <w:sz w:val="18"/>
      <w:szCs w:val="18"/>
    </w:rPr>
  </w:style>
  <w:style w:type="paragraph" w:styleId="4">
    <w:name w:val="footer"/>
    <w:basedOn w:val="1"/>
    <w:link w:val="16"/>
    <w:qFormat/>
    <w:uiPriority w:val="99"/>
    <w:pPr>
      <w:tabs>
        <w:tab w:val="center" w:pos="4153"/>
        <w:tab w:val="right" w:pos="8306"/>
      </w:tabs>
      <w:snapToGrid w:val="0"/>
      <w:jc w:val="left"/>
    </w:pPr>
    <w:rPr>
      <w:rFonts w:ascii="Times New Roman" w:hAnsi="Times New Roman"/>
      <w:sz w:val="18"/>
      <w:szCs w:val="18"/>
    </w:rPr>
  </w:style>
  <w:style w:type="paragraph" w:styleId="5">
    <w:name w:val="header"/>
    <w:basedOn w:val="1"/>
    <w:link w:val="17"/>
    <w:qFormat/>
    <w:uiPriority w:val="99"/>
    <w:pPr>
      <w:pBdr>
        <w:bottom w:val="single" w:color="auto" w:sz="6" w:space="1"/>
      </w:pBdr>
      <w:tabs>
        <w:tab w:val="center" w:pos="4153"/>
        <w:tab w:val="right" w:pos="8306"/>
      </w:tabs>
      <w:snapToGrid w:val="0"/>
      <w:jc w:val="center"/>
    </w:pPr>
    <w:rPr>
      <w:rFonts w:ascii="Times New Roman" w:hAnsi="Times New Roman"/>
      <w:sz w:val="18"/>
      <w:szCs w:val="18"/>
    </w:rPr>
  </w:style>
  <w:style w:type="paragraph" w:styleId="6">
    <w:name w:val="toc 1"/>
    <w:basedOn w:val="1"/>
    <w:next w:val="1"/>
    <w:qFormat/>
    <w:uiPriority w:val="99"/>
    <w:rPr>
      <w:rFonts w:ascii="Times New Roman" w:hAnsi="Times New Roman"/>
      <w:szCs w:val="24"/>
    </w:rPr>
  </w:style>
  <w:style w:type="paragraph" w:styleId="7">
    <w:name w:val="footnote text"/>
    <w:basedOn w:val="1"/>
    <w:link w:val="18"/>
    <w:qFormat/>
    <w:uiPriority w:val="99"/>
    <w:pPr>
      <w:snapToGrid w:val="0"/>
      <w:jc w:val="left"/>
    </w:pPr>
    <w:rPr>
      <w:sz w:val="18"/>
      <w:szCs w:val="18"/>
    </w:rPr>
  </w:style>
  <w:style w:type="paragraph" w:styleId="8">
    <w:name w:val="toc 2"/>
    <w:basedOn w:val="1"/>
    <w:next w:val="1"/>
    <w:qFormat/>
    <w:uiPriority w:val="99"/>
    <w:pPr>
      <w:ind w:left="420" w:leftChars="200"/>
    </w:pPr>
    <w:rPr>
      <w:rFonts w:ascii="Times New Roman" w:hAnsi="Times New Roman"/>
      <w:szCs w:val="24"/>
    </w:rPr>
  </w:style>
  <w:style w:type="paragraph" w:styleId="9">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12">
    <w:name w:val="page number"/>
    <w:basedOn w:val="11"/>
    <w:qFormat/>
    <w:uiPriority w:val="99"/>
    <w:rPr>
      <w:rFonts w:cs="Times New Roman"/>
    </w:rPr>
  </w:style>
  <w:style w:type="character" w:styleId="13">
    <w:name w:val="Hyperlink"/>
    <w:basedOn w:val="11"/>
    <w:qFormat/>
    <w:uiPriority w:val="99"/>
    <w:rPr>
      <w:rFonts w:cs="Times New Roman"/>
      <w:color w:val="0000FF"/>
      <w:u w:val="single"/>
    </w:rPr>
  </w:style>
  <w:style w:type="character" w:styleId="14">
    <w:name w:val="footnote reference"/>
    <w:basedOn w:val="11"/>
    <w:qFormat/>
    <w:uiPriority w:val="99"/>
    <w:rPr>
      <w:rFonts w:cs="Times New Roman"/>
      <w:vertAlign w:val="superscript"/>
    </w:rPr>
  </w:style>
  <w:style w:type="character" w:customStyle="1" w:styleId="15">
    <w:name w:val="Balloon Text Char"/>
    <w:basedOn w:val="11"/>
    <w:link w:val="3"/>
    <w:semiHidden/>
    <w:qFormat/>
    <w:locked/>
    <w:uiPriority w:val="99"/>
    <w:rPr>
      <w:rFonts w:cs="Times New Roman"/>
      <w:sz w:val="18"/>
      <w:szCs w:val="18"/>
    </w:rPr>
  </w:style>
  <w:style w:type="character" w:customStyle="1" w:styleId="16">
    <w:name w:val="Footer Char"/>
    <w:basedOn w:val="11"/>
    <w:link w:val="4"/>
    <w:qFormat/>
    <w:locked/>
    <w:uiPriority w:val="99"/>
    <w:rPr>
      <w:rFonts w:ascii="Times New Roman" w:hAnsi="Times New Roman" w:eastAsia="宋体" w:cs="Times New Roman"/>
      <w:sz w:val="18"/>
      <w:szCs w:val="18"/>
    </w:rPr>
  </w:style>
  <w:style w:type="character" w:customStyle="1" w:styleId="17">
    <w:name w:val="Header Char"/>
    <w:basedOn w:val="11"/>
    <w:link w:val="5"/>
    <w:qFormat/>
    <w:locked/>
    <w:uiPriority w:val="99"/>
    <w:rPr>
      <w:rFonts w:ascii="Times New Roman" w:hAnsi="Times New Roman" w:eastAsia="宋体" w:cs="Times New Roman"/>
      <w:sz w:val="18"/>
      <w:szCs w:val="18"/>
    </w:rPr>
  </w:style>
  <w:style w:type="character" w:customStyle="1" w:styleId="18">
    <w:name w:val="Footnote Text Char"/>
    <w:basedOn w:val="11"/>
    <w:link w:val="7"/>
    <w:semiHidden/>
    <w:qFormat/>
    <w:locked/>
    <w:uiPriority w:val="99"/>
    <w:rPr>
      <w:rFonts w:ascii="Calibri" w:hAnsi="Calibri" w:eastAsia="宋体" w:cs="Times New Roman"/>
      <w:sz w:val="18"/>
      <w:szCs w:val="18"/>
    </w:rPr>
  </w:style>
  <w:style w:type="paragraph" w:customStyle="1" w:styleId="19">
    <w:name w:val="Default"/>
    <w:qForma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20">
    <w:name w:val="Char Char2"/>
    <w:basedOn w:val="11"/>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24</Pages>
  <Words>10576</Words>
  <Characters>11848</Characters>
  <Lines>0</Lines>
  <Paragraphs>0</Paragraphs>
  <TotalTime>19</TotalTime>
  <ScaleCrop>false</ScaleCrop>
  <LinksUpToDate>false</LinksUpToDate>
  <CharactersWithSpaces>11924</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2019-03-04T10:06:00Z</dcterms:created>
  <dc:creator>guest</dc:creator>
  <cp:lastModifiedBy>Lenovo</cp:lastModifiedBy>
  <cp:lastPrinted>2017-11-09T09:12:00Z</cp:lastPrinted>
  <dcterms:modified xsi:type="dcterms:W3CDTF">2024-11-25T08:05:15Z</dcterms:modified>
  <dc:title>河北省财政厅2019年部门预算信息公开情况说明</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46F3C5D996004F24805F4D88AA75CBFE</vt:lpwstr>
  </property>
</Properties>
</file>