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14:textOutline w14:w="5270" w14:cap="flat" w14:cmpd="sng" w14:algn="ctr">
            <w14:solidFill>
              <w14:srgbClr w14:val="7D7D7D">
                <w14:tint w14:val="100000"/>
                <w14:shade w14:val="100000"/>
                <w14:satMod w14:val="110000"/>
              </w14:srgbClr>
            </w14:solidFill>
            <w14:prstDash w14:val="solid"/>
            <w14:round/>
          </w14:textOutline>
        </w:rPr>
      </w:pPr>
      <w:r>
        <w:rPr>
          <w:sz w:val="72"/>
        </w:rPr>
        <mc:AlternateContent>
          <mc:Choice Requires="wps">
            <w:drawing>
              <wp:anchor distT="0" distB="0" distL="114300" distR="114300" simplePos="0" relativeHeight="251638784"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t>石家庄市鹿泉区安监局</w:t>
                            </w: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fill on="f" focussize="0,0"/>
                <v:stroke on="f" weight="0.5pt"/>
                <v:imagedata o:title=""/>
                <o:lock v:ext="edit" aspectratio="f"/>
                <v:textbox>
                  <w:txbxContent>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lang w:eastAsia="zh-CN"/>
                          <w14:shadow w14:blurRad="38100" w14:dist="22860" w14:dir="5400000" w14:sx="100000" w14:sy="100000" w14:kx="0" w14:ky="0" w14:algn="tl">
                            <w14:srgbClr w14:val="000000">
                              <w14:alpha w14:val="70000"/>
                            </w14:srgbClr>
                          </w14:shadow>
                          <w14:props3d w14:extrusionH="0" w14:contourW="0" w14:prstMaterial="clear"/>
                        </w:rPr>
                        <w:t>石家庄市鹿泉区安监局</w:t>
                      </w: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w:t>
                      </w:r>
                    </w:p>
                    <w:p>
                      <w:pP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p>
                  </w:txbxContent>
                </v:textbox>
              </v:shape>
            </w:pict>
          </mc:Fallback>
        </mc:AlternateConten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hint="eastAsia"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w:t>
      </w:r>
      <w:r>
        <w:rPr>
          <w:rFonts w:hint="eastAsia" w:ascii="楷体_GB2312" w:hAnsi="楷体" w:eastAsia="楷体_GB2312" w:cs="楷体"/>
          <w:b/>
          <w:sz w:val="40"/>
          <w:szCs w:val="40"/>
          <w:lang w:eastAsia="zh-CN"/>
        </w:rPr>
        <w:t>二十四</w:t>
      </w:r>
      <w:r>
        <w:rPr>
          <w:rFonts w:hint="eastAsia" w:ascii="楷体_GB2312" w:hAnsi="楷体" w:eastAsia="楷体_GB2312" w:cs="楷体"/>
          <w:b/>
          <w:sz w:val="40"/>
          <w:szCs w:val="40"/>
        </w:rPr>
        <w:t>日</w:t>
      </w:r>
    </w:p>
    <w:p>
      <w:pPr>
        <w:spacing w:before="624"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55168" behindDoc="0" locked="1" layoutInCell="1" allowOverlap="0">
                <wp:simplePos x="0" y="0"/>
                <wp:positionH relativeFrom="column">
                  <wp:posOffset>-1026160</wp:posOffset>
                </wp:positionH>
                <wp:positionV relativeFrom="page">
                  <wp:posOffset>507365</wp:posOffset>
                </wp:positionV>
                <wp:extent cx="3175635" cy="593090"/>
                <wp:effectExtent l="3175" t="0" r="2540" b="16510"/>
                <wp:wrapNone/>
                <wp:docPr id="179" name="组合 179"/>
                <wp:cNvGraphicFramePr/>
                <a:graphic xmlns:a="http://schemas.openxmlformats.org/drawingml/2006/main">
                  <a:graphicData uri="http://schemas.microsoft.com/office/word/2010/wordprocessingGroup">
                    <wpg:wgp>
                      <wpg:cNvGrpSpPr/>
                      <wpg:grpSpPr>
                        <a:xfrm>
                          <a:off x="0" y="0"/>
                          <a:ext cx="3175635" cy="593090"/>
                          <a:chOff x="4551" y="52615"/>
                          <a:chExt cx="8546" cy="1398"/>
                        </a:xfrm>
                      </wpg:grpSpPr>
                      <wps:wsp>
                        <wps:cNvPr id="1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95pt;height:46.7pt;width:250.05pt;mso-position-vertical-relative:page;z-index:251655168;mso-width-relative:page;mso-height-relative:page;" coordorigin="4551,52615" coordsize="8546,1398"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ADyojyoDAADyCAAADgAAAGRycy9lMm9Eb2MueG1s&#10;7VbLbhMxFN0j8Q+W93Rmkpk8Rk2q0JAKqdBKBbF2PJ6H5LGN7XRS1ixY8gdI7PgGxOdU/AbXnkma&#10;lErQglihSBM/7+Pcc+7M4dG65uiSaVNJMcHRQYgRE1RmlSgm+PWrxZMRRsYSkREuBZvgK2bw0fTx&#10;o8NGpawnS8kzphEYESZt1ASX1qo0CAwtWU3MgVRMwGYudU0sTHURZJo0YL3mQS8MB0Ejdaa0pMwY&#10;WJ23m3jq7ec5o/Yszw2ziE8wxGb9U/vn0j2D6SFJC01UWdEuDPKAKGpSCXC6NTUnlqCVrn4yVVdU&#10;SyNze0BlHcg8ryjzOUA2UXgrmxMtV8rnUqRNobYwAbS3cHqwWfry8lyjKoPaDccYCVJDkb5/fX/9&#10;8QNyK4BPo4oUjp1odaHOdbdQtDOX8jrXtfuHZNDaI3u1RZatLaKw2I+GyaCfYERhLxn3w3EHPS2h&#10;Pu5anCQRRm63N4iSti60fNbdHyXxoL0c9ccjtxtsHAcuvm04jQIemRuozJ9BdVESxXwFjMNgA9UI&#10;qNRB9enL9bfPKOq3SPlTW5hMagCxOzC6K9kNVDupAmh7qZJUaWNPmKyRG0ywBn572pHLU2NbVDZH&#10;nFsjeZUtKs79RBfLY67RJQEtzMfu5+/yVf1CZu3yKAlDXxmA17TnPdR7hrhAzQT3khiOIkpAtTkn&#10;Foa1Ah4ZUWBEeAHtgFrtPQjpYoDw2gTmxJStO2+2S5EL8OTK12LmRkuZXQHkWrayNYouKsj7lBh7&#10;TjToFPxD77Fn8Mi5hKBkN8KolPrdXevuPHACdjFqQPcQ8NsV0Qwj/lwAW8ZRHLtG4SdxMuzBRO/u&#10;LHd3xKo+lgAnUBei80N33vLNMNeyfgMtaua8whYRFHy30HSTY9v2I2hylM1m/hg0B0XsqbhQ1Bl3&#10;yAk5W1mZV77MN+h0oAHnnVL/Cfkh2X3yx/ck/3DYKX20aQNb8vd7cafzqOc1tdX5XyT/bB6GvXnH&#10;O8/BjUbuTe29251iWm4/DYeDaOFLZ0qSsXbV6euXAnMS/m2R2PVy7Zvyf73cVy/+1QEvVt/iuo8A&#10;9+benXt93Xyq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2DzDVNsAAAALAQAADwAAAAAAAAAB&#10;ACAAAAAiAAAAZHJzL2Rvd25yZXYueG1sUEsBAhQAFAAAAAgAh07iQAA8qI8qAwAA8ggAAA4AAAAA&#10;AAAAAQAgAAAAKg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V2GoBr8AAADc&#10;AAAADwAAAGRycy9kb3ducmV2LnhtbEWPT2/CMAzF75P2HSJP2m0kncQfFQIHBNq00wZIXE1j2tLG&#10;qZIM2LefD5N2s/We3/t5sbr7Xl0ppjawhWJkQBFXwbVcWzjsty8zUCkjO+wDk4UfSrBaPj4ssHTh&#10;xl903eVaSQinEi00OQ+l1qlqyGMahYFYtHOIHrOssdYu4k3Cfa9fjZlojy1LQ4MDrRuqut23t9Ad&#10;pp+tWb9djh/dZBw3xWk6jidrn58KMweV6Z7/zX/X707wZ4Ivz8gEevk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dhqAa/&#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VJfCbsAAADc&#10;AAAADwAAAGRycy9kb3ducmV2LnhtbEVPyWrDMBC9B/oPYgK9xZJ7SI0bJZBASo9p0uU6WBPbxBoZ&#10;SV7y91Wh0Ns83jqb3Ww7MZIPrWMNeaZAEFfOtFxr+LgcVwWIEJENdo5Jw50C7LYPiw2Wxk38TuM5&#10;1iKFcChRQxNjX0oZqoYshsz1xIm7Om8xJuhraTxOKdx28kmptbTYcmposKdDQ9XtPFgN69P+4KpL&#10;8frlv1t1csPxXjx/av24zNULiEhz/Bf/ud9Mml/k8PtMukBuf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VJfCbsAAADc&#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lang w:bidi="ar"/>
                          </w:rPr>
                          <w:t>2018年度部门决算☞目 录</w:t>
                        </w:r>
                      </w:p>
                      <w:p>
                        <w:pPr>
                          <w:jc w:val="center"/>
                        </w:pPr>
                      </w:p>
                    </w:txbxContent>
                  </v:textbox>
                </v:rect>
                <w10:anchorlock/>
              </v:group>
            </w:pict>
          </mc:Fallback>
        </mc:AlternateConten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lang w:eastAsia="zh-CN"/>
        </w:rPr>
        <w:t>石家庄市鹿泉区安全生产监督管理局</w:t>
      </w:r>
      <w:r>
        <w:rPr>
          <w:rFonts w:eastAsia="黑体"/>
          <w:sz w:val="32"/>
          <w:szCs w:val="32"/>
        </w:rPr>
        <w:t>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54144" behindDoc="0" locked="1" layoutInCell="1" allowOverlap="1">
                <wp:simplePos x="0" y="0"/>
                <wp:positionH relativeFrom="column">
                  <wp:posOffset>-1026160</wp:posOffset>
                </wp:positionH>
                <wp:positionV relativeFrom="page">
                  <wp:posOffset>494665</wp:posOffset>
                </wp:positionV>
                <wp:extent cx="2829560" cy="593090"/>
                <wp:effectExtent l="3810" t="0" r="5080" b="16510"/>
                <wp:wrapNone/>
                <wp:docPr id="176" name="组合 176"/>
                <wp:cNvGraphicFramePr/>
                <a:graphic xmlns:a="http://schemas.openxmlformats.org/drawingml/2006/main">
                  <a:graphicData uri="http://schemas.microsoft.com/office/word/2010/wordprocessingGroup">
                    <wpg:wgp>
                      <wpg:cNvGrpSpPr/>
                      <wpg:grpSpPr>
                        <a:xfrm>
                          <a:off x="0" y="0"/>
                          <a:ext cx="2829560" cy="593090"/>
                          <a:chOff x="4551" y="52615"/>
                          <a:chExt cx="8546" cy="1398"/>
                        </a:xfrm>
                      </wpg:grpSpPr>
                      <wps:wsp>
                        <wps:cNvPr id="17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7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8.95pt;height:46.7pt;width:222.8pt;mso-position-vertical-relative:page;z-index:251654144;mso-width-relative:page;mso-height-relative:page;" coordorigin="4551,52615" coordsize="8546,1398"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nJDC1CwDAADyCAAADgAAAGRycy9lMm9Eb2MueG1s&#10;7VbNbtQwEL4j8Q5W7jQ/m+xP1N1q6bIVUqGVCuLsdZwfybGN7d1sOXPgyBsgceMZEI9T8RqMnWy6&#10;LZWgRXBCK2Vtz3h+vplvksOjbc3QhipdCT71woPAQ5QTkVW8mHqvXy2fjD2kDeYZZoLTqXdJtXc0&#10;e/zosJEpjUQpWEYVAiNcp42ceqUxMvV9TUpaY30gJOUgzIWqsYGtKvxM4Qas18yPgmDoN0JlUglC&#10;tYbTRSv0Zs5+nlNizvJcU4PY1IPYjHsq91zZpz87xGmhsCwr0oWBHxBFjSsOTntTC2wwWqvqJ1N1&#10;RZTQIjcHRNS+yPOKUJcDZBMGt7I5UWItXS5F2hSyhwmgvYXTg82Sl5tzhaoMajcaeojjGor0/ev7&#10;q48fkD0BfBpZpKB2ouSFPFfdQdHubMrbXNX2H5JBW4fsZY8s3RpE4DAaR5NkCAUgIEsmg2DSQU9K&#10;qI+9FidJ6CErjYZh0taFlM+6++Mkhujs5XAwGVupv3Ps2/j6cBoJfaSvodJ/BtVFiSV1FdAWgx6q&#10;UQ/Vpy9X3z6jcNAi5bR6mHSqAbE7MLor2R1Ue6mGIwdEnypOpdLmhIoa2cXUU9Dfru3w5lSbFpWd&#10;inWrBauyZcWY26hidcwU2mDgwmJif+4uW9cvRNYej5MgcJUBn7rVd1DfMMQ4aqCkSQyqiGBgbc6w&#10;gWUtoY80LzyEWQHjgBjlPHBhY4Dw2gQWWJetO2e2qybj4MmWr8XMrlYiuwTIlWhpqyVZVpD3Kdbm&#10;HCvgKfiH2WPO4JEzAUGJbuWhUqh3d51bfegJkHqoAd5DwG/XWFEPseccumUSxrEdFG4TJ6MINmpf&#10;stqX8HV9LABOaF2Izi2tvmG7Za5E/QZG1Nx6BRHmBHy30HSbY9POIxhyhM7nTg2Gg8TmlF9IYo1b&#10;5LiYr43IK1fma3Q60KDnLVP/SfPDSO/mRNf88T2bfwT0cUwf78ZA3/yDKO54HkaOU3+j+eeLIIgW&#10;Xd+5Htxx5N6tfeN2x5i2t58Go2G4dKXTJc5oe2r59UuCWQr/NknMdrV1Q/k/X+7LF/fqgBerG3Hd&#10;R4B9c+/vHb+uP1VmP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DezVw+2wAAAAsBAAAPAAAAAAAA&#10;AAEAIAAAACIAAABkcnMvZG93bnJldi54bWxQSwECFAAUAAAACACHTuJAnJDC1CwDAADyCAAADgAA&#10;AAAAAAABACAAAAAqAQAAZHJzL2Uyb0RvYy54bWxQSwUGAAAAAAYABgBZAQAAy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7V1AVbsAAADc&#10;AAAADwAAAGRycy9kb3ducmV2LnhtbEVPS2sCMRC+F/wPYYTearIFXVmNHsRi8dSq4HXcjLvrbiZL&#10;El//vikUepuP7znz5cN24kY+NI41ZCMFgrh0puFKw2H/8TYFESKywc4xaXhSgOVi8DLHwrg7f9Nt&#10;FyuRQjgUqKGOsS+kDGVNFsPI9cSJOztvMSboK2k83lO47eS7UhNpseHUUGNPq5rKdne1GtpD/tWo&#10;1eZy3LaTsV9np3zsT1q/DjM1AxHpEf/Ff+5Pk+bnOfw+ky6Qix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7V1AVbsAAADc&#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b2Gs70AAADc&#10;AAAADwAAAGRycy9kb3ducmV2LnhtbEWPzW4CMQyE70h9h8iVuEECB1htCUhFouJIgbZXa2N2V2yc&#10;VRL+3h4fKnGzNeOZz4vV3XfqSjG1gS1MxgYUcRVcy7WF42EzKkCljOywC0wWHpRgtXwbLLB04cbf&#10;dN3nWkkIpxItNDn3pdapashjGoeeWLRTiB6zrLHWLuJNwn2np8bMtMeWpaHBntYNVef9xVuY7T7X&#10;oToUX7/xrzW7cNk8ivmPtcP3ifkAlemeX+b/660T/LnQyjMygV4+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xvYazvQAA&#10;ANw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2018年度部门决算☞目 录</w:t>
                        </w:r>
                      </w:p>
                      <w:p>
                        <w:pPr>
                          <w:jc w:val="center"/>
                        </w:pPr>
                      </w:p>
                    </w:txbxContent>
                  </v:textbox>
                </v:rect>
                <w10:anchorlock/>
              </v:group>
            </w:pict>
          </mc:Fallback>
        </mc:AlternateConten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52096"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fill on="f" focussize="0,0"/>
                <v:stroke on="f" weight="0.5pt"/>
                <v:imagedata o:title=""/>
                <o:lock v:ext="edit" aspectratio="f"/>
                <v:textbox>
                  <w:txbxContent>
                    <w:p>
                      <w:pPr>
                        <w:widowControl/>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第一部分  部门概况</w:t>
                      </w:r>
                    </w:p>
                  </w:txbxContent>
                </v:textbox>
              </v:shape>
            </w:pict>
          </mc:Fallback>
        </mc:AlternateConten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40832"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15" name="组合 15"/>
                <wp:cNvGraphicFramePr/>
                <a:graphic xmlns:a="http://schemas.openxmlformats.org/drawingml/2006/main">
                  <a:graphicData uri="http://schemas.microsoft.com/office/word/2010/wordprocessingGroup">
                    <wpg:wgp>
                      <wpg:cNvGrpSpPr/>
                      <wpg:grpSpPr>
                        <a:xfrm>
                          <a:off x="0" y="0"/>
                          <a:ext cx="3114675" cy="592957"/>
                          <a:chOff x="4551" y="52615"/>
                          <a:chExt cx="8546" cy="1398"/>
                        </a:xfrm>
                      </wpg:grpSpPr>
                      <wps:wsp>
                        <wps:cNvPr id="1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40832;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VhVF7ykDAADuCAAADgAAAGRycy9lMm9Eb2MueG1s&#10;7VbLbhMxFN0j8Q+W93Qemclj1BSFhlZIBSoVxNrxeB6Sxza200lZs2DJHyCx4xsQn4P4Da7tSRpK&#10;JZ5ihSJN/Li+j+Nz7szh/U3H0SXTppVijpODGCMmqCxbUc/x82cn96YYGUtESbgUbI6vmMH3j+7e&#10;OexVwVLZSF4yjcCJMEWv5rixVhVRZGjDOmIOpGICNiupO2Jhquuo1KQH7x2P0jgeR73UpdKSMmNg&#10;dRk28ZH3X1WM2qdVZZhFfI4hN+uf2j9X7hkdHZKi1kQ1LR3SIL+RRUdaAUF3rpbEErTW7XeuupZq&#10;aWRlD6jsIllVLWW+BqgmiW9Uc6rlWvla6qKv1Q4mgPYGTr/tlj65PNeoLeHucowE6eCOvnx8/fnt&#10;GwQLgE6v6gKMTrW6UOd6WKjDzBW8qXTn/qEUtPG4Xu1wZRuLKCyOkiQbT8A/hb18ls7ySQCeNnA7&#10;7liW5wlGbjcdh7ikoM3D4fw0z8bhcDKaTd3RaBs4cvnt0ukVsMhcA2X+DKiLhijm8TcOgy1Qox1Q&#10;7z58/vQeJaMAlDfaoWQKA4DdAtFttW6R2qs0AcD2KyWF0saeMtkhN5hjDeT2nCOXZ8YG062JC2sk&#10;b8uTlnM/0fXqmGt0SUAIy5n7+bN83T2WZVie5nHsFQHommDvkf7GEReon+M0z8AUUQKSrTixMOwU&#10;kMiIGiPCa+gF1GofQUiXA6QXClgS04Rw3u1QIhcQyd1ewMyNVrK8AsS1DJo1ip60UPcZMfacaBAp&#10;xIfGY5/Co+ISkpLDCKNG6le3rTt7oATsYtSD6CHhl2uiGUb8kQCyzJIsc13CT7J8ksJE7++s9nfE&#10;ujuWACcwF7LzQ2dv+XZYadm9gP60cFFhiwgKsQM0w+TYhmYEHY6yxcKbQWdQxJ6JC0Wdc4eckIu1&#10;lVXrr/kanQE0oLwT6r/gfnaT+9kvcn8yGXQ+nQ3dd8f9UQreXYtIktRLaqfyv8j9xTKO0+VAO0/B&#10;rUR+mdnfnB4EE6j9IJ6MkxN/c6YhJQurTl4/1JdT8E9rxG5WG1DWNSH+y+Vn5eJfHPBS9R1u+ABw&#10;b+39uZfX9WfK0V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gydQQ2wAAAAsBAAAPAAAAAAAAAAEA&#10;IAAAACIAAABkcnMvZG93bnJldi54bWxQSwECFAAUAAAACACHTuJAVhVF7ykDAADuCAAADgAAAAAA&#10;AAABACAAAAAqAQAAZHJzL2Uyb0RvYy54bWxQSwUGAAAAAAYABgBZAQAAxQYAAAAA&#10;">
                <o:lock v:ext="edit" aspectratio="f"/>
                <v:rect id="_x0000_s1026" o:spid="_x0000_s1026" o:spt="1" style="position:absolute;left:4551;top:52615;height:1175;width:8546;v-text-anchor:middle;" fillcolor="#D9D9D9 [2732]" filled="t" stroked="f" coordsize="21600,21600" o:gfxdata="UEsDBAoAAAAAAIdO4kAAAAAAAAAAAAAAAAAEAAAAZHJzL1BLAwQUAAAACACHTuJAHZ4qXLsAAADb&#10;AAAADwAAAGRycy9kb3ducmV2LnhtbEVPS2sCMRC+C/6HMEJvmmyLD1ajB7FYerJW8Dpuxt11N5Ml&#10;iY/++0Yo9DYf33MWq4dtxY18qB1ryEYKBHHhTM2lhsP3+3AGIkRkg61j0vBDAVbLfm+BuXF3/qLb&#10;PpYihXDIUUMVY5dLGYqKLIaR64gTd3beYkzQl9J4vKdw28pXpSbSYs2pocKO1hUVzf5qNTSH6a5W&#10;6+3l+NlMxn6TnaZjf9L6ZZCpOYhIj/gv/nN/mDT/DZ6/p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Z4qX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_x0000_s1026" o:spid="_x0000_s1026" o:spt="1" style="position:absolute;left:4577;top:52890;height:1123;width:8324;v-text-anchor:middle;" fillcolor="#AD002D" filled="t" stroked="t" coordsize="21600,21600" o:gfxdata="UEsDBAoAAAAAAIdO4kAAAAAAAAAAAAAAAAAEAAAAZHJzL1BLAwQUAAAACACHTuJAG972HrkAAADb&#10;AAAADwAAAGRycy9kb3ducmV2LnhtbEVPS4vCMBC+C/sfwix4s4mLaOkahRUUj7529zo0Y1tsJiWJ&#10;r39vBMHbfHzPmc5vthUX8qFxrGGYKRDEpTMNVxoO++UgBxEissHWMWm4U4D57KM3xcK4K2/psouV&#10;SCEcCtRQx9gVUoayJoshcx1x4o7OW4wJ+koaj9cUblv5pdRYWmw4NdTY0aKm8rQ7Ww3jzc/Clft8&#10;9ef/G7Vx5+U9n/xq3f8cqm8QkW7xLX651ybNH8Hzl3SAnD0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Bve9h6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pPr>
        <w:rPr>
          <w:rFonts w:ascii="仿宋" w:hAnsi="仿宋" w:eastAsia="仿宋"/>
          <w:sz w:val="32"/>
          <w:szCs w:val="32"/>
        </w:rPr>
      </w:pPr>
      <w:r>
        <w:rPr>
          <w:rFonts w:hint="eastAsia" w:ascii="仿宋" w:hAnsi="仿宋" w:eastAsia="仿宋"/>
          <w:sz w:val="32"/>
          <w:szCs w:val="32"/>
        </w:rPr>
        <w:t>（一）部门职责</w:t>
      </w:r>
    </w:p>
    <w:p>
      <w:pPr>
        <w:ind w:firstLine="640" w:firstLineChars="200"/>
        <w:rPr>
          <w:rFonts w:ascii="仿宋" w:hAnsi="仿宋" w:eastAsia="仿宋"/>
          <w:sz w:val="32"/>
          <w:szCs w:val="32"/>
        </w:rPr>
      </w:pPr>
      <w:r>
        <w:rPr>
          <w:rFonts w:hint="eastAsia" w:ascii="仿宋" w:hAnsi="仿宋" w:eastAsia="仿宋"/>
          <w:sz w:val="32"/>
          <w:szCs w:val="32"/>
        </w:rPr>
        <w:t>1.组织起草安全生产方面的地方性法规草案和行政规章草案，研究拟订安全生产工作方针政策，组织实施工矿商贸行业安全生产标准及有关综合性安全生产规章规程。</w:t>
      </w:r>
    </w:p>
    <w:p>
      <w:pPr>
        <w:ind w:firstLine="640" w:firstLineChars="200"/>
        <w:rPr>
          <w:rFonts w:ascii="仿宋" w:hAnsi="仿宋" w:eastAsia="仿宋"/>
          <w:sz w:val="32"/>
          <w:szCs w:val="32"/>
        </w:rPr>
      </w:pPr>
      <w:r>
        <w:rPr>
          <w:rFonts w:hint="eastAsia" w:ascii="仿宋" w:hAnsi="仿宋" w:eastAsia="仿宋"/>
          <w:sz w:val="32"/>
          <w:szCs w:val="32"/>
        </w:rPr>
        <w:t>2.承担全区安全生产综合监督管理责任，依法行使综合监督管理职权，指导、协调和监督有关部门的安全生产监督管理工作；制定全区安全生产发展规划；定期分析和预测全区安全生产形势，研究、协调和解决安全生产工作中的重大问题。</w:t>
      </w:r>
    </w:p>
    <w:p>
      <w:pPr>
        <w:ind w:firstLine="640" w:firstLineChars="200"/>
        <w:rPr>
          <w:rFonts w:ascii="仿宋" w:hAnsi="仿宋" w:eastAsia="仿宋"/>
          <w:sz w:val="32"/>
          <w:szCs w:val="32"/>
        </w:rPr>
      </w:pPr>
      <w:r>
        <w:rPr>
          <w:rFonts w:hint="eastAsia" w:ascii="仿宋" w:hAnsi="仿宋" w:eastAsia="仿宋"/>
          <w:sz w:val="32"/>
          <w:szCs w:val="32"/>
        </w:rPr>
        <w:t>3.负责发布全区安全生产信息，综合管理全市生产安全伤亡事故调度统计和安全生产行政执法分析工作；组织、指挥和协调安全生产应急救援工作。</w:t>
      </w:r>
    </w:p>
    <w:p>
      <w:pPr>
        <w:ind w:firstLine="640" w:firstLineChars="200"/>
        <w:rPr>
          <w:rFonts w:ascii="仿宋" w:hAnsi="仿宋" w:eastAsia="仿宋"/>
          <w:sz w:val="32"/>
          <w:szCs w:val="32"/>
        </w:rPr>
      </w:pPr>
      <w:r>
        <w:rPr>
          <w:rFonts w:hint="eastAsia" w:ascii="仿宋" w:hAnsi="仿宋" w:eastAsia="仿宋"/>
          <w:sz w:val="32"/>
          <w:szCs w:val="32"/>
        </w:rPr>
        <w:t>4.承担非煤矿山企业和危险化学品、烟花爆竹生产企业安全生产准入管理责任，依法组织实施安全生产准入制度；负责综合监督管理危险化学品和烟花爆竹安全生产工作。</w:t>
      </w:r>
    </w:p>
    <w:p>
      <w:pPr>
        <w:ind w:firstLine="640" w:firstLineChars="200"/>
        <w:rPr>
          <w:rFonts w:hint="eastAsia" w:ascii="仿宋" w:hAnsi="仿宋" w:eastAsia="仿宋"/>
          <w:sz w:val="32"/>
          <w:szCs w:val="32"/>
        </w:rPr>
      </w:pPr>
      <w:r>
        <w:rPr>
          <w:rFonts w:hint="eastAsia" w:ascii="仿宋" w:hAnsi="仿宋" w:eastAsia="仿宋"/>
          <w:sz w:val="32"/>
          <w:szCs w:val="32"/>
        </w:rPr>
        <w:t>5.指导协调全区安全生产检测检验工作；组织实施对工矿商贸企业安全生产条件和有关设备（特种设备除外，包括锅炉、压力容器、压力管道、电梯、起重机械、厂内机动车辆、游乐设施、客运索道，下同）进行检测检验、安全评价、安全培训、安全咨</w:t>
      </w:r>
    </w:p>
    <w:p>
      <w:pPr>
        <w:rPr>
          <w:rFonts w:ascii="仿宋" w:hAnsi="仿宋" w:eastAsia="仿宋"/>
          <w:sz w:val="32"/>
          <w:szCs w:val="32"/>
        </w:rPr>
      </w:pPr>
      <w:r>
        <w:rPr>
          <w:b w:val="0"/>
          <w:bCs w:val="0"/>
          <w:sz w:val="32"/>
          <w:szCs w:val="32"/>
        </w:rPr>
        <mc:AlternateContent>
          <mc:Choice Requires="wpg">
            <w:drawing>
              <wp:anchor distT="0" distB="0" distL="114300" distR="114300" simplePos="0" relativeHeight="251666432" behindDoc="0" locked="1" layoutInCell="1" allowOverlap="1">
                <wp:simplePos x="0" y="0"/>
                <wp:positionH relativeFrom="column">
                  <wp:posOffset>-1026160</wp:posOffset>
                </wp:positionH>
                <wp:positionV relativeFrom="page">
                  <wp:posOffset>497205</wp:posOffset>
                </wp:positionV>
                <wp:extent cx="3114675" cy="502920"/>
                <wp:effectExtent l="0" t="0" r="9525" b="17780"/>
                <wp:wrapNone/>
                <wp:docPr id="27" name="组合 27"/>
                <wp:cNvGraphicFramePr/>
                <a:graphic xmlns:a="http://schemas.openxmlformats.org/drawingml/2006/main">
                  <a:graphicData uri="http://schemas.microsoft.com/office/word/2010/wordprocessingGroup">
                    <wpg:wgp>
                      <wpg:cNvGrpSpPr/>
                      <wpg:grpSpPr>
                        <a:xfrm>
                          <a:off x="0" y="0"/>
                          <a:ext cx="3114675" cy="502727"/>
                          <a:chOff x="4551" y="52605"/>
                          <a:chExt cx="8546" cy="1185"/>
                        </a:xfrm>
                      </wpg:grpSpPr>
                      <wps:wsp>
                        <wps:cNvPr id="2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9" name="矩形 14"/>
                        <wps:cNvSpPr/>
                        <wps:spPr>
                          <a:xfrm>
                            <a:off x="4673" y="52605"/>
                            <a:ext cx="8325"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15pt;height:39.6pt;width:245.25pt;mso-position-vertical-relative:page;z-index:251666432;mso-width-relative:page;mso-height-relative:page;" coordorigin="4551,52605" coordsize="8546,1185" o:gfxdata="UEsDBAoAAAAAAIdO4kAAAAAAAAAAAAAAAAAEAAAAZHJzL1BLAwQUAAAACACHTuJAmFqR39sAAAAL&#10;AQAADwAAAGRycy9kb3ducmV2LnhtbE2PwWrDMBBE74X+g9hCb4msGDuOYzmU0PYUCk0KpbeNtbFN&#10;LMlYip38fdVTc1zmMfO22Fx1x0YaXGuNBDGPgJGprGpNLeHr8DbLgDmPRmFnDUm4kYNN+fhQYK7s&#10;ZD5p3PuahRLjcpTQeN/nnLuqIY1ubnsyITvZQaMP51BzNeAUynXHF1GUco2tCQsN9rRtqDrvL1rC&#10;+4TTSyxex935tL39HJKP750gKZ+fRLQG5unq/2H40w/qUAano70Y5VgnYSZSkQZWwjKLgQUiXmQr&#10;YMeAJssEeFnw+x/KX1BLAwQUAAAACACHTuJA0/U4oCUDAADuCAAADgAAAGRycy9lMm9Eb2MueG1s&#10;7VbLbhMxFN0j8Q+W93QezSTpqGkVGlohFVqpINaOx/OQPLaxnU7KmgVL/gCJHd+A+JyK3+DanqRp&#10;qAQtghWKNPHj+j6Oz7kz+4fLlqNLpk0jxQQnOzFGTFBZNKKa4Nevjp+MMTKWiIJwKdgEXzGDDw8e&#10;P9rvVM5SWUteMI3AiTB5pya4tlblUWRozVpidqRiAjZLqVtiYaqrqNCkA+8tj9I4Hkad1IXSkjJj&#10;YHUWNvGB91+WjNqzsjTMIj7BkJv1T+2fc/eMDvZJXmmi6ob2aZAHZNGSRkDQtasZsQQtdPOTq7ah&#10;WhpZ2h0q20iWZUOZrwGqSeKtak60XChfS5V3lVrDBNBu4fRgt/Tl5blGTTHB6QgjQVq4o+9f319/&#10;/IBgAdDpVJWD0YlWF+pc9wtVmLmCl6Vu3T+UgpYe16s1rmxpEYXF3SQZDEcZRhT2sjgdBdckpzXc&#10;jjs2yLIEI7ebDuMs3Aqtn/Xnx9lgGA4nydjvRqvAkctvnU6ngEXmBijzZ0Bd1EQxj79xGKyAAkr3&#10;QH36cv3tM0p2A1DeaI2SyQ0AdgdEm7Umfa0rpDYrBcAA7nWlJFfa2BMmW+QGE6yB3J5z5PLU2GC6&#10;MnFhjeRNcdxw7ie6mh9xjS4JCGG2537+LF+0L2QRlsdZHHtFQEwT7H38W464QB2QJRuAKaIEJFty&#10;YmHYKiCRERVGhFfQC6jVPoKQLgdILxQwI6YO4bzbvkQuIJK7vYCZG81lcQWIaxk0axQ9bqDuU2Ls&#10;OdEgUogPjceewaPkEpKS/QijWup3d607e6AE7GLUgegh4bcLohlG/LkAsuwlg4HrEn4yyEYpTPTm&#10;znxzRyzaIwlwAnMhOz909pavhqWW7RvoT1MXFbaIoBA7QNNPjmxoRtDhKJtOvRl0BkXsqbhQ1Dl3&#10;yAk5XVhZNv6ab9DpQQPKO6H+C+7vbXN/cD/uD0e72zpfc3837VtEkqReUn+D+9NZHKeznnaegiuJ&#10;3JvZt073ggnUfhqPhsmxvzlTk4KFVSevX+rLKfi3NWKX86Vvyf/lcl+5+BcHvFR9h+s/ANxbe3Pu&#10;5XXzmXLw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hakd/bAAAACwEAAA8AAAAAAAAAAQAgAAAA&#10;IgAAAGRycy9kb3ducmV2LnhtbFBLAQIUABQAAAAIAIdO4kDT9TigJQMAAO4IAAAOAAAAAAAAAAEA&#10;IAAAACoBAABkcnMvZTJvRG9jLnhtbFBLBQYAAAAABgAGAFkBAADB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3VZykLkAAADb&#10;AAAADwAAAGRycy9kb3ducmV2LnhtbEVPy4rCMBTdD/gP4QruxqSCD6rRhTiMuJpRwe21uba1zU1J&#10;4uvvzWJglofzXqyethV38qF2rCEbKhDEhTM1lxqOh6/PGYgQkQ22jknDiwKslr2PBebGPfiX7vtY&#10;ihTCIUcNVYxdLmUoKrIYhq4jTtzFeYsxQV9K4/GRwm0rR0pNpMWaU0OFHa0rKpr9zWpojtOfWq2/&#10;r6ddMxn7TXaejv1Z60E/U3MQkZ7xX/zn3hoNozQ2fUk/QC7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1WcpC5AAAA2wAA&#10;AA8AAAAAAAAAAQAgAAAAIgAAAGRycy9kb3ducmV2LnhtbFBLAQIUABQAAAAIAIdO4kAzLwWeOwAA&#10;ADkAAAAQAAAAAAAAAAEAIAAAAAgBAABkcnMvc2hhcGV4bWwueG1sUEsFBgAAAAAGAAYAWwEAALID&#10;AAAAAA==&#10;">
                  <v:fill on="t" focussize="0,0"/>
                  <v:stroke on="f" weight="2pt"/>
                  <v:imagedata o:title=""/>
                  <o:lock v:ext="edit" aspectratio="f"/>
                </v:rect>
                <v:rect id="矩形 14" o:spid="_x0000_s1026" o:spt="1" style="position:absolute;left:4673;top:52605;height:1123;width:8325;v-text-anchor:middle;" fillcolor="#AD002D" filled="t" stroked="t" coordsize="21600,21600" o:gfxdata="UEsDBAoAAAAAAIdO4kAAAAAAAAAAAAAAAAAEAAAAZHJzL1BLAwQUAAAACACHTuJAO7OTPbwAAADb&#10;AAAADwAAAGRycy9kb3ducmV2LnhtbEWPS4sCMRCE78L+h9AL3pxEDzo7GoUVXDy6PtZrM2lnBied&#10;IYmvf78RBI9FVX1FzRZ324or+dA41jDMFAji0pmGKw373WqQgwgR2WDrmDQ8KMBi/tGbYWHcjX/p&#10;uo2VSBAOBWqoY+wKKUNZk8WQuY44eSfnLcYkfSWNx1uC21aOlBpLiw2nhRo7WtZUnrcXq2G8+V66&#10;cpf//Pljozbusnrkk4PW/c+hmoKIdI/v8Ku9NhpGX/D8kn6AnP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uzkz2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v:textbox>
                </v:rect>
                <w10:anchorlock/>
              </v:group>
            </w:pict>
          </mc:Fallback>
        </mc:AlternateContent>
      </w:r>
      <w:r>
        <w:rPr>
          <w:rFonts w:hint="eastAsia" w:ascii="仿宋" w:hAnsi="仿宋" w:eastAsia="仿宋"/>
          <w:sz w:val="32"/>
          <w:szCs w:val="32"/>
        </w:rPr>
        <w:t>询等社会中介组织资质管理工作，并进行监督检查。</w:t>
      </w:r>
    </w:p>
    <w:p>
      <w:pPr>
        <w:ind w:firstLine="640" w:firstLineChars="200"/>
        <w:rPr>
          <w:rFonts w:ascii="仿宋" w:hAnsi="仿宋" w:eastAsia="仿宋"/>
          <w:sz w:val="32"/>
          <w:szCs w:val="32"/>
        </w:rPr>
      </w:pPr>
      <w:r>
        <w:rPr>
          <w:rFonts w:hint="eastAsia" w:ascii="仿宋" w:hAnsi="仿宋" w:eastAsia="仿宋"/>
          <w:sz w:val="32"/>
          <w:szCs w:val="32"/>
        </w:rPr>
        <w:t>6.组织指导全区安全生产宣传教育工作；配合省、石家庄市做好安全生产监督管理人员的安全培训、考核工作，依法组织、指导并监督特种作业人员（特种设备作业人员除外）的考核工作和生产经营单位主要经营管理者、安全管理人员的安全资格考核工作；监督检查生产经营单位安全培训工作。</w:t>
      </w:r>
    </w:p>
    <w:p>
      <w:pPr>
        <w:ind w:firstLine="640" w:firstLineChars="200"/>
        <w:rPr>
          <w:rFonts w:ascii="仿宋" w:hAnsi="仿宋" w:eastAsia="仿宋"/>
          <w:sz w:val="32"/>
          <w:szCs w:val="32"/>
        </w:rPr>
      </w:pPr>
      <w:r>
        <w:rPr>
          <w:rFonts w:hint="eastAsia" w:ascii="仿宋" w:hAnsi="仿宋" w:eastAsia="仿宋"/>
          <w:sz w:val="32"/>
          <w:szCs w:val="32"/>
        </w:rPr>
        <w:t>7.负责监督管理本区管理的工矿商贸企业安全生产工作；依法监督工矿商贸企业贯彻执行安全生产法律、法规情况及其安全生产条件和有关设备（特种设备除外）、材料、劳动防护用品的安全管理工作；承担工矿商贸作业场所职业卫生监督检查责任；依法承担职业卫生安全许可证的颁发管理工作，组织调查处理职业危害事故和违法违规行为。</w:t>
      </w:r>
    </w:p>
    <w:p>
      <w:pPr>
        <w:ind w:firstLine="640" w:firstLineChars="200"/>
        <w:rPr>
          <w:rFonts w:ascii="仿宋" w:hAnsi="仿宋" w:eastAsia="仿宋"/>
          <w:sz w:val="32"/>
          <w:szCs w:val="32"/>
        </w:rPr>
      </w:pPr>
      <w:r>
        <w:rPr>
          <w:rFonts w:hint="eastAsia" w:ascii="仿宋" w:hAnsi="仿宋" w:eastAsia="仿宋"/>
          <w:sz w:val="32"/>
          <w:szCs w:val="32"/>
        </w:rPr>
        <w:t>8.依法监督检查职责范围内新建、改建、扩建工程项目的安全设施与主体工程同时设计、同时施工、同时投产使用情况；依法监督检查生产经营单位作业场所职业卫生情况和重大危险源监控、重大事故隐患的整改工作，依法查处不具备安全生产条件的生产经营单位。</w:t>
      </w:r>
    </w:p>
    <w:p>
      <w:pPr>
        <w:ind w:firstLine="640" w:firstLineChars="200"/>
        <w:rPr>
          <w:rFonts w:ascii="仿宋" w:hAnsi="仿宋" w:eastAsia="仿宋"/>
          <w:sz w:val="32"/>
          <w:szCs w:val="32"/>
        </w:rPr>
      </w:pPr>
      <w:r>
        <w:rPr>
          <w:rFonts w:hint="eastAsia" w:ascii="仿宋" w:hAnsi="仿宋" w:eastAsia="仿宋"/>
          <w:sz w:val="32"/>
          <w:szCs w:val="32"/>
        </w:rPr>
        <w:t>9.指导协调全区生产安全事故及职业危害调查处理工作；依法组织事故调查处理和办理结案工作，监督事故查处和责任追究</w:t>
      </w:r>
      <w:r>
        <w:rPr>
          <w:b w:val="0"/>
          <w:bCs w:val="0"/>
          <w:sz w:val="32"/>
          <w:szCs w:val="32"/>
        </w:rPr>
        <mc:AlternateContent>
          <mc:Choice Requires="wpg">
            <w:drawing>
              <wp:anchor distT="0" distB="0" distL="114300" distR="114300" simplePos="0" relativeHeight="251666432" behindDoc="0" locked="1" layoutInCell="1" allowOverlap="1">
                <wp:simplePos x="0" y="0"/>
                <wp:positionH relativeFrom="column">
                  <wp:posOffset>-1026160</wp:posOffset>
                </wp:positionH>
                <wp:positionV relativeFrom="page">
                  <wp:posOffset>501650</wp:posOffset>
                </wp:positionV>
                <wp:extent cx="3114675" cy="593090"/>
                <wp:effectExtent l="3175" t="0" r="6350" b="16510"/>
                <wp:wrapNone/>
                <wp:docPr id="67" name="组合 67"/>
                <wp:cNvGraphicFramePr/>
                <a:graphic xmlns:a="http://schemas.openxmlformats.org/drawingml/2006/main">
                  <a:graphicData uri="http://schemas.microsoft.com/office/word/2010/wordprocessingGroup">
                    <wpg:wgp>
                      <wpg:cNvGrpSpPr/>
                      <wpg:grpSpPr>
                        <a:xfrm>
                          <a:off x="0" y="0"/>
                          <a:ext cx="3114675" cy="593090"/>
                          <a:chOff x="4551" y="52615"/>
                          <a:chExt cx="8546" cy="1398"/>
                        </a:xfrm>
                      </wpg:grpSpPr>
                      <wps:wsp>
                        <wps:cNvPr id="6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8pt;margin-top:39.5pt;height:46.7pt;width:245.25pt;mso-position-vertical-relative:page;z-index:251666432;mso-width-relative:page;mso-height-relative:page;" coordorigin="4551,52615" coordsize="8546,1398"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wYFI9SwDAADuCAAADgAAAGRycy9lMm9Eb2MueG1s&#10;7VbNbtQwEL4j8Q6W7zTJbrJ/arZaumyFVGilgjh7HedHcmxje5stZw4ceQMkbjwD4nEqXoOxk/1p&#10;qUQLiBNaKWt7xp6Zz983yeHRuubokmlTSZHi6CDEiAkqs0oUKX79avFkhJGxRGSES8FSfMUMPpo+&#10;fnTYqAnryVLyjGkEhwgzaVSKS2vVJAgMLVlNzIFUTIAxl7omFqa6CDJNGji95kEvDAdBI3WmtKTM&#10;GFidt0Y89efnOaP2LM8Ns4inGHKz/qn9c+mewfSQTApNVFnRLg3yG1nUpBIQdHvUnFiCVrr66ai6&#10;oloamdsDKutA5nlFma8BqonCW9WcaLlSvpZi0hRqCxNAewun3z6Wvrw816jKUjwYYiRIDXf0/ev7&#10;648fECwAOo0qJuB0otWFOtfdQtHOXMHrXNfuH0pBa4/r1RZXtraIwmI/iuLBMMGIgi0Z98NxBzwt&#10;4XbctjhJIoyctTeIkvZWaPms2z9K4kG7OeqPR84abAIHLr9tOo0CFpkdUObPgLooiWIef+Mw2AAF&#10;lO6A+vTl+ttnFPVboLzTFiUzMQDYHRDdVesGqb1KIwBsv1IyUdrYEyZr5AYp1kBuzzlyeWps67px&#10;cWGN5FW2qDj3E10sj7lGlwSEMB+7n9/LV/ULmbXLoyQM/cUAuqb190jfOIgL1KS4l8TgiigByeac&#10;WBjWCkhkRIER4QX0Amq1jyCkywHSawuYE1O24fyxXYlcQCR3ey1mbrSU2RUgrmWrWaPoooK6T4mx&#10;50SDSCE+NB57Bo+cS0hKdiOMSqnf3bXu/IESYMWoAdFDwm9XRDOM+HMBZBlHcey6hJ/EybAHE71v&#10;We5bxKo+lgAnMBey80Pnb/lmmGtZv4H+NHNRwUQEhdgtNN3k2LbNCDocZbOZd4POoIg9FReKusMd&#10;ckLOVlbmlb/mHTodaEB5J9R/wf3xbe7HD+T+ENqM1/lo0wS23O/34k7lUc9Laqvyv8j92TwMe/OO&#10;dp6CG4k8mNk3dneCaan9NBwOooW/OVOSjLWrTl6/1JdT8L01YtfLNShrR4j/crmvXPyLA16qvsN1&#10;HwDurb0/9/LafaZMf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gBQAAW0NvbnRlbnRfVHlwZXNdLnhtbFBLAQIUAAoAAAAAAIdO4kAAAAAAAAAA&#10;AAAAAAAGAAAAAAAAAAAAEAAAAIIEAABfcmVscy9QSwECFAAUAAAACACHTuJAihRmPNEAAACUAQAA&#10;CwAAAAAAAAABACAAAACmBAAAX3JlbHMvLnJlbHNQSwECFAAKAAAAAACHTuJAAAAAAAAAAAAAAAAA&#10;BAAAAAAAAAAAABAAAAAAAAAAZHJzL1BLAQIUABQAAAAIAIdO4kAgydQQ2wAAAAsBAAAPAAAAAAAA&#10;AAEAIAAAACIAAABkcnMvZG93bnJldi54bWxQSwECFAAUAAAACACHTuJAwYFI9SwDAADuCAAADgAA&#10;AAAAAAABACAAAAAqAQAAZHJzL2Uyb0RvYy54bWxQSwUGAAAAAAYABgBZAQAAy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SzzLULoAAADb&#10;AAAADwAAAGRycy9kb3ducmV2LnhtbEVPu27CMBTdK/EP1kViK3YqEaqAYUCgIiZKkVgv8SUJia8j&#10;2zz69/WA1PHovOfLp+3EnXxoHGvIxgoEcelMw5WG48/m/RNEiMgGO8ek4ZcCLBeDtzkWxj34m+6H&#10;WIkUwqFADXWMfSFlKGuyGMauJ07cxXmLMUFfSePxkcJtJz+UyqXFhlNDjT2tairbw81qaI/TfaNW&#10;X9fTrs0nfp2dpxN/1no0zNQMRKRn/Be/3FujIU9j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PMtQ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rdkq/bwAAADb&#10;AAAADwAAAGRycy9kb3ducmV2LnhtbEWPQWvCQBSE7wX/w/KE3uquHtI0dRUUlB6tWr0+sq9JMPs2&#10;7K6J+ffdQqHHYeabYZbrh21FTz40jjXMZwoEcelMw5WG82n3koMIEdlg65g0jBRgvZo8LbEwbuBP&#10;6o+xEqmEQ4Ea6hi7QspQ1mQxzFxHnLxv5y3GJH0ljcchldtWLpTKpMWG00KNHW1rKm/Hu9WQHTZb&#10;V57y/cVfG3Vw992Yv35p/Tydq3cQkR7xP/xHf5jEvcHvl/QD5Oo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3ZKv2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2018年度部门决算☞部门概况</w:t>
                        </w:r>
                      </w:p>
                      <w:p>
                        <w:pPr>
                          <w:jc w:val="center"/>
                        </w:pPr>
                      </w:p>
                    </w:txbxContent>
                  </v:textbox>
                </v:rect>
                <w10:anchorlock/>
              </v:group>
            </w:pict>
          </mc:Fallback>
        </mc:AlternateContent>
      </w:r>
      <w:r>
        <w:rPr>
          <w:rFonts w:hint="eastAsia" w:ascii="仿宋" w:hAnsi="仿宋" w:eastAsia="仿宋"/>
          <w:sz w:val="32"/>
          <w:szCs w:val="32"/>
        </w:rPr>
        <w:t>落实情况；参与重特大事故的调查处理工作。</w:t>
      </w:r>
    </w:p>
    <w:p>
      <w:pPr>
        <w:ind w:firstLine="640" w:firstLineChars="200"/>
        <w:rPr>
          <w:rFonts w:ascii="仿宋" w:hAnsi="仿宋" w:eastAsia="仿宋"/>
          <w:sz w:val="32"/>
          <w:szCs w:val="32"/>
        </w:rPr>
      </w:pPr>
      <w:r>
        <w:rPr>
          <w:rFonts w:hint="eastAsia" w:ascii="仿宋" w:hAnsi="仿宋" w:eastAsia="仿宋"/>
          <w:sz w:val="32"/>
          <w:szCs w:val="32"/>
        </w:rPr>
        <w:t>10.拟订安全生产科技规划，组织、指导安全生产科学技术研究和技术示范工作。</w:t>
      </w:r>
    </w:p>
    <w:p>
      <w:pPr>
        <w:ind w:firstLine="640" w:firstLineChars="200"/>
        <w:rPr>
          <w:rFonts w:ascii="仿宋" w:hAnsi="仿宋" w:eastAsia="仿宋"/>
          <w:sz w:val="32"/>
          <w:szCs w:val="32"/>
        </w:rPr>
      </w:pPr>
      <w:r>
        <w:rPr>
          <w:rFonts w:hint="eastAsia" w:ascii="仿宋" w:hAnsi="仿宋" w:eastAsia="仿宋"/>
          <w:sz w:val="32"/>
          <w:szCs w:val="32"/>
        </w:rPr>
        <w:t>11.承担区安全生产委员会的具体工作。</w:t>
      </w:r>
    </w:p>
    <w:p>
      <w:pPr>
        <w:pStyle w:val="2"/>
        <w:spacing w:before="0" w:after="0" w:line="600" w:lineRule="exact"/>
        <w:ind w:firstLine="640" w:firstLineChars="200"/>
        <w:jc w:val="left"/>
        <w:rPr>
          <w:rFonts w:hint="eastAsia" w:ascii="仿宋" w:hAnsi="仿宋" w:eastAsia="仿宋"/>
          <w:sz w:val="32"/>
          <w:szCs w:val="32"/>
        </w:rPr>
      </w:pPr>
      <w:r>
        <w:rPr>
          <w:rFonts w:hint="eastAsia" w:ascii="仿宋" w:hAnsi="仿宋" w:eastAsia="仿宋" w:cs="Times New Roman"/>
          <w:b w:val="0"/>
          <w:bCs w:val="0"/>
          <w:kern w:val="2"/>
          <w:sz w:val="32"/>
          <w:szCs w:val="32"/>
          <w:lang w:val="en-US" w:eastAsia="zh-CN" w:bidi="ar-SA"/>
        </w:rPr>
        <w:t xml:space="preserve">12.承办区政府交办的其它事项。 </w:t>
      </w:r>
      <w:r>
        <w:rPr>
          <w:rFonts w:hint="eastAsia" w:ascii="仿宋" w:hAnsi="仿宋" w:eastAsia="仿宋"/>
          <w:sz w:val="32"/>
          <w:szCs w:val="32"/>
        </w:rPr>
        <w:t xml:space="preserve"> </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w:t>
      </w:r>
      <w:r>
        <w:rPr>
          <w:rFonts w:hint="eastAsia" w:ascii="仿宋_GB2312" w:eastAsia="仿宋_GB2312" w:cs="ArialUnicodeMS" w:hAnsiTheme="minorHAnsi"/>
          <w:kern w:val="0"/>
          <w:sz w:val="32"/>
          <w:szCs w:val="32"/>
          <w:lang w:val="en-US" w:eastAsia="zh-CN"/>
        </w:rPr>
        <w:t>1</w:t>
      </w:r>
      <w:r>
        <w:rPr>
          <w:rFonts w:hint="eastAsia" w:ascii="仿宋_GB2312" w:eastAsia="仿宋_GB2312" w:cs="ArialUnicodeMS" w:hAnsiTheme="minorHAnsi"/>
          <w:kern w:val="0"/>
          <w:sz w:val="32"/>
          <w:szCs w:val="32"/>
        </w:rPr>
        <w:t>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lang w:eastAsia="zh-CN"/>
              </w:rPr>
              <w:t>石家庄市鹿泉区安全生产监督管理局</w:t>
            </w:r>
            <w:r>
              <w:rPr>
                <w:rFonts w:hint="eastAsia" w:ascii="仿宋_GB2312" w:eastAsia="仿宋_GB2312" w:cs="ArialUnicodeMS" w:hAnsiTheme="minorHAnsi"/>
                <w:kern w:val="0"/>
                <w:sz w:val="28"/>
                <w:szCs w:val="28"/>
              </w:rPr>
              <w:t>(本级)</w:t>
            </w:r>
          </w:p>
        </w:tc>
        <w:tc>
          <w:tcPr>
            <w:tcW w:w="244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行政单位</w:t>
            </w:r>
          </w:p>
        </w:tc>
        <w:tc>
          <w:tcPr>
            <w:tcW w:w="2665" w:type="dxa"/>
          </w:tcPr>
          <w:p>
            <w:pPr>
              <w:spacing w:after="0" w:line="560" w:lineRule="exact"/>
              <w:jc w:val="center"/>
              <w:rPr>
                <w:rFonts w:hint="eastAsia" w:ascii="仿宋_GB2312" w:eastAsia="仿宋_GB2312" w:cs="ArialUnicodeMS" w:hAnsiTheme="minorHAnsi"/>
                <w:kern w:val="0"/>
                <w:sz w:val="28"/>
                <w:szCs w:val="28"/>
                <w:lang w:eastAsia="zh-CN"/>
              </w:rPr>
            </w:pPr>
            <w:r>
              <w:rPr>
                <w:rFonts w:hint="eastAsia" w:ascii="仿宋_GB2312" w:eastAsia="仿宋_GB2312" w:cs="ArialUnicodeMS" w:hAnsiTheme="minorHAnsi"/>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spacing w:after="0" w:line="560" w:lineRule="exact"/>
        <w:rPr>
          <w:rFonts w:ascii="仿宋_GB2312" w:eastAsia="仿宋_GB2312" w:cs="ArialUnicodeMS" w:hAnsiTheme="minorHAnsi"/>
          <w:kern w:val="0"/>
          <w:sz w:val="32"/>
          <w:szCs w:val="3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41856"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第二部分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sz w:val="44"/>
              </w:rPr>
              <mc:AlternateContent>
                <mc:Choice Requires="wpg">
                  <w:drawing>
                    <wp:anchor distT="0" distB="0" distL="114300" distR="114300" simplePos="0" relativeHeight="251656192" behindDoc="0" locked="1" layoutInCell="1" allowOverlap="1">
                      <wp:simplePos x="0" y="0"/>
                      <wp:positionH relativeFrom="column">
                        <wp:posOffset>-892175</wp:posOffset>
                      </wp:positionH>
                      <wp:positionV relativeFrom="page">
                        <wp:posOffset>-1039495</wp:posOffset>
                      </wp:positionV>
                      <wp:extent cx="3088640" cy="523240"/>
                      <wp:effectExtent l="3175" t="0" r="13335" b="29210"/>
                      <wp:wrapNone/>
                      <wp:docPr id="10" name="组合 10"/>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11"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0.25pt;margin-top:-81.85pt;height:41.2pt;width:243.2pt;mso-position-vertical-relative:page;z-index:251656192;mso-width-relative:page;mso-height-relative:page;" coordorigin="4551,52615" coordsize="8546,1398"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C5umWgkAwAA7ggAAA4AAABkcnMvZTJvRG9jLnht&#10;bO1WzW4TMRC+I/EOlu90f7L5WzWpQkMqpEIrFcTZ8Xp/JK9tbCebcubAkTdA4sYzIB6n4jUYezdp&#10;WiqhFHFDkTa2Zzw/33wzu8cnm5qjNdOmkmKCo6MQIyaozCpRTPDbN4tnI4yMJSIjXAo2wdfM4JPp&#10;0yfHjUpZLEvJM6YRGBEmbdQEl9aqNAgMLVlNzJFUTIAwl7omFra6CDJNGrBe8yAOw0HQSJ0pLSkz&#10;Bk7nrRBPvf08Z9Re5LlhFvEJhtisf2r/XLpnMD0maaGJKivahUEeEUVNKgFOd6bmxBK00tVvpuqK&#10;amlkbo+orAOZ5xVlPgfIJgrvZXOm5Ur5XIq0KdQOJoD2Hk6PNktfry81qjKoHcAjSA01+vn9483n&#10;TwgOAJ1GFSkonWl1pS51d1C0O5fwJte1+4dU0Mbjer3DlW0sonDYC0ejQQL2Kcj6cS+GtQeellAd&#10;dy3p9yOMvHQQ9bfCF939UT8ZtJej3njkpMHWceDi24XTKGCRuQXK/B1QVyVRzONvHAZboCDSDqgv&#10;325+fEVRz4XkfIPSDiWTGgDsAYgeynWL1F6m0dDjsMuUpEobe8ZkjdxigjWQ23OOrM+NbUHZqji3&#10;RvIqW1Sc+40ulqdcozWBRpiP3c/f5av6lcza41E/DH1hwKdp9T3SdwxxgZoJjvsJqCJKoGVzTiws&#10;awUkMqLAiPACZgG12nsQ0sXgy+2imxNTtu682a6YXIAnh2CLmVstZXYNiGvZ9qxRdFHB/XNi7CXR&#10;0KTgHwaPvYBHziUEJbsVRqXUHx46d/pACZBi1EDTQ8DvV0QzjPhLAWQZR4mjqfWbpD+MYaP3Jct9&#10;iVjVpxLgBD5AdH7p9C3fLnMt63cwn2bOK4iIoOC7habbnNp2GMGEo2w282owGRSx5+JKUWfclU/I&#10;2crKvPJlvkWnAw0o3/Lvn3M/hj68y/3kQO4Ph12fj8bdENhxvxcnXZdHsW+pf8H92TwM43lHO0/B&#10;bYsczOw7t7uGaan9PBwOooWvnClJxtpT115/7K+DesRulptu9Pxvl8Paxb844KXqJ1z3AeDe2vt7&#10;3163nynTX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OCvFSPcAAAADQEAAA8AAAAAAAAAAQAgAAAA&#10;IgAAAGRycy9kb3ducmV2LnhtbFBLAQIUABQAAAAIAIdO4kAubploJAMAAO4IAAAOAAAAAAAAAAEA&#10;IAAAACsBAABkcnMvZTJvRG9jLnhtbFBLBQYAAAAABgAGAFkBAADB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gARsLsAAADb&#10;AAAADwAAAGRycy9kb3ducmV2LnhtbEVPS2sCMRC+F/wPYYTearIFH6xGD2Jp8VQf4HXcjLvrbiZL&#10;kvr4940geJuP7zmzxc224kI+1I41ZAMFgrhwpuZSw3739TEBESKywdYxabhTgMW89zbD3Lgrb+iy&#10;jaVIIRxy1FDF2OVShqIii2HgOuLEnZy3GBP0pTQerynctvJTqZG0WHNqqLCjZUVFs/2zGpr9+LdW&#10;y+/zYd2Mhn6VHcdDf9T6vZ+pKYhIt/gSP90/Js3P4PFLOkDO/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gARsL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iwHT7sAAADb&#10;AAAADwAAAGRycy9kb3ducmV2LnhtbEWPS4sCMRCE7wv+h9CCtzXRw+wwGgUFxaOPVa/NpJ0ZnHSG&#10;JL7+vREW9lhU1VfUdP60rbiTD41jDaOhAkFcOtNwpeH3sPrOQYSIbLB1TBpeFGA+631NsTDuwTu6&#10;72MlEoRDgRrqGLtCylDWZDEMXUecvIvzFmOSvpLG4yPBbSvHSmXSYsNpocaOljWV1/3Nasi2i6Ur&#10;D/n65M+N2rrb6pX/HLUe9EdqAiLSM/6H/9obo2GcwedL+gFy9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iwHT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石家庄市鹿泉区安全生产监督管理局</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rPr>
                <w:rFonts w:ascii="宋体" w:hAnsi="宋体" w:cs="宋体"/>
                <w:color w:val="000000"/>
                <w:sz w:val="20"/>
                <w:szCs w:val="20"/>
              </w:rPr>
            </w:pPr>
            <w:r>
              <w:rPr>
                <w:rFonts w:hint="eastAsia" w:ascii="宋体" w:hAnsi="宋体" w:cs="宋体"/>
                <w:color w:val="000000"/>
                <w:sz w:val="20"/>
                <w:szCs w:val="20"/>
              </w:rPr>
              <w:t>676.6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38.88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45.01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29.56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606.33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31.1</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715.48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712</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27.32</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30.8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742.8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lang w:bidi="ar"/>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742.8</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收入决</w:t>
            </w:r>
            <w:r>
              <w:rPr>
                <w:sz w:val="44"/>
              </w:rPr>
              <mc:AlternateContent>
                <mc:Choice Requires="wpg">
                  <w:drawing>
                    <wp:anchor distT="0" distB="0" distL="114300" distR="114300" simplePos="0" relativeHeight="251657216"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34" name="组合 34"/>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3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57216;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D5hqUoqAwAA7ggAAA4AAABkcnMvZTJvRG9jLnht&#10;bO1WzW4TMRC+I/EOlu90f5LNn7qpQkMqpEIrFcTZ8Xp/JK9tbCebcubAkTdA4sYzIB6n4jUYezdp&#10;WipBi3pDkTa2Zzw/33wzu4dHm5qjNdOmkiLF0UGIERNUZpUoUvz2zeLZCCNjicgIl4Kl+JIZfDR9&#10;+uSwURMWy1LyjGkERoSZNCrFpbVqEgSGlqwm5kAqJkCYS10TC1tdBJkmDViveRCH4SBopM6UlpQZ&#10;A6fzVoin3n6eM2rP8twwi3iKITbrn9o/l+4ZTA/JpNBElRXtwiAPiKImlQCnO1NzYgla6eo3U3VF&#10;tTQytwdU1oHM84oynwNkE4W3sjnRcqV8LsWkKdQOJoD2Fk4PNktfr881qrIU9/oYCVJDjX5+/3j1&#10;+ROCA0CnUcUElE60ulDnujso2p1LeJPr2v1DKmjjcb3c4co2FlE47IWj0aAP8FOQJXEvhrUHnpZQ&#10;HXetnyQRRl46iJKt8EV3f5T0B+3lqDceOWmwdRy4+HbhNApYZK6BMv8G1EVJFPP4G4fBFqhkB9SX&#10;b1c/vqKo50JyvkFph5KZGADsDojuynWL1F6m0dDjsMuUTJQ29oTJGrlFijWQ23OOrE+NbUHZqji3&#10;RvIqW1Sc+40ulsdcozWBRpiP3c/f5av6lcza41EShr4w4NO0+h7pG4a4QE2K46QPqogSaNmcEwvL&#10;WgGJjCgwIryAWUCt9h6EdDH4crvo5sSUrTtvtismF+DJIdhi5lZLmV0C4lq2PWsUXVRw/5QYe040&#10;NCn4h8Fjz+CRcwlByW6FUSn1h7vOnT5QAqQYNdD0EPD7FdEMI/5SAFnGUd/R1PpNPxnGsNH7kuW+&#10;RKzqYwlwAnMhOr90+pZvl7mW9TuYTzPnFUREUPDdQtNtjm07jGDCUTabeTWYDIrYU3GhqDPuyifk&#10;bGVlXvkyX6PTgQaUb/n3+NyHPuyGRMf9bkj8NfeHw67PR+NuCOy434thBLkREUWxb6nH4P5sHobx&#10;vKOdp+C2Re7N7Bu3u4Zpqf08HA6iha+cKUnG2lPXXn/sr3v1iN0sN93o+d8u92sX/+KAl6qfcN0H&#10;gHtr7+99e11/pkx/A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J8FAABbQ29udGVudF9UeXBlc10ueG1sUEsBAhQACgAAAAAAh07iQAAAAAAAAAAA&#10;AAAAAAYAAAAAAAAAAAAQAAAAgQQAAF9yZWxzL1BLAQIUABQAAAAIAIdO4kCKFGY80QAAAJQBAAAL&#10;AAAAAAAAAAEAIAAAAKUEAABfcmVscy8ucmVsc1BLAQIUAAoAAAAAAIdO4kAAAAAAAAAAAAAAAAAE&#10;AAAAAAAAAAAAEAAAAAAAAABkcnMvUEsBAhQAFAAAAAgAh07iQBwnm4jcAAAADQEAAA8AAAAAAAAA&#10;AQAgAAAAIgAAAGRycy9kb3ducmV2LnhtbFBLAQIUABQAAAAIAIdO4kA+YalKKgMAAO4IAAAOAAAA&#10;AAAAAAEAIAAAACsBAABkcnMvZTJvRG9jLnhtbFBLBQYAAAAABgAGAFkBAADH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to5L074AAADb&#10;AAAADwAAAGRycy9kb3ducmV2LnhtbEWPT2sCMRTE74LfIbyCN022sipbowexWHpqVfD63Lzubnfz&#10;siTxT799Uyh4HGbmN8xyfbeduJIPjWMN2USBIC6dabjScDy8jhcgQkQ22DkmDT8UYL0aDpZYGHfj&#10;T7ruYyUShEOBGuoY+0LKUNZkMUxcT5y8L+ctxiR9JY3HW4LbTj4rNZMWG04LNfa0qals9xeroT3O&#10;Pxq12X2f3ttZ7rfZeZ77s9ajp0y9gIh0j4/wf/vNaJjm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o5L0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WRkrsAAADb&#10;AAAADwAAAGRycy9kb3ducmV2LnhtbEWPS4sCMRCE7wv+h9CCtzVRYXYYjYKCyx59e20m7czgpDMk&#10;8fXvzcLCHouq+oqaLZ62FXfyoXGsYTRUIIhLZxquNBz2688cRIjIBlvHpOFFARbz3scMC+MevKX7&#10;LlYiQTgUqKGOsSukDGVNFsPQdcTJuzhvMSbpK2k8PhLctnKsVCYtNpwWauxoVVN53d2shmyzXLly&#10;n3+f/LlRG3dbv/Kvo9aD/khNQUR6xv/wX/vHaJhk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Rk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石家庄市鹿泉区安全生产监督管理局</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lang w:bidi="ar"/>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 w:val="18"/>
                <w:szCs w:val="18"/>
                <w:lang w:val="en-US" w:eastAsia="zh-CN"/>
              </w:rPr>
            </w:pPr>
            <w:r>
              <w:rPr>
                <w:rFonts w:hint="eastAsia" w:ascii="宋体" w:hAnsi="宋体" w:cs="宋体"/>
                <w:b/>
                <w:color w:val="000000"/>
                <w:sz w:val="18"/>
                <w:szCs w:val="18"/>
                <w:lang w:val="en-US" w:eastAsia="zh-CN"/>
              </w:rPr>
              <w:t>715.48</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 w:val="18"/>
                <w:szCs w:val="18"/>
                <w:lang w:val="en-US" w:eastAsia="zh-CN"/>
              </w:rPr>
            </w:pPr>
            <w:r>
              <w:rPr>
                <w:rFonts w:hint="eastAsia" w:ascii="宋体" w:hAnsi="宋体" w:cs="宋体"/>
                <w:b/>
                <w:color w:val="000000"/>
                <w:sz w:val="18"/>
                <w:szCs w:val="18"/>
                <w:lang w:val="en-US" w:eastAsia="zh-CN"/>
              </w:rPr>
              <w:t>676.6</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 w:val="18"/>
                <w:szCs w:val="18"/>
                <w:lang w:val="en-US" w:eastAsia="zh-CN"/>
              </w:rPr>
            </w:pPr>
            <w:r>
              <w:rPr>
                <w:rFonts w:hint="eastAsia" w:ascii="宋体" w:hAnsi="宋体" w:cs="宋体"/>
                <w:b/>
                <w:color w:val="000000"/>
                <w:sz w:val="18"/>
                <w:szCs w:val="18"/>
                <w:lang w:val="en-US" w:eastAsia="zh-CN"/>
              </w:rPr>
              <w:t>38.88</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42.62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42.2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0.39</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40.32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40.35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2050505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机关事业单位基本养老保险缴费支出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40.35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40.35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退役安置</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1.88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0.39</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2080901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退役士兵安置</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1.88</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0.39</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210</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医疗卫生与计划生育支出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21011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行政事业单位医疗</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2101101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30.06</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30.06</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资源勘探信息等支出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618.59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580.1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38.49</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21506</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安全生产监管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618.59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580.1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38.49</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2150601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456.59</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453.2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3.39</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2150602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 xml:space="preserve"> 一般行政管理事务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83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47.9</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35.1</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2150605</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安全监管监察专项</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2150606</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应急救援支出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2150699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其他安全生产监管支出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住房保障支出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24.21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24.21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22102</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住房改革支出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24.21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24.21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2210201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住房公积金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24.21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24.21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支出决算</w:t>
            </w:r>
            <w:r>
              <w:rPr>
                <w:sz w:val="44"/>
              </w:rPr>
              <mc:AlternateContent>
                <mc:Choice Requires="wpg">
                  <w:drawing>
                    <wp:anchor distT="0" distB="0" distL="114300" distR="114300" simplePos="0" relativeHeight="25165824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38" name="组合 3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3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5824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EyhlGAoAwAA7ggAAA4AAABkcnMvZTJvRG9jLnht&#10;bO1WyW4UMRC9I/EPlu+kl9lb6YmGDBMhBRIpIM4et3uR3LaxPekJZw4c+QMkbnwD4nMifoOyu2dJ&#10;iAQJghMaqcd2lWt59aq6D4/WNUeXTJtKihRHByFGTFCZVaJI8etXiydjjIwlIiNcCpbiK2bw0fTx&#10;o8NGJSyWpeQZ0wiMCJM0KsWltSoJAkNLVhNzIBUTIMylromFrS6CTJMGrNc8iMNwGDRSZ0pLyoyB&#10;03krxFNvP88ZtWd5bphFPMUQm/VP7Z9L9wymhyQpNFFlRbswyAOiqEklwOnW1JxYgla6+slUXVEt&#10;jcztAZV1IPO8osznANlE4a1sTrRcKZ9LkTSF2sIE0N7C6cFm6cvLc42qLMU9qJQgNdTo+9f31x8/&#10;IDgAdBpVJKB0otWFOtfdQdHuXMLrXNfuH1JBa4/r1RZXtraIwmEvHI+HfYCfgmwQ92JYe+BpCdVx&#10;1/qDQYSRlw6jwUb4rLs/HvSH7eWoN/FRBRvHgYtvG06jgEVmB5T5M6AuSqKYx984DDZATbZAffpy&#10;/e0zinotUF5pi5JJDAB2B0R35bpBai/TaORx2GZKEqWNPWGyRm6RYg3k9pwjl6fGAp6gulFxbo3k&#10;VbaoOPcbXSyPuUaXBBphPnE/f5ev6hcya4/HgzD0hQFDptX3Rm8Y4gI1KY4HfVBFlEDL5pxYWNYK&#10;SGREgRHhBcwCarX3IKSLwZfbRTcnpmzdebMOOXDHBfy56rWYudVSZleAuJZtzxpFFxXcPyXGnhMN&#10;TQr+YfDYM3jkXEJQslthVEr97q5zpw+UAClGDTQ9BPx2RTTDiD8XQJZJ1Hc0tX7TH4xi2Oh9yXJf&#10;Ilb1sQQ4gbkQnV86fcs3y1zL+g3Mp5nzCiIiKPhuoek2x7YdRjDhKJvNvBpMBkXsqbhQ1Bl35RNy&#10;trIyr3yZd+h0oAHlXaP+A+47dLoh0XG/f0/uj0Zdn48n3RDYcr8X97suj2LfUn+D+7N5GMbzjnae&#10;gpsWuTezb9zuGqal9tNwNIwWvnKmJBlrT117/bK/7tUjdr1cQwPtCPG/XX63XfyLA16qfvx0HwDu&#10;rb2/9+21+0yZ/g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AcmlLK3AAAAA0BAAAPAAAAAAAAAAEA&#10;IAAAACIAAABkcnMvZG93bnJldi54bWxQSwECFAAUAAAACACHTuJATKGUYCgDAADuCAAADgAAAAAA&#10;AAABACAAAAArAQAAZHJzL2Uyb0RvYy54bWxQSwUGAAAAAAYABgBZAQAAxQ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N8NB1r4AAADb&#10;AAAADwAAAGRycy9kb3ducmV2LnhtbEWPzW7CMBCE75X6DtZW6q3YoeIvYDggqlY9QUDiusTbJE28&#10;jmwX6NvXlZA4jmbmG81idbWdOJMPjWMN2UCBIC6dabjScNi/vUxBhIhssHNMGn4pwGr5+LDA3LgL&#10;7+hcxEokCIccNdQx9rmUoazJYhi4njh5X85bjEn6ShqPlwS3nRwqNZYWG04LNfa0rqlsix+roT1M&#10;to1av38fP9vxyG+y02TkT1o/P2VqDiLSNd7Dt/aH0fA6g/8v6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8NB1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d1bfALkAAADb&#10;AAAADwAAAGRycy9kb3ducmV2LnhtbEVPy4rCMBTdD/gP4QruxkQZOqUahRGUWWqdx/bSXNsyzU1J&#10;0qp/bxbCLA/nvd7ebCdG8qF1rGExVyCIK2darjV8nfevOYgQkQ12jknDnQJsN5OXNRbGXflEYxlr&#10;kUI4FKihibEvpAxVQxbD3PXEibs4bzEm6GtpPF5TuO3kUqlMWmw5NTTY066h6q8crIbs+LFz1Tk/&#10;/PjfVh3dsL/n799az6YLtQIR6Rb/xU/3p9Hwltan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dW3w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石家庄市鹿泉区安全生产监督管理局</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712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561.99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150.01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45.01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42.74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20805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行政事业单位离退休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42.74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42.74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2050505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 xml:space="preserve"> 机关事业单位基本养老保险缴费支出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42.74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42.74</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20809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退役安置</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2080901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退役士兵安置</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2.27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210</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医疗卫生与计划生育支出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29.56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29.56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21011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行政事业单位医疗</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29.56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29.56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2101101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行政单位医疗</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29.56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29.56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资源勘探信息等支出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606.33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458.59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147.74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21506</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安全生产监管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606.33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458.59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147.74</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2150601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458.59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458.59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2150602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 xml:space="preserve"> 一般行政管理事务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86.8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86.8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2150605</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安全监管监察专项</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49.41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49.41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2150606</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应急救援支出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2150699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其他安全生产监管支出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6.53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6.53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221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住房保障支出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31.1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31.1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22102</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住房改革支出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31.1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31.1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2210201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住房公积金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31.1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31.1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财政拨款收入支出决</w:t>
            </w:r>
            <w:r>
              <w:rPr>
                <w:sz w:val="44"/>
              </w:rPr>
              <mc:AlternateContent>
                <mc:Choice Requires="wpg">
                  <w:drawing>
                    <wp:anchor distT="0" distB="0" distL="114300" distR="114300" simplePos="0" relativeHeight="251659264"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3" name="组合 4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5926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F5b3vwpAwAA7ggAAA4AAABkcnMvZTJvRG9jLnht&#10;bO1WzW4TMRC+I/EOlu90f7KbPzWpQkMqpEIrFcTZ8Xp/JK9tbCebcubAkTdA4sYzIB6n4jUYezdp&#10;WipBi+CEIm1sj+2Z+eb7ZvfwaFNztGbaVFJMcHQQYsQElVkligl+/WrxZIiRsURkhEvBJviSGXw0&#10;ffzosFFjFstS8oxpBJcIM27UBJfWqnEQGFqympgDqZgAYy51TSxMdRFkmjRwe82DOAz7QSN1prSk&#10;zBhYnbdGPPX35zmj9izPDbOITzDEZv1T++fSPYPpIRkXmqiyol0Y5AFR1KQS4HR31ZxYgla6+umq&#10;uqJaGpnbAyrrQOZ5RZnPAbKJwlvZnGi5Uj6XYtwUagcTQHsLpwdfS1+uzzWqsglOehgJUkONvn99&#10;f/XxA4IFQKdRxRg2nWh1oc51t1C0M5fwJte1+4dU0MbjernDlW0sorDYC4fDfgLwU7ClcS+GsQee&#10;llAddyxJ0wgjb+1H6db4rDs/TJN+ezjqjYbOGmwdBy6+XTiNAhaZa6DMnwF1URLFPP7GYbAFKtkB&#10;9enL1bfPKOqA8pt2KJmxAcDugOiuXLdI7WUaDTwOu0zJWGljT5iskRtMsAZye86R9amxLSjbLc6t&#10;kbzKFhXnfqKL5THXaE1ACPOR+/mzfFW/kFm7PEzD0BcGfJp2v0f6xkVcoGaC4zSBrYgSkGzOiYVh&#10;rYBERhQYEV5AL6BWew9Cuhh8uV10c2LK1p2/tismF+DJVa/FzI2WMrsExLVsNWsUXVRw/pQYe040&#10;iBT8Q+OxZ/DIuYSgZDfCqJT63V3rbj9QAqwYNSB6CPjtimiGEX8ugCyjKHE0tX6SpIMYJnrfsty3&#10;iFV9LAFOYC5E54duv+XbYa5l/Qb608x5BRMRFHy30HSTY9s2I+hwlM1mfht0BkXsqbhQ1F3uyifk&#10;bGVlXvkyX6PTgQaUd0L9F9xPb3M/cRV0vkEgv8P9waDT+XDUNYEd93sxKMu1iCiKvaT+Bvdn8zCM&#10;5x3tPAW3Erk3s2+c7gTTUvtpOOhHC185U5KMtatOXr/U1700YjfLTQf/f7ncTy7+xQEvVd/hug8A&#10;99ben3t5XX+mTH8A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F5b3vwpAwAA7ggAAA4AAAAA&#10;AAAAAQAgAAAAKw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gcSdNb4AAADb&#10;AAAADwAAAGRycy9kb3ducmV2LnhtbEWPzWsCMRTE7wX/h/AEbzVZ8aNsjR5EsXhqVfD63Lzubnfz&#10;siTxo/+9KRQ8DjPzG2a+vNtWXMmH2rGGbKhAEBfO1FxqOB42r28gQkQ22DomDb8UYLnovcwxN+7G&#10;X3Tdx1IkCIccNVQxdrmUoajIYhi6jjh5385bjEn6UhqPtwS3rRwpNZUWa04LFXa0qqho9heroTnO&#10;Pmu12v6cds104tfZeTbxZ60H/Uy9g4h0j8/wf/vDaBiP4e9L+gFy8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cSd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yF8mLsAAADb&#10;AAAADwAAAGRycy9kb3ducmV2LnhtbEWPS4sCMRCE78L+h9ALe9PExdVhNAorKHv07bWZtDODk86Q&#10;xNe/3wiCx6KqvqIms7ttxJV8qB1r6PcUCOLCmZpLDbvtopuBCBHZYOOYNDwowGz60ZlgbtyN13Td&#10;xFIkCIccNVQxtrmUoajIYui5ljh5J+ctxiR9KY3HW4LbRn4rNZQWa04LFbY0r6g4by5Ww3D1O3fF&#10;Nlse/LFWK3dZPLLRXuuvz74ag4h0j+/wq/1nNAx+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yF8m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石家庄市鹿泉区安全生产监督管理局</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676.6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44.62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kern w:val="2"/>
                <w:sz w:val="18"/>
                <w:szCs w:val="18"/>
                <w:lang w:val="en-US" w:eastAsia="zh-CN" w:bidi="ar-SA"/>
              </w:rPr>
            </w:pPr>
            <w:r>
              <w:rPr>
                <w:rFonts w:hint="eastAsia" w:ascii="宋体" w:hAnsi="宋体" w:cs="宋体"/>
                <w:color w:val="000000"/>
                <w:sz w:val="18"/>
                <w:szCs w:val="18"/>
                <w:lang w:val="en-US" w:eastAsia="zh-CN"/>
              </w:rPr>
              <w:t>44.62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lang w:bidi="ar"/>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29.56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kern w:val="2"/>
                <w:sz w:val="18"/>
                <w:szCs w:val="18"/>
                <w:lang w:val="en-US" w:eastAsia="zh-CN" w:bidi="ar-SA"/>
              </w:rPr>
            </w:pPr>
            <w:r>
              <w:rPr>
                <w:rFonts w:hint="eastAsia" w:ascii="宋体" w:hAnsi="宋体" w:cs="宋体"/>
                <w:color w:val="000000"/>
                <w:sz w:val="18"/>
                <w:szCs w:val="18"/>
                <w:lang w:val="en-US" w:eastAsia="zh-CN"/>
              </w:rPr>
              <w:t>29.56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567.84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567.84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31.1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31.1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676.6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673.12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kern w:val="2"/>
                <w:sz w:val="18"/>
                <w:szCs w:val="18"/>
                <w:lang w:val="en-US" w:eastAsia="zh-CN" w:bidi="ar-SA"/>
              </w:rPr>
            </w:pPr>
            <w:r>
              <w:rPr>
                <w:rFonts w:hint="eastAsia" w:ascii="宋体" w:hAnsi="宋体" w:cs="宋体"/>
                <w:color w:val="000000"/>
                <w:sz w:val="18"/>
                <w:szCs w:val="18"/>
                <w:lang w:val="en-US" w:eastAsia="zh-CN"/>
              </w:rPr>
              <w:t>673.12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27.32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30.8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kern w:val="2"/>
                <w:sz w:val="18"/>
                <w:szCs w:val="18"/>
                <w:lang w:val="en-US" w:eastAsia="zh-CN" w:bidi="ar-SA"/>
              </w:rPr>
            </w:pPr>
            <w:r>
              <w:rPr>
                <w:rFonts w:hint="eastAsia" w:ascii="宋体" w:hAnsi="宋体" w:cs="宋体"/>
                <w:color w:val="000000"/>
                <w:sz w:val="18"/>
                <w:szCs w:val="18"/>
                <w:lang w:val="en-US" w:eastAsia="zh-CN"/>
              </w:rPr>
              <w:t>30.8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27.32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 w:val="18"/>
                <w:szCs w:val="18"/>
                <w:lang w:val="en-US" w:eastAsia="zh-CN"/>
              </w:rPr>
            </w:pPr>
            <w:r>
              <w:rPr>
                <w:rFonts w:hint="eastAsia" w:ascii="宋体" w:hAnsi="宋体" w:cs="宋体"/>
                <w:color w:val="000000"/>
                <w:sz w:val="18"/>
                <w:szCs w:val="18"/>
                <w:lang w:val="en-US" w:eastAsia="zh-CN"/>
              </w:rPr>
              <w:t>703.92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lang w:bidi="ar"/>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lang w:bidi="ar"/>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703.92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lang w:val="en-US" w:eastAsia="zh-CN"/>
              </w:rPr>
              <w:t>703.92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lang w:bidi="ar"/>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w:t>
            </w:r>
            <w:r>
              <w:rPr>
                <w:sz w:val="44"/>
              </w:rPr>
              <mc:AlternateContent>
                <mc:Choice Requires="wpg">
                  <w:drawing>
                    <wp:anchor distT="0" distB="0" distL="114300" distR="114300" simplePos="0" relativeHeight="251660288"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46" name="组合 46"/>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4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60288;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S7gBcmAwAA7ggAAA4AAABkcnMvZTJvRG9jLnht&#10;bO1Wy24TMRTdI/EPlvd0Hpk81UkVGlIhFVqpINaOx/OQPLaxnUzKmgVL/gCJHd+A+JyK3+DaM0nT&#10;UgmliB2KNLF97fs4PufOHJ9sao7WTJtKihRHRyFGTFCZVaJI8ds3i2cjjIwlIiNcCpbia2bwyfTp&#10;k+NGTVgsS8kzphE4EWbSqBSX1qpJEBhaspqYI6mYAGMudU0sTHURZJo04L3mQRyGg6CROlNaUmYM&#10;rM5bI556/3nOqL3Ic8Ms4imG3Kx/av9cumcwPSaTQhNVVrRLgzwii5pUAoLuXM2JJWilq99c1RXV&#10;0sjcHlFZBzLPK8p8DVBNFN6r5kzLlfK1FJOmUDuYANp7OD3aLX29vtSoylKcDDASpIY7+vn9483n&#10;TwgWAJ1GFRPYdKbVlbrU3ULRzlzBm1zX7h9KQRuP6/UOV7axiMJiLxyNBgnAT8HWj3sxjD3wtITb&#10;cceSfj/CyFsHUX9rfNGdH/Vdcu5w1BuPnDXYBg5cfrt0GgUsMrdAmb8D6qokinn8jcNgC9RwB9SX&#10;bzc/vqKo51JysWHTDiUzMQDYAxA9VOsWqb1Ko6HHYVcpmSht7BmTNXKDFGsgt+ccWZ8b24Ky3eLC&#10;GsmrbFFx7ie6WJ5yjdYEhDAfu58/y1f1K5m1y6N+GPqLgZim3e+RvuOIC9SkOO4nsBVRApLNObEw&#10;rBWQyIgCI8IL6AXUah9BSJeDv26X3ZyYsg3n3XaXyQVEcgi2mLnRUmbXgLiWrWaNoosKzp8TYy+J&#10;BpFCfGg89gIeOZeQlOxGGJVSf3ho3e0HSoAVowZEDwm/XxHNMOIvBZBlHCWOptZPkv4whonetyz3&#10;LWJVn0qAE5gL2fmh22/5dphrWb+D/jRzUcFEBIXYLTTd5NS2zQg6HGWzmd8GnUERey6uFHXO3fUJ&#10;OVtZmVf+mm/R6UADyrf8+/fch3beNYmO+8mB3B+CerzOR+OuCey434uTTuVR7CX1L7g/m4dhPO9o&#10;5ym4lcjBzL5zuhNMS+3n4XAQLfzNmZJkrF118vqjvg7SiN0sN13r+S+Xw+TiXxzwUvUdrvsAcG/t&#10;/bmX1+1nyvQ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JpSytwAAAANAQAADwAAAAAAAAABACAA&#10;AAAiAAAAZHJzL2Rvd25yZXYueG1sUEsBAhQAFAAAAAgAh07iQLS7gBcmAwAA7ggAAA4AAAAAAAAA&#10;AQAgAAAAKw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cRYDQr4AAADb&#10;AAAADwAAAGRycy9kb3ducmV2LnhtbEWPzWrDMBCE74G+g9hAb4nk0MTFiZJDaEjpqU0NvW6sje3Y&#10;WhlJ+enbV4VCj8PMfMOsNnfbiyv50DrWkE0VCOLKmZZrDeXnbvIMIkRkg71j0vBNATbrh9EKC+Nu&#10;/EHXQ6xFgnAoUEMT41BIGaqGLIapG4iTd3LeYkzS19J4vCW47eVMqYW02HJaaHCgbUNVd7hYDV2Z&#10;v7dquz9/vXWLuX/JjvncH7V+HGdqCSLSPf6H/9qvRsNTDr9f0g+Q6x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RYDQ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iSDTBrkAAADb&#10;AAAADwAAAGRycy9kb3ducmV2LnhtbEVPy4rCMBTdD/gP4QruxkQZOqUahRGUWWqdx/bSXNsyzU1J&#10;0qp/bxbCLA/nvd7ebCdG8qF1rGExVyCIK2darjV8nfevOYgQkQ12jknDnQJsN5OXNRbGXflEYxlr&#10;kUI4FKihibEvpAxVQxbD3PXEibs4bzEm6GtpPF5TuO3kUqlMWmw5NTTY066h6q8crIbs+LFz1Tk/&#10;/PjfVh3dsL/n799az6YLtQIR6Rb/xU/3p9HwlsamL+kHyM0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Ikg0wa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石家庄市鹿泉区安全生产监督管理局</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673.12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b/>
                <w:color w:val="000000"/>
                <w:szCs w:val="21"/>
                <w:lang w:val="en-US" w:eastAsia="zh-CN"/>
              </w:rPr>
            </w:pPr>
            <w:r>
              <w:rPr>
                <w:rFonts w:hint="eastAsia" w:ascii="宋体" w:hAnsi="宋体" w:cs="宋体"/>
                <w:b/>
                <w:color w:val="000000"/>
                <w:szCs w:val="21"/>
                <w:lang w:val="en-US" w:eastAsia="zh-CN"/>
              </w:rPr>
              <w:t>588.61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44.62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42.74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1.88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42.74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42.74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2050505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 xml:space="preserve"> 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42.74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42.74</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20809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退役安置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1.88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1.88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2080901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退役士兵安置</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1.88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1.88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医疗卫生与计划生育支出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29.56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29.56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21011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行政事业单位医疗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29.56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29.56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2101101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行政单位医疗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29.56</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29.56</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资源勘探信息等支出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567.84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488.2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21506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安全生产监管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567.84</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455.2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2150601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455.2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455.2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2150602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 xml:space="preserve"> 一般行政管理事务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51.7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51.7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2150605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安全监管监察专项</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49.41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49.41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2150606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应急救援支出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eastAsia" w:ascii="宋体" w:hAnsi="宋体" w:eastAsia="宋体" w:cs="宋体"/>
                <w:color w:val="000000"/>
                <w:szCs w:val="21"/>
                <w:lang w:val="en-US" w:eastAsia="zh-CN"/>
              </w:rPr>
            </w:pPr>
            <w:r>
              <w:rPr>
                <w:rFonts w:hint="eastAsia" w:ascii="宋体" w:hAnsi="宋体" w:cs="宋体"/>
                <w:color w:val="000000"/>
                <w:szCs w:val="21"/>
                <w:lang w:val="en-US" w:eastAsia="zh-CN"/>
              </w:rPr>
              <w:t>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eastAsia"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2150699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其他安全生产监管支出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6.53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6.53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221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住房保障支出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31.1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31.1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22102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住房改革支出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31.1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31.1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hint="default" w:ascii="宋体" w:hAnsi="宋体" w:eastAsia="宋体" w:cs="宋体"/>
                <w:color w:val="000000"/>
                <w:kern w:val="2"/>
                <w:sz w:val="21"/>
                <w:szCs w:val="21"/>
                <w:lang w:val="en-US" w:eastAsia="zh-CN" w:bidi="ar-SA"/>
              </w:rPr>
            </w:pPr>
            <w:r>
              <w:rPr>
                <w:rFonts w:hint="eastAsia" w:ascii="宋体" w:hAnsi="宋体" w:cs="宋体"/>
                <w:color w:val="000000"/>
                <w:szCs w:val="21"/>
                <w:lang w:val="en-US" w:eastAsia="zh-CN"/>
              </w:rPr>
              <w:t>2210201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eastAsia="宋体" w:cs="宋体"/>
                <w:color w:val="000000"/>
                <w:kern w:val="2"/>
                <w:sz w:val="21"/>
                <w:szCs w:val="21"/>
                <w:lang w:val="en-US" w:eastAsia="zh-CN" w:bidi="ar-SA"/>
              </w:rPr>
            </w:pPr>
            <w:r>
              <w:rPr>
                <w:rFonts w:hint="eastAsia" w:ascii="宋体" w:hAnsi="宋体" w:cs="宋体"/>
                <w:color w:val="000000"/>
                <w:szCs w:val="21"/>
              </w:rPr>
              <w:t>住房公积金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31.1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lang w:val="en-US" w:eastAsia="zh-CN"/>
              </w:rPr>
              <w:t>31.1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部门：</w:t>
            </w:r>
            <w:r>
              <w:rPr>
                <w:rFonts w:hint="eastAsia" w:ascii="宋体" w:hAnsi="宋体" w:cs="宋体"/>
                <w:color w:val="000000"/>
                <w:kern w:val="0"/>
                <w:sz w:val="20"/>
                <w:szCs w:val="20"/>
                <w:lang w:eastAsia="zh-CN" w:bidi="ar"/>
              </w:rPr>
              <w:t>石家庄市鹿泉区安全生产监督管理局</w:t>
            </w:r>
            <w:r>
              <w:rPr>
                <w:sz w:val="44"/>
              </w:rPr>
              <mc:AlternateContent>
                <mc:Choice Requires="wpg">
                  <w:drawing>
                    <wp:anchor distT="0" distB="0" distL="114300" distR="114300" simplePos="0" relativeHeight="251661312" behindDoc="0" locked="1" layoutInCell="1" allowOverlap="1">
                      <wp:simplePos x="0" y="0"/>
                      <wp:positionH relativeFrom="column">
                        <wp:posOffset>-930275</wp:posOffset>
                      </wp:positionH>
                      <wp:positionV relativeFrom="page">
                        <wp:posOffset>-1643380</wp:posOffset>
                      </wp:positionV>
                      <wp:extent cx="3088640" cy="523240"/>
                      <wp:effectExtent l="3175" t="0" r="13335" b="29210"/>
                      <wp:wrapNone/>
                      <wp:docPr id="49" name="组合 49"/>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73.25pt;margin-top:-129.4pt;height:41.2pt;width:243.2pt;mso-position-vertical-relative:page;z-index:251661312;mso-width-relative:page;mso-height-relative:page;" coordorigin="4551,52615" coordsize="8546,1398"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DkanUkJQMAAO4IAAAOAAAAZHJzL2Uyb0RvYy54&#10;bWztVs1uEzEQviPxDpbvdH+ymz81qUJDKqRCKxXE2fF6fySvbWwnm3LmwJE3QOLGMyAep+I1GHs3&#10;aVoqoRRxQ5E2tmc8P998M7vHJ5uaozXTppJigqOjECMmqMwqUUzw2zeLZ0OMjCUiI1wKNsHXzOCT&#10;6dMnx40as1iWkmdMIzAizLhRE1xaq8ZBYGjJamKOpGIChLnUNbGw1UWQadKA9ZoHcRj2g0bqTGlJ&#10;mTFwOm+FeOrt5zmj9iLPDbOITzDEZv1T++fSPYPpMRkXmqiyol0Y5BFR1KQS4HRnak4sQStd/Waq&#10;rqiWRub2iMo6kHleUeZzgGyi8F42Z1qulM+lGDeF2sEE0N7D6dFm6ev1pUZVNsHJCCNBaqjRz+8f&#10;bz5/QnAA6DSqGIPSmVZX6lJ3B0W7cwlvcl27f0gFbTyu1ztc2cYiCoe9cDjsJwA/BVka92JYe+Bp&#10;CdVx15I0jTDy0n6UboUvuvvDNOm3l6PeaOikwdZx4OLbhdMoYJG5Bcr8HVBXJVHM428cBh1QKSTS&#10;AfXl282PryjquZCcb1DaoWTGBgB7AKKHct0itZdpNPA47DIlY6WNPWOyRm4xwRrI7TlH1ufGtqBs&#10;VZxbI3mVLSrO/UYXy1Ou0ZpAI8xH7ufv8lX9Smbt8TANQ18Y8GlafY/0HUNcoGaC4zQBVUQJtGzO&#10;iYVlrYBERhQYEV7ALKBWew9Cuhh8uV10c2LK1p032xWTC/DkEGwxc6ulzK4BcS3bnjWKLiq4f06M&#10;vSQamhT8w+CxF/DIuYSgZLfCqJT6w0PnTh8oAVKMGmh6CPj9imiGEX8pgCyjKHE0tX6TpIMYNnpf&#10;styXiFV9KgFOYC5E55dO3/LtMteyfgfzaea8gogICr5baLrNqW2HEUw4ymYzrwaTQRF7Lq4UdcZd&#10;+YScrazMK1/mW3Q60IDyLf/+Pfch17vcTw7k/mDQ9flw1A2BHfd7cdJ1eRT7lvoX3J/NwzCed7Tz&#10;FNy2yMHMvnO7a5iW2s/DQT9a+MqZkmSsPXXt9cf+OqhH7Ga56UbP/3Y5rF38iwNeqn7CdR8A7q29&#10;v/ftdfuZMv0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sDI+9N0AAAAOAQAADwAAAAAAAAABACAA&#10;AAAiAAAAZHJzL2Rvd25yZXYueG1sUEsBAhQAFAAAAAgAh07iQORqdSQlAwAA7ggAAA4AAAAAAAAA&#10;AQAgAAAALA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eyYN67oAAADb&#10;AAAADwAAAGRycy9kb3ducmV2LnhtbEVPu27CMBTdK/EP1kXqVuxUCqCAYUCgok4UkFgv8SUJia8j&#10;2zz69/WA1PHovOfLp+3EnXxoHGvIRgoEcelMw5WG42HzMQURIrLBzjFp+KUAy8XgbY6FcQ/+ofs+&#10;ViKFcChQQx1jX0gZyposhpHriRN3cd5iTNBX0nh8pHDbyU+lxtJiw6mhxp5WNZXt/mY1tMfJrlGr&#10;r+vpux3nfp2dJ7k/a/0+zNQMRKRn/Be/3FujIU/r05f0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7Jg3r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cPsRrsAAADb&#10;AAAADwAAAGRycy9kb3ducmV2LnhtbEWPS4sCMRCE7wv+h9CCtzUZQXcYjYKCyx59e20m7czgpDMk&#10;8fXvzcLCHouq+oqaLZ62FXfyoXGsIRsqEMSlMw1XGg779WcOIkRkg61j0vCiAIt572OGhXEP3tJ9&#10;FyuRIBwK1FDH2BVShrImi2HoOuLkXZy3GJP0lTQeHwluWzlSaiItNpwWauxoVVN53d2shslmuXLl&#10;Pv8++XOjNu62fuVfR60H/UxNQUR6xv/wX/vHaBhn8Psl/QA5fw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cPsR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489.62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52.46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106.31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3.99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87.76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142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0.14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16.16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1.74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45.06</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1.99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21.8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33.21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6.14</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0.01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54.63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0.95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0.03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16.52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1.42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15.09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7.18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0.05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8.1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lang w:bidi="ar"/>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2.26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506.14</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lang w:bidi="ar"/>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hint="default" w:ascii="宋体" w:hAnsi="宋体" w:eastAsia="宋体" w:cs="宋体"/>
                <w:color w:val="000000"/>
                <w:sz w:val="16"/>
                <w:szCs w:val="16"/>
                <w:lang w:val="en-US" w:eastAsia="zh-CN"/>
              </w:rPr>
            </w:pPr>
            <w:r>
              <w:rPr>
                <w:rFonts w:hint="eastAsia" w:ascii="宋体" w:hAnsi="宋体" w:cs="宋体"/>
                <w:color w:val="000000"/>
                <w:sz w:val="16"/>
                <w:szCs w:val="16"/>
                <w:lang w:val="en-US" w:eastAsia="zh-CN"/>
              </w:rPr>
              <w:t>52.46</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一般公共预算财政拨款“</w:t>
            </w:r>
            <w:r>
              <w:rPr>
                <w:sz w:val="44"/>
              </w:rPr>
              <mc:AlternateContent>
                <mc:Choice Requires="wpg">
                  <w:drawing>
                    <wp:anchor distT="0" distB="0" distL="114300" distR="114300" simplePos="0" relativeHeight="251662336" behindDoc="0" locked="1" layoutInCell="1" allowOverlap="1">
                      <wp:simplePos x="0" y="0"/>
                      <wp:positionH relativeFrom="column">
                        <wp:posOffset>-1050925</wp:posOffset>
                      </wp:positionH>
                      <wp:positionV relativeFrom="page">
                        <wp:posOffset>-1029970</wp:posOffset>
                      </wp:positionV>
                      <wp:extent cx="3088640" cy="523240"/>
                      <wp:effectExtent l="3175" t="0" r="13335" b="29210"/>
                      <wp:wrapNone/>
                      <wp:docPr id="52" name="组合 52"/>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2.75pt;margin-top:-81.1pt;height:41.2pt;width:243.2pt;mso-position-vertical-relative:page;z-index:251662336;mso-width-relative:page;mso-height-relative:page;" coordorigin="4551,52615" coordsize="8546,1398"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Gg3PdEkAwAA7ggAAA4AAABkcnMvZTJvRG9jLnht&#10;bO1WzW4TMRC+I/EOlu90f5LNn7qpQkMqpEIrFcTZ8Xp/JK9tbCebcubAkTdA4sYzIB6n4jUYezdp&#10;WiqhFHFDkTa2Zzw/33wzu8cnm5qjNdOmkiLF0VGIERNUZpUoUvz2zeLZCCNjicgIl4Kl+JoZfDJ9&#10;+uS4URMWy1LyjGkERoSZNCrFpbVqEgSGlqwm5kgqJkCYS10TC1tdBJkmDViveRCH4SBopM6UlpQZ&#10;A6fzVoin3n6eM2ov8twwi3iKITbrn9o/l+4ZTI/JpNBElRXtwiCPiKImlQCnO1NzYgla6eo3U3VF&#10;tTQyt0dU1oHM84oynwNkE4X3sjnTcqV8LsWkKdQOJoD2Hk6PNktfry81qrIUJzFGgtRQo5/fP958&#10;/oTgANBpVDEBpTOtrtSl7g6KducS3uS6dv+QCtp4XK93uLKNRRQOe+FoNOgD/BRkSdyLYe2BpyVU&#10;x13rJ0mEkZcOomQrfNHdHyX9QXs56o1HThpsHQcuvl04jQIWmVugzN8BdVUSxTz+xmGwBaq3A+rL&#10;t5sfX1HUcyE536C0Q8lMDAD2AEQP5bpFai/TaOhx2GVKJkobe8ZkjdwixRrI7TlH1ufGtqBsVZxb&#10;I3mVLSrO/UYXy1Ou0ZpAI8zH7ufv8lX9Smbt8SgJQ18Y8GlafY/0HUNcoCbFcdIHVUQJtGzOiYVl&#10;rYBERhQYEV7ALKBWew9Cuhh8uV10c2LK1p032xWTC/DkEGwxc6ulzK4BcS3bnjWKLiq4f06MvSQa&#10;mhT8w+CxF/DIuYSgZLfCqJT6w0PnTh8oAVKMGmh6CPj9imiGEX8pgCzjqO9oav2mnwxj2Oh9yXJf&#10;Ilb1qQQ4gbkQnV86fcu3y1zL+h3Mp5nzCiIiKPhuoek2p7YdRjDhKJvNvBpMBkXsubhS1Bl35RNy&#10;trIyr3yZb9HpQAPKt/z799zv3+d+/0DuD4ddn4/G3RDYcb8Xg3U3IqIo9i31L7g/m4dhPO9o5ym4&#10;bZGDmX3ndtcwLbWfh8NBtPCVMyXJWHvq2uuP/XVQj9jNctONnv/tcli7+BcHvFT9hOs+ANxbe3/v&#10;2+v2M2X6C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Bwnm4jcAAAADQEAAA8AAAAAAAAAAQAgAAAA&#10;IgAAAGRycy9kb3ducmV2LnhtbFBLAQIUABQAAAAIAIdO4kBoNz3RJAMAAO4IAAAOAAAAAAAAAAEA&#10;IAAAACsBAABkcnMvZTJvRG9jLnhtbFBLBQYAAAAABgAGAFkBAADB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i/STnL4AAADb&#10;AAAADwAAAGRycy9kb3ducmV2LnhtbEWPT2sCMRTE74LfIbyCN022sipbowexWHpqVfD63Lzubnfz&#10;siTxT799Uyh4HGbmN8xyfbeduJIPjWMN2USBIC6dabjScDy8jhcgQkQ22DkmDT8UYL0aDpZYGHfj&#10;T7ruYyUShEOBGuoY+0LKUNZkMUxcT5y8L+ctxiR9JY3HW4LbTj4rNZMWG04LNfa0qals9xeroT3O&#10;Pxq12X2f3ttZ7rfZeZ77s9ajp0y9gIh0j4/wf/vNaMin8Pcl/QC5+g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STn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bRP3rsAAADb&#10;AAAADwAAAGRycy9kb3ducmV2LnhtbEWPS4sCMRCE78L+h9ALe9PExdVhNAorKHv07bWZtDODk86Q&#10;xNe/3wiCx6KqvqIms7ttxJV8qB1r6PcUCOLCmZpLDbvtopuBCBHZYOOYNDwowGz60ZlgbtyN13Td&#10;xFIkCIccNVQxtrmUoajIYui5ljh5J+ctxiR9KY3HW4LbRn4rNZQWa04LFbY0r6g4by5Ww3D1O3fF&#10;Nlse/LFWK3dZPLLRXuuvz74ag4h0j+/wq/1nNPwM4Pkl/QA5/Q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bRP3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石家庄市鹿泉区安全生产监督管理局</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lang w:bidi="ar"/>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8.1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8.1</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8.1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8.1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8.1</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hint="default" w:ascii="宋体" w:hAnsi="宋体" w:eastAsia="宋体" w:cs="宋体"/>
                <w:color w:val="000000"/>
                <w:szCs w:val="21"/>
                <w:lang w:val="en-US" w:eastAsia="zh-CN"/>
              </w:rPr>
            </w:pPr>
            <w:r>
              <w:rPr>
                <w:rFonts w:hint="eastAsia" w:ascii="宋体" w:hAnsi="宋体" w:cs="宋体"/>
                <w:color w:val="000000"/>
                <w:szCs w:val="21"/>
                <w:lang w:val="en-US" w:eastAsia="zh-CN"/>
              </w:rPr>
              <w:t>8.1</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lang w:bidi="ar"/>
              </w:rPr>
              <w:t>政府性基金预算财政拨款</w:t>
            </w:r>
            <w:r>
              <w:rPr>
                <w:sz w:val="44"/>
              </w:rPr>
              <mc:AlternateContent>
                <mc:Choice Requires="wpg">
                  <w:drawing>
                    <wp:anchor distT="0" distB="0" distL="114300" distR="114300" simplePos="0" relativeHeight="251663360"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5" name="组合 55"/>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63360;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DkfaQnAwAA7ggAAA4AAABkcnMvZTJvRG9jLnht&#10;bO1Wy24TMRTdI/EPlvd0HsnkMWpShYZUSIVWKoi14/E8JI9tbKeTsmbBkj9AYsc3ID6n4je49kwe&#10;LZWgRbBCkSZ+XN/Hued45vBoXXN0ybSppJjg6CDEiAkqs0oUE/z61eLJCCNjicgIl4JN8BUz+Gj6&#10;+NFho1IWy1LyjGkEToRJGzXBpbUqDQJDS1YTcyAVE7CZS10TC1NdBJkmDXiveRCH4SBopM6UlpQZ&#10;A6vzdhNPvf88Z9Se5blhFvEJhtysf2r/XLpnMD0kaaGJKivapUEekEVNKgFBt67mxBK00tVPruqK&#10;amlkbg+orAOZ5xVlvgaoJgpvVXOi5Ur5Woq0KdQWJoD2Fk4PdktfXp5rVGUTnCQYCVJDj75/fX/9&#10;8QOCBUCnUUUKRidaXahz3S0U7cwVvM517f6hFLT2uF5tcWVriygs9sLRaNAH+CnsJXEvhrEHnpbQ&#10;HXesnyQRRn53EPm4JKXls+78KOkP2sNRbzxyR4NN4MDlt02nUcAiswPK/BlQFyVRzONvHAYboCCX&#10;DqhPX66/fUZRrwXKG21RMqkBwO6A6K5aN0jtVRoNPQ7bSkmqtLEnTNbIDSZYA7k958jlqbEtKBsT&#10;F9ZIXmWLinM/0cXymGt0SUAI87H7+bN8Vb+QWbs8SsLQNwZimtbeI33DEReomeA46YMpogQkm3Ni&#10;YVgrIJERBUaEF3AXUKt9BCFdDr7dLrs5MWUbzrvtmskFRHLdazFzo6XMrgBxLVvNGkUXFZw/Jcae&#10;Ew0ihfhw8dgzeORcQlKyG2FUSv3urnVnD5SAXYwaED0k/HZFNMOIPxdAlnHUdzS1ftJPhjFM9P7O&#10;cn9HrOpjCXACcyE7P3T2lm+GuZb1G7ifZi4qbBFBIXYLTTc5tu1lBDccZbOZN4ObQRF7Ki4Udc5d&#10;+4ScrazMK9/mHTodaEB5J9R/wf3hbe7378n9IXjwOh+Nu0tgy/1e3O9UHsVeUn+D+7N5GMbzjnae&#10;ghuJ3JvZN053gmmp/TQcDqKF75wpScbaVSevX+rrXhqx6+UalLUjxH+5/K5c/IsDXqr+hus+ANxb&#10;e3/u5bX7T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ByaUsrcAAAADQEAAA8AAAAAAAAAAQAg&#10;AAAAIgAAAGRycy9kb3ducmV2LnhtbFBLAQIUABQAAAAIAIdO4kDg5H2kJwMAAO4IAAAOAAAAAAAA&#10;AAEAIAAAACsBAABkcnMvZTJvRG9jLnhtbFBLBQYAAAAABgAGAFkBAADE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m4MwBL4AAADb&#10;AAAADwAAAGRycy9kb3ducmV2LnhtbEWPT2sCMRTE70K/Q3hCb5psYdeyNXqQlhZPVoVen5vX3XU3&#10;L0uS+ufbm4LgcZiZ3zDz5cX24kQ+tI41ZFMFgrhypuVaw373MXkFESKywd4xabhSgOXiaTTH0rgz&#10;f9NpG2uRIBxK1NDEOJRShqohi2HqBuLk/TpvMSbpa2k8nhPc9vJFqUJabDktNDjQqqGq2/5ZDd1+&#10;tmnV6vP4s+6K3L9nh1nuD1o/jzP1BiLSJT7C9/aX0ZAX8P8l/QC5u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4MwB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fWbRqbwAAADb&#10;AAAADwAAAGRycy9kb3ducmV2LnhtbEWPQWvCQBSE7wX/w/KE3uquQmNIXQUFpcdUW70+sq9JMPs2&#10;7K6J/vtuodDjMDPfMKvN3XZiIB9axxrmMwWCuHKm5VrD52n/koMIEdlg55g0PCjAZj15WmFh3Mgf&#10;NBxjLRKEQ4Eamhj7QspQNWQxzFxPnLxv5y3GJH0tjccxwW0nF0pl0mLLaaHBnnYNVdfjzWrIyu3O&#10;Vaf8cPaXVpXutn/kyy+tn6dz9QYi0j3+h//a70bD6xJ+v6QfIN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1m0am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36"/>
                <w:szCs w:val="36"/>
                <w:lang w:bidi="ar"/>
              </w:rPr>
              <w:t>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部门：</w:t>
            </w:r>
            <w:r>
              <w:rPr>
                <w:rFonts w:hint="eastAsia" w:ascii="宋体" w:hAnsi="宋体" w:cs="宋体"/>
                <w:color w:val="000000"/>
                <w:kern w:val="0"/>
                <w:sz w:val="20"/>
                <w:szCs w:val="20"/>
                <w:lang w:eastAsia="zh-CN" w:bidi="ar"/>
              </w:rPr>
              <w:t>石家庄市鹿泉区安全生产监督管理局</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 xml:space="preserve">注：本表反映部门本年度政府性基金预算财政拨款收入、支出及结转和结余情况。   </w:t>
            </w:r>
          </w:p>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  </w:t>
            </w:r>
            <w:r>
              <w:rPr>
                <w:rFonts w:hint="eastAsia" w:ascii="宋体" w:hAnsi="宋体" w:cs="宋体"/>
                <w:color w:val="000000"/>
                <w:kern w:val="0"/>
                <w:szCs w:val="21"/>
                <w:lang w:eastAsia="zh-CN" w:bidi="ar"/>
              </w:rPr>
              <w:t>本部门本年度无相关收入（或支出、收支及结转结余等）情况，按要求空表列示。</w:t>
            </w:r>
            <w:r>
              <w:rPr>
                <w:rFonts w:hint="eastAsia" w:ascii="宋体" w:hAnsi="宋体" w:cs="宋体"/>
                <w:color w:val="000000"/>
                <w:kern w:val="0"/>
                <w:szCs w:val="21"/>
                <w:lang w:bidi="ar"/>
              </w:rPr>
              <w:t xml:space="preserve">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国有资本经营预算财政拨</w:t>
            </w:r>
            <w:r>
              <w:rPr>
                <w:sz w:val="44"/>
              </w:rPr>
              <mc:AlternateContent>
                <mc:Choice Requires="wpg">
                  <w:drawing>
                    <wp:anchor distT="0" distB="0" distL="114300" distR="114300" simplePos="0" relativeHeight="251664384"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58" name="组合 5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5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6438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Li3ANIpAwAA7ggAAA4AAABkcnMvZTJvRG9jLnht&#10;bO1Wy24TMRTdI/EPlvd0HsnkpU6q0JAKqdBKBbF2PJ6H5LGN7XRS1ixY8gdI7PgGxOdU/AbXnsmj&#10;pRK0CFYo0sT2vb6Pc8+9M4dH65qjS6ZNJUWKo4MQIyaozCpRpPj1q8WTEUbGEpERLgVL8RUz+Gj6&#10;+NFhoyYslqXkGdMIjAgzaVSKS2vVJAgMLVlNzIFUTIAwl7omFra6CDJNGrBe8yAOw0HQSJ0pLSkz&#10;Bk7nrRBPvf08Z9Se5blhFvEUQ2zWP7V/Lt0zmB6SSaGJKivahUEeEEVNKgFOt6bmxBK00tVPpuqK&#10;amlkbg+orAOZ5xVlPgfIJgpvZXOi5Ur5XIpJU6gtTADtLZwebJa+vDzXqMpSnEClBKmhRt+/vr/+&#10;+AHBAaDTqGICSidaXahz3R0U7c4lvM517f4hFbT2uF5tcWVriygc9sLRaNAH+CnIkrgXw9oDT0uo&#10;jrvWT5IIIy8dRMlG+Ky7P0r6g/Zy1Bv7qIKN48DFtw2nUcAiswPK/BlQFyVRzONvHAYboMZboD59&#10;uf72GUW9FiivtEXJTAwAdgdEd+W6QWov02jocdhmSiZKG3vCZI3cIsUayO05Ry5PjQU8QXWj4twa&#10;yatsUXHuN7pYHnONLgk0wnzsfv4uX9UvZNYej5Iw9IUBQ6bV90ZvGOICNSmOkz6oIkqgZXNOLCxr&#10;BSQyosCI8AJmAbXaexDSxeDL7aKbE1O27rxZhxy44wL+XPVazNxqKbMrQFzLtmeNoosK7p8SY8+J&#10;hiYF/zB47Bk8ci4hKNmtMCqlfnfXudMHSoAUowaaHgJ+uyKaYcSfCyDLOOo7mlq/6SfDGDZ6X7Lc&#10;l4hVfSwBTmAuROeXTt/yzTLXsn4D82nmvIKICAq+W2i6zbFthxFMOMpmM68Gk0EReyouFHXGXfmE&#10;nK2szCtf5h06HWhAedeo/4D7A8iiGxId9/v35P5w2PX5aNwNgS33e3G/6/Io9i31N7g/m4dhPO9o&#10;5ym4aZF7M/vG7a5hWmo/DYeDaOErZ0qSsfbUtdcv++tePWLXyzU00I4Q/9vld9vFvzjgperHT/cB&#10;4N7a+3vfXrvPlOkP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JpSytwAAAANAQAADwAAAAAAAAAB&#10;ACAAAAAiAAAAZHJzL2Rvd25yZXYueG1sUEsBAhQAFAAAAAgAh07iQLi3ANIpAwAA7ggAAA4AAAAA&#10;AAAAAQAgAAAAKw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6hykdr0AAADb&#10;AAAADwAAAGRycy9kb3ducmV2LnhtbEWPQWsCMRSE74X+h/AK3mqywmpdjR7EYvFUrdDrc/PcXXfz&#10;siSp2n9vCkKPw8x8w8yXN9uJC/nQONaQDRUI4tKZhisNh6/31zcQISIb7ByThl8KsFw8P82xMO7K&#10;O7rsYyUShEOBGuoY+0LKUNZkMQxdT5y8k/MWY5K+ksbjNcFtJ0dKjaXFhtNCjT2tairb/Y/V0B4m&#10;n41abc7f23ac+3V2nOT+qPXgJVMzEJFu8T/8aH8YDfkU/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qHKR2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OODYLgAAADb&#10;AAAADwAAAGRycy9kb3ducmV2LnhtbEVPS2sCMRC+F/ofwhS81cQedFmNgoLFo9XaXofNuLu4mSxJ&#10;1se/7xyEHj++92J19526UkxtYAuTsQFFXAXXcm3h+7h9L0CljOywC0wWHpRgtXx9WWDpwo2/6HrI&#10;tZIQTiVaaHLuS61T1ZDHNA49sXDnED1mgbHWLuJNwn2nP4yZao8tS0ODPW0aqi6HwVuY7tebUB2L&#10;z5/425p9GLaPYnaydvQ2MXNQme75X/x075z4ZL18kR+gl3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OODYLgAAADbAAAA&#10;DwAAAAAAAAABACAAAAAiAAAAZHJzL2Rvd25yZXYueG1sUEsBAhQAFAAAAAgAh07iQDMvBZ47AAAA&#10;OQAAABAAAAAAAAAAAQAgAAAABwEAAGRycy9zaGFwZXhtbC54bWxQSwUGAAAAAAYABgBbAQAAsQMA&#10;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lang w:bidi="ar"/>
              </w:rPr>
              <w:t>编制单位：</w:t>
            </w:r>
            <w:r>
              <w:rPr>
                <w:rFonts w:hint="eastAsia" w:ascii="宋体" w:hAnsi="宋体" w:cs="宋体"/>
                <w:color w:val="000000"/>
                <w:kern w:val="0"/>
                <w:sz w:val="20"/>
                <w:szCs w:val="20"/>
                <w:lang w:eastAsia="zh-CN" w:bidi="ar"/>
              </w:rPr>
              <w:t>石家庄市鹿泉区安全生产监督管理局</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lang w:bidi="ar"/>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lang w:bidi="ar"/>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注：本表反映部门本年度国有资本经营预算财政拨款支出情况。</w:t>
            </w:r>
          </w:p>
          <w:p>
            <w:pPr>
              <w:widowControl/>
              <w:spacing w:after="0" w:line="240" w:lineRule="auto"/>
              <w:jc w:val="left"/>
              <w:textAlignment w:val="center"/>
              <w:rPr>
                <w:rFonts w:hint="eastAsia" w:ascii="宋体" w:hAnsi="宋体" w:cs="宋体"/>
                <w:color w:val="000000"/>
                <w:kern w:val="0"/>
                <w:sz w:val="22"/>
                <w:szCs w:val="22"/>
                <w:lang w:bidi="ar"/>
              </w:rPr>
            </w:pPr>
            <w:r>
              <w:rPr>
                <w:rFonts w:hint="eastAsia" w:ascii="宋体" w:hAnsi="宋体" w:cs="宋体"/>
                <w:color w:val="000000"/>
                <w:kern w:val="0"/>
                <w:szCs w:val="21"/>
                <w:lang w:eastAsia="zh-CN" w:bidi="ar"/>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lang w:bidi="ar"/>
              </w:rPr>
              <w:t>政府采购</w:t>
            </w:r>
            <w:r>
              <w:rPr>
                <w:sz w:val="44"/>
              </w:rPr>
              <mc:AlternateContent>
                <mc:Choice Requires="wpg">
                  <w:drawing>
                    <wp:anchor distT="0" distB="0" distL="114300" distR="114300" simplePos="0" relativeHeight="251665408" behindDoc="0" locked="1" layoutInCell="1" allowOverlap="1">
                      <wp:simplePos x="0" y="0"/>
                      <wp:positionH relativeFrom="column">
                        <wp:posOffset>-1027430</wp:posOffset>
                      </wp:positionH>
                      <wp:positionV relativeFrom="page">
                        <wp:posOffset>-1029970</wp:posOffset>
                      </wp:positionV>
                      <wp:extent cx="3088640" cy="523240"/>
                      <wp:effectExtent l="3175" t="0" r="13335" b="29210"/>
                      <wp:wrapNone/>
                      <wp:docPr id="61" name="组合 61"/>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6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65408;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YlUIEhAwAA7ggAAA4AAABkcnMvZTJvRG9jLnht&#10;bO1WzW4TMRC+I/EOlu90f/K/6qYKDamQCq1UEGfH6/2RvLaxnWzKmQNH3gCJG8+AeJyK12Ds3aRp&#10;qYRSxA1F2tie8fx8883sHp9sao7WTJtKihRHRyFGTFCZVaJI8ds3i2djjIwlIiNcCpbia2bwyfTp&#10;k+NGJSyWpeQZ0wiMCJM0KsWltSoJAkNLVhNzJBUTIMylromFrS6CTJMGrNc8iMNwGDRSZ0pLyoyB&#10;03krxFNvP88ZtRd5bphFPMUQm/VP7Z9L9wymxyQpNFFlRbswyCOiqEklwOnO1JxYgla6+s1UXVEt&#10;jcztEZV1IPO8osznANlE4b1szrRcKZ9LkTSF2sEE0N7D6dFm6ev1pUZVluJhhJEgNdTo5/ePN58/&#10;ITgAdBpVJKB0ptWVutTdQdHuXMKbXNfuH1JBG4/r9Q5XtrGIwmEvHI+HfYCfgmwQ92JYe+BpCdVx&#10;1/qDAbj30mE02ApfdPfHg/6wvRz1JmMnDbaOAxffLpxGAYvMLVDm74C6KoliHn/jMNgCFe+A+vLt&#10;5sdXFPVcSM43KO1QMokBwB6A6KFct0jtZRqNPA67TEmitLFnTNbILVKsgdyec2R9bmwLylbFuTWS&#10;V9mi4txvdLE85RqtCTTCfOJ+/i5f1a9k1h6PB2HoCwM+Tavvkb5jiAvUpDge9EEVUQItm3NiYVkr&#10;IJERBUaEFzALqNXeg5AuBl9uF92cmLJ15812xeQCPDkEW8zcaimza0Bcy7ZnjaKLCu6fE2MviYYm&#10;Bf8weOwFPHIuISjZrTAqpf7w0LnTB0qAFKMGmh4Cfr8immHEXwogyyTqO5pav+kPRjFs9L5kuS8R&#10;q/pUApzAXIjOL52+5dtlrmX9DubTzHkFEREUfLfQdJtT2w4jmHCUzWZeDSaDIvZcXCnqjLvyCTlb&#10;WZlXvsy36HSgAeVb/v177vfuc79/IPdHo67Px5NuCOy434v7XZdHsW+pf8H92TwM43lHO0/BbYsc&#10;zOw7t7uGaan9PBwNo4WvnClJxtpT115/7K+DesRulptu9Pxvl8Paxb844KXqJ1z3AeDe2vt73163&#10;nynTX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ByaUsrcAAAADQEAAA8AAAAAAAAAAQAgAAAAIgAA&#10;AGRycy9kb3ducmV2LnhtbFBLAQIUABQAAAAIAIdO4kCmJVCBIQMAAO4IAAAOAAAAAAAAAAEAIAAA&#10;ACsBAABkcnMvZTJvRG9jLnhtbFBLBQYAAAAABgAGAFkBAAC+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tT8ur0AAADb&#10;AAAADwAAAGRycy9kb3ducmV2LnhtbEWPT2sCMRTE7wW/Q3iCt5qs4CpbowdRKj3VP9Drc/O6u93N&#10;y5Kkar99Iwgeh5n5DbNY3WwnLuRD41hDNlYgiEtnGq40nI7b1zmIEJENdo5Jwx8FWC0HLwssjLvy&#10;ni6HWIkE4VCghjrGvpAylDVZDGPXEyfv23mLMUlfSePxmuC2kxOlcmmx4bRQY0/rmsr28Gs1tKfZ&#10;Z6PW7z9fH20+9ZvsPJv6s9ajYabeQES6xWf40d4ZDfkE7l/SD5DL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q1Py6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DEdF7sAAADb&#10;AAAADwAAAGRycy9kb3ducmV2LnhtbEWPS4sCMRCE78L+h9AL3pzEFXSYNQorKB597e61mbQzg5PO&#10;kMTXvzeC4LGo+qqo6fxmW3EhHxrHGoaZAkFcOtNwpeGwXw5yECEiG2wdk4Y7BZjPPnpTLIy78pYu&#10;u1iJVMKhQA11jF0hZShrshgy1xEn7+i8xZikr6TxeE3ltpVfSo2lxYbTQo0dLWoqT7uz1TDe/Cxc&#10;uc9Xf/6/URt3Xt7zya/W/c+h+gYR6Rbf4Re9NokbwfNL+gFy9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DEdF7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黑体" w:hAnsi="宋体" w:eastAsia="黑体" w:cs="黑体"/>
                <w:color w:val="000000"/>
                <w:kern w:val="0"/>
                <w:sz w:val="40"/>
                <w:szCs w:val="40"/>
                <w:lang w:bidi="ar"/>
              </w:rPr>
              <w:t>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编制单位：</w:t>
            </w:r>
            <w:r>
              <w:rPr>
                <w:rFonts w:hint="eastAsia" w:ascii="宋体" w:hAnsi="宋体" w:cs="宋体"/>
                <w:color w:val="000000"/>
                <w:kern w:val="0"/>
                <w:sz w:val="20"/>
                <w:szCs w:val="20"/>
                <w:lang w:eastAsia="zh-CN" w:bidi="ar"/>
              </w:rPr>
              <w:t>石家庄市鹿泉区安全生产监督管理局</w:t>
            </w:r>
            <w:bookmarkStart w:id="0" w:name="_GoBack"/>
            <w:bookmarkEnd w:id="0"/>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lang w:bidi="ar"/>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lang w:bidi="ar"/>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hint="eastAsia" w:ascii="宋体" w:hAnsi="宋体" w:cs="宋体"/>
                <w:color w:val="000000"/>
                <w:kern w:val="0"/>
                <w:szCs w:val="21"/>
                <w:lang w:bidi="ar"/>
              </w:rPr>
            </w:pPr>
            <w:r>
              <w:rPr>
                <w:rFonts w:hint="eastAsia" w:ascii="宋体" w:hAnsi="宋体" w:cs="宋体"/>
                <w:color w:val="000000"/>
                <w:kern w:val="0"/>
                <w:szCs w:val="21"/>
                <w:lang w:bidi="ar"/>
              </w:rPr>
              <w:t>注：本表反映部门本年度纳入部门预算范围的政府采购预算及支出情况。</w:t>
            </w:r>
          </w:p>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lang w:bidi="ar"/>
              </w:rPr>
              <w:t xml:space="preserve">  </w:t>
            </w:r>
            <w:r>
              <w:rPr>
                <w:rFonts w:hint="eastAsia" w:ascii="宋体" w:hAnsi="宋体" w:cs="宋体"/>
                <w:color w:val="000000"/>
                <w:kern w:val="0"/>
                <w:szCs w:val="21"/>
                <w:lang w:eastAsia="zh-CN" w:bidi="ar"/>
              </w:rPr>
              <w:t>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43904"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第三部分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7769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18"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1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0"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769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VaA/CicDAADuCAAADgAAAGRycy9lMm9Eb2MueG1s&#10;7VbNjtMwEL4j8Q6W72ySNumftl2VLV0hLexKC+LsOs6P5NjGdpsuZw4ceQMkbjwD4nFWvAZjJ812&#10;l5VQQXBClVLbM56fb+ab5PhkW3G0YdqUUkxxdBRixASVaSnyKX79avlkhJGxRKSES8Gm+JoZfDJ7&#10;/Oi4VhPWk4XkKdMIjAgzqdUUF9aqSRAYWrCKmCOpmABhJnVFLGx1HqSa1GC94kEvDAdBLXWqtKTM&#10;GDhdNEI88/azjFF7kWWGWcSnGGKz/qn9c+WeweyYTHJNVFHSNgzyG1FUpBTgtDO1IJagtS5/MlWV&#10;VEsjM3tEZRXILCsp8zlANlF4L5szLdfK55JP6lx1MAG093D6bbP05eZSozKF2kGlBKmgRt+/vr/5&#10;+AHBAaBTq3wCSmdaXalL3R7kzc4lvM105f4hFbT1uF53uLKtRRQO+6N+Px4nGFGQJckoGiQN8LSA&#10;6rhrcZJEGDlpbxB1wmft/VESD5rLUX/sowp2jgMXXxdOraCLzC1Q5s+AuiqIYh5/4zDYATXugPr0&#10;5ebbZxT1G6C8UoeSmRgA7AGIHsp1h9ReptHQ49BlSiZKG3vGZIXcYoo1NLfvObI5NxYqA6o7FefW&#10;SF6my5Jzv9H56pRrtCFAhMXY/fxdvq5eyLQ5HiVh6BkBhkyj743eMcQFqqe4l8SgiigBymacWFhW&#10;CprIiBwjwnOYBdRq70FIF4PnmYtuQUzRuPNmHXLgjgv4c9VrMHOrlUyvAXEtG84aRZcl3D8nxl4S&#10;DSQF/zB47AU8Mi4hKNmuMCqkfvfQudOHlgApRjWQHgJ+uyaaYcSfC2iWcRTHbkr4TZwMe7DR+5LV&#10;vkSsq1MJcELnQnR+6fQt3y0zLas3MJ/mziuIiKDgu4Gm3ZzaZhjBhKNsPvdqMBkUsefiSlFn3JVP&#10;yPnayqz0Zb5FpwUNWt4R9R/0vgOkHRJt78cH9v5w2PJ8NG6nb9f7/V7csjzqeUr9jd6fL8Kwt2jb&#10;zrfgjiIHd/ad2y1hmtZ+Gg4H0dJXzhQkZc2po9cv+XUQR+x2tfUj+T9dDqWLf3HAS9WPn/YDwL21&#10;9/eeXrefKbM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FWgPwo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HYdtrsAAADb&#10;AAAADwAAAGRycy9kb3ducmV2LnhtbEVPS2sCMRC+F/wPYQRvNVnB12r0IBalp9YKXsfNuLvuZrIk&#10;qY9/3xQKvc3H95zl+mFbcSMfascasqECQVw4U3Op4fj19joDESKywdYxaXhSgPWq97LE3Lg7f9Lt&#10;EEuRQjjkqKGKsculDEVFFsPQdcSJuzhvMSboS2k83lO4beVIqYm0WHNqqLCjTUVFc/i2Gprj9KNW&#10;m9319N5Mxn6bnadjf9Z60M/UAkSkR/wX/7n3Js2fw+8v6QC5+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HYdt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qok6oLkAAADb&#10;AAAADwAAAGRycy9kb3ducmV2LnhtbEVPz2vCMBS+D/wfwhN2m4keXKlGQUHZ0bVuXh/Nsy02LyWJ&#10;tv73y2Hg8eP7vd6OthMP8qF1rGE+UyCIK2darjWcy8NHBiJEZIOdY9LwpADbzeRtjblxA3/To4i1&#10;SCEcctTQxNjnUoaqIYth5nrixF2dtxgT9LU0HocUbju5UGopLbacGhrsad9QdSvuVsPytNu7qsyO&#10;v/7SqpO7H57Z54/W79O5WoGINMaX+N/9ZTQs0vr0Jf0Aufk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qJOqC5AAAA2w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pPr>
        <w:ind w:firstLine="640" w:firstLineChars="200"/>
        <w:rPr>
          <w:rFonts w:ascii="仿宋" w:hAnsi="仿宋" w:eastAsia="仿宋"/>
          <w:sz w:val="32"/>
          <w:szCs w:val="32"/>
        </w:rPr>
      </w:pPr>
      <w:r>
        <w:rPr>
          <w:rFonts w:hint="eastAsia" w:ascii="仿宋" w:hAnsi="仿宋" w:eastAsia="仿宋"/>
          <w:sz w:val="32"/>
          <w:szCs w:val="32"/>
        </w:rPr>
        <w:t>2018年度安监局决算收入715.48万元，其中：一般预算财政拨款收入676.6元，比2017年增加了173.86万元，增加了0.25%。 2018年决算支出合计712万元，比2017年增加了182.06万元，增加了0.26%，其中：基本支出增加了152.61万元。比年初预算增加了152万元。年末结转和结余30.8万元。收支增加主要原因是人员经费的增加。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rPr>
          <w:rFonts w:hint="eastAsia" w:ascii="仿宋_GB2312" w:eastAsia="仿宋_GB2312" w:cs="DengXian-Regular"/>
          <w:sz w:val="32"/>
          <w:szCs w:val="32"/>
        </w:rPr>
      </w:pPr>
      <w:r>
        <w:rPr>
          <w:rFonts w:hint="eastAsia" w:ascii="仿宋_GB2312" w:eastAsia="仿宋_GB2312" w:cs="DengXian-Regular"/>
          <w:sz w:val="32"/>
          <w:szCs w:val="32"/>
          <w:lang w:eastAsia="zh-CN"/>
        </w:rPr>
        <w:drawing>
          <wp:anchor distT="0" distB="0" distL="114300" distR="114300" simplePos="0" relativeHeight="251678720" behindDoc="0" locked="0" layoutInCell="1" allowOverlap="1">
            <wp:simplePos x="0" y="0"/>
            <wp:positionH relativeFrom="column">
              <wp:posOffset>1139190</wp:posOffset>
            </wp:positionH>
            <wp:positionV relativeFrom="paragraph">
              <wp:posOffset>1019175</wp:posOffset>
            </wp:positionV>
            <wp:extent cx="3141345" cy="2173605"/>
            <wp:effectExtent l="4445" t="4445" r="16510" b="12700"/>
            <wp:wrapSquare wrapText="bothSides"/>
            <wp:docPr id="102" name="图表 10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anchor>
        </w:drawing>
      </w:r>
      <w:r>
        <w:rPr>
          <w:rFonts w:hint="eastAsia" w:ascii="仿宋" w:hAnsi="仿宋" w:eastAsia="仿宋"/>
          <w:sz w:val="32"/>
          <w:szCs w:val="32"/>
        </w:rPr>
        <w:t>本年收入715.48万元,其中：财政拨款676.6万元</w:t>
      </w:r>
      <w:r>
        <w:rPr>
          <w:rFonts w:hint="eastAsia" w:ascii="仿宋_GB2312" w:eastAsia="仿宋_GB2312" w:cs="DengXian-Regular"/>
          <w:sz w:val="32"/>
          <w:szCs w:val="32"/>
        </w:rPr>
        <w:t>，其中：财政拨款收入</w:t>
      </w:r>
      <w:r>
        <w:rPr>
          <w:rFonts w:hint="eastAsia" w:ascii="仿宋_GB2312" w:eastAsia="仿宋_GB2312" w:cs="DengXian-Regular"/>
          <w:sz w:val="32"/>
          <w:szCs w:val="32"/>
          <w:lang w:val="en-US" w:eastAsia="zh-CN"/>
        </w:rPr>
        <w:t>676.6</w:t>
      </w:r>
      <w:r>
        <w:rPr>
          <w:rFonts w:hint="eastAsia" w:ascii="仿宋_GB2312" w:eastAsia="仿宋_GB2312" w:cs="DengXian-Regular"/>
          <w:sz w:val="32"/>
          <w:szCs w:val="32"/>
        </w:rPr>
        <w:t>万元，</w:t>
      </w:r>
      <w:r>
        <w:rPr>
          <w:rFonts w:hint="eastAsia" w:ascii="仿宋" w:hAnsi="仿宋" w:eastAsia="仿宋"/>
          <w:sz w:val="32"/>
          <w:szCs w:val="32"/>
        </w:rPr>
        <w:t>占</w:t>
      </w:r>
      <w:r>
        <w:rPr>
          <w:rFonts w:hint="eastAsia" w:ascii="仿宋" w:hAnsi="仿宋" w:eastAsia="仿宋"/>
          <w:sz w:val="32"/>
          <w:szCs w:val="32"/>
          <w:lang w:val="en-US" w:eastAsia="zh-CN"/>
        </w:rPr>
        <w:t>94</w:t>
      </w:r>
      <w:r>
        <w:rPr>
          <w:rFonts w:hint="eastAsia" w:ascii="仿宋_GB2312" w:eastAsia="仿宋_GB2312" w:cs="DengXian-Regular"/>
          <w:sz w:val="32"/>
          <w:szCs w:val="32"/>
          <w:lang w:val="en-US" w:eastAsia="zh-CN"/>
        </w:rPr>
        <w:t>.56</w:t>
      </w:r>
      <w:r>
        <w:rPr>
          <w:rFonts w:hint="eastAsia" w:ascii="仿宋_GB2312" w:eastAsia="仿宋_GB2312" w:cs="DengXian-Regular"/>
          <w:sz w:val="32"/>
          <w:szCs w:val="32"/>
        </w:rPr>
        <w:t>%；</w:t>
      </w:r>
      <w:r>
        <w:rPr>
          <w:rFonts w:hint="eastAsia" w:ascii="仿宋_GB2312" w:eastAsia="仿宋_GB2312" w:cs="DengXian-Regular"/>
          <w:sz w:val="32"/>
          <w:szCs w:val="32"/>
          <w:lang w:eastAsia="zh-CN"/>
        </w:rPr>
        <w:t>其他</w:t>
      </w:r>
      <w:r>
        <w:rPr>
          <w:rFonts w:hint="eastAsia" w:ascii="仿宋_GB2312" w:eastAsia="仿宋_GB2312" w:cs="DengXian-Regular"/>
          <w:sz w:val="32"/>
          <w:szCs w:val="32"/>
        </w:rPr>
        <w:t>收入</w:t>
      </w:r>
      <w:r>
        <w:rPr>
          <w:rFonts w:hint="eastAsia" w:ascii="仿宋_GB2312" w:eastAsia="仿宋_GB2312" w:cs="DengXian-Regular"/>
          <w:sz w:val="32"/>
          <w:szCs w:val="32"/>
          <w:lang w:val="en-US" w:eastAsia="zh-CN"/>
        </w:rPr>
        <w:t>38.88</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5.44</w:t>
      </w:r>
      <w:r>
        <w:rPr>
          <w:rFonts w:hint="eastAsia" w:ascii="仿宋_GB2312" w:eastAsia="仿宋_GB2312" w:cs="DengXian-Regular"/>
          <w:sz w:val="32"/>
          <w:szCs w:val="32"/>
        </w:rPr>
        <w:t>%</w:t>
      </w:r>
      <w:r>
        <w:rPr>
          <w:rFonts w:hint="eastAsia" w:ascii="仿宋_GB2312" w:eastAsia="仿宋_GB2312" w:cs="DengXian-Regular"/>
          <w:sz w:val="32"/>
          <w:szCs w:val="32"/>
          <w:lang w:eastAsia="zh-CN"/>
        </w:rPr>
        <w:t>。</w:t>
      </w:r>
      <w:r>
        <w:rPr>
          <w:rFonts w:hint="eastAsia" w:ascii="仿宋_GB2312" w:eastAsia="仿宋_GB2312" w:cs="DengXian-Regular"/>
          <w:sz w:val="32"/>
          <w:szCs w:val="32"/>
        </w:rPr>
        <w:t>如图所示：</w:t>
      </w:r>
    </w:p>
    <w:p>
      <w:pPr>
        <w:pStyle w:val="3"/>
        <w:spacing w:before="0" w:after="0" w:line="580" w:lineRule="exact"/>
        <w:ind w:firstLine="640" w:firstLineChars="200"/>
        <w:rPr>
          <w:rFonts w:hint="eastAsia" w:ascii="黑体" w:eastAsia="黑体"/>
          <w:b w:val="0"/>
          <w:bCs w:val="0"/>
        </w:rPr>
      </w:pPr>
    </w:p>
    <w:p>
      <w:pPr>
        <w:pStyle w:val="3"/>
        <w:spacing w:before="0" w:after="0" w:line="580" w:lineRule="exact"/>
        <w:ind w:firstLine="640" w:firstLineChars="200"/>
        <w:rPr>
          <w:rFonts w:hint="eastAsia" w:ascii="黑体" w:eastAsia="黑体"/>
          <w:b w:val="0"/>
          <w:bCs w:val="0"/>
        </w:rPr>
      </w:pPr>
    </w:p>
    <w:p>
      <w:pPr>
        <w:pStyle w:val="3"/>
        <w:spacing w:before="0" w:after="0" w:line="580" w:lineRule="exact"/>
        <w:ind w:firstLine="640" w:firstLineChars="200"/>
        <w:rPr>
          <w:rFonts w:hint="eastAsia" w:ascii="黑体" w:eastAsia="黑体"/>
          <w:b w:val="0"/>
          <w:bCs w:val="0"/>
        </w:rPr>
      </w:pPr>
    </w:p>
    <w:p>
      <w:pPr>
        <w:pStyle w:val="3"/>
        <w:spacing w:before="0" w:after="0" w:line="580" w:lineRule="exact"/>
        <w:ind w:firstLine="640" w:firstLineChars="200"/>
        <w:rPr>
          <w:rFonts w:hint="eastAsia" w:ascii="黑体" w:eastAsia="黑体"/>
          <w:b w:val="0"/>
          <w:bCs w:val="0"/>
        </w:rPr>
      </w:pPr>
    </w:p>
    <w:p>
      <w:pPr>
        <w:pStyle w:val="3"/>
        <w:spacing w:before="0" w:after="0" w:line="580" w:lineRule="exact"/>
        <w:ind w:firstLine="640" w:firstLineChars="200"/>
        <w:rPr>
          <w:rFonts w:hint="eastAsia"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 w:hAnsi="仿宋" w:eastAsia="仿宋"/>
          <w:sz w:val="32"/>
          <w:szCs w:val="32"/>
        </w:rPr>
        <w:t>2018年安监局决算支出712万元，其中：基本支出567.99万元，占</w:t>
      </w:r>
      <w:r>
        <w:rPr>
          <w:rFonts w:hint="eastAsia" w:ascii="仿宋" w:hAnsi="仿宋" w:eastAsia="仿宋"/>
          <w:sz w:val="32"/>
          <w:szCs w:val="32"/>
          <w:lang w:val="en-US" w:eastAsia="zh-CN"/>
        </w:rPr>
        <w:t>79.</w:t>
      </w:r>
      <w:r>
        <w:rPr>
          <w:rFonts w:hint="eastAsia" w:ascii="仿宋_GB2312" w:eastAsia="仿宋_GB2312" w:cs="DengXian-Regular"/>
          <w:sz w:val="32"/>
          <w:szCs w:val="32"/>
          <w:lang w:val="en-US" w:eastAsia="zh-CN"/>
        </w:rPr>
        <w:t>77</w:t>
      </w:r>
      <w:r>
        <w:rPr>
          <w:rFonts w:hint="eastAsia" w:ascii="仿宋_GB2312" w:eastAsia="仿宋_GB2312" w:cs="DengXian-Regular"/>
          <w:sz w:val="32"/>
          <w:szCs w:val="32"/>
        </w:rPr>
        <w:t>%</w:t>
      </w:r>
      <w:r>
        <w:rPr>
          <w:rFonts w:hint="eastAsia" w:ascii="仿宋_GB2312" w:eastAsia="仿宋_GB2312" w:cs="DengXian-Regular"/>
          <w:sz w:val="32"/>
          <w:szCs w:val="32"/>
          <w:lang w:eastAsia="zh-CN"/>
        </w:rPr>
        <w:t>；</w:t>
      </w:r>
      <w:r>
        <w:rPr>
          <w:rFonts w:hint="eastAsia" w:ascii="仿宋" w:hAnsi="仿宋" w:eastAsia="仿宋"/>
          <w:sz w:val="32"/>
          <w:szCs w:val="32"/>
        </w:rPr>
        <w:t>项目支出150.01万元，</w:t>
      </w:r>
      <w:r>
        <w:rPr>
          <w:rFonts w:hint="eastAsia" w:ascii="仿宋_GB2312" w:eastAsia="仿宋_GB2312" w:cs="DengXian-Regular"/>
          <w:sz w:val="32"/>
          <w:szCs w:val="32"/>
        </w:rPr>
        <w:t>占</w:t>
      </w:r>
      <w:r>
        <w:rPr>
          <w:rFonts w:hint="eastAsia" w:ascii="仿宋_GB2312" w:eastAsia="仿宋_GB2312" w:cs="DengXian-Regular"/>
          <w:sz w:val="32"/>
          <w:szCs w:val="32"/>
          <w:lang w:val="en-US" w:eastAsia="zh-CN"/>
        </w:rPr>
        <w:t>20.23</w:t>
      </w:r>
      <w:r>
        <w:rPr>
          <w:rFonts w:hint="eastAsia" w:ascii="仿宋_GB2312" w:eastAsia="仿宋_GB2312" w:cs="DengXian-Regular"/>
          <w:sz w:val="32"/>
          <w:szCs w:val="32"/>
        </w:rPr>
        <w:t>%</w:t>
      </w:r>
      <w:r>
        <w:rPr>
          <w:rFonts w:hint="eastAsia" w:ascii="仿宋_GB2312" w:eastAsia="仿宋_GB2312" w:cs="DengXian-Regular"/>
          <w:sz w:val="32"/>
          <w:szCs w:val="32"/>
          <w:lang w:eastAsia="zh-CN"/>
        </w:rPr>
        <w:t>。</w:t>
      </w:r>
      <w:r>
        <w:rPr>
          <w:rFonts w:hint="eastAsia" w:ascii="仿宋_GB2312" w:eastAsia="仿宋_GB2312" w:cs="DengXian-Regular"/>
          <w:sz w:val="32"/>
          <w:szCs w:val="32"/>
        </w:rPr>
        <w:t>如图所示：</w:t>
      </w:r>
    </w:p>
    <w:p>
      <w:pPr>
        <w:adjustRightInd w:val="0"/>
        <w:snapToGrid w:val="0"/>
        <w:spacing w:after="0" w:line="580" w:lineRule="exact"/>
        <w:ind w:firstLine="1920" w:firstLineChars="600"/>
        <w:rPr>
          <w:rFonts w:ascii="仿宋_GB2312" w:eastAsia="仿宋_GB2312" w:cs="DengXian-Regular"/>
          <w:sz w:val="32"/>
          <w:szCs w:val="32"/>
        </w:rPr>
      </w:pPr>
    </w:p>
    <w:p>
      <w:pPr>
        <w:adjustRightInd w:val="0"/>
        <w:snapToGrid w:val="0"/>
        <w:spacing w:after="0" w:line="580" w:lineRule="exact"/>
        <w:ind w:firstLine="1920" w:firstLineChars="600"/>
        <w:rPr>
          <w:rFonts w:ascii="仿宋_GB2312" w:eastAsia="仿宋_GB2312" w:cs="DengXian-Regular"/>
          <w:sz w:val="32"/>
          <w:szCs w:val="32"/>
        </w:rPr>
      </w:pPr>
      <w:r>
        <w:rPr>
          <w:rFonts w:hint="eastAsia" w:ascii="仿宋_GB2312" w:eastAsia="仿宋_GB2312" w:cs="DengXian-Regular"/>
          <w:sz w:val="32"/>
          <w:szCs w:val="32"/>
          <w:lang w:eastAsia="zh-CN"/>
        </w:rPr>
        <w:drawing>
          <wp:anchor distT="0" distB="0" distL="114300" distR="114300" simplePos="0" relativeHeight="251681792" behindDoc="0" locked="0" layoutInCell="1" allowOverlap="1">
            <wp:simplePos x="0" y="0"/>
            <wp:positionH relativeFrom="column">
              <wp:posOffset>1299845</wp:posOffset>
            </wp:positionH>
            <wp:positionV relativeFrom="paragraph">
              <wp:posOffset>-184785</wp:posOffset>
            </wp:positionV>
            <wp:extent cx="3209925" cy="2251075"/>
            <wp:effectExtent l="5080" t="4445" r="4445" b="11430"/>
            <wp:wrapSquare wrapText="bothSides"/>
            <wp:docPr id="104" name="图表 104"/>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anchor>
        </w:drawing>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rPr>
          <w:rFonts w:hint="eastAsia" w:ascii="仿宋" w:hAnsi="仿宋" w:eastAsia="仿宋"/>
          <w:sz w:val="32"/>
          <w:szCs w:val="32"/>
        </w:rPr>
      </w:pPr>
      <w:r>
        <w:rPr>
          <w:rFonts w:hint="eastAsia" w:ascii="仿宋_GB2312" w:eastAsia="仿宋_GB2312" w:cs="DengXian-Regular"/>
          <w:sz w:val="32"/>
          <w:szCs w:val="32"/>
          <w:lang w:eastAsia="zh-CN"/>
        </w:rPr>
        <w:drawing>
          <wp:anchor distT="0" distB="0" distL="114300" distR="114300" simplePos="0" relativeHeight="251708416" behindDoc="0" locked="0" layoutInCell="1" allowOverlap="1">
            <wp:simplePos x="0" y="0"/>
            <wp:positionH relativeFrom="column">
              <wp:posOffset>189865</wp:posOffset>
            </wp:positionH>
            <wp:positionV relativeFrom="paragraph">
              <wp:posOffset>1739265</wp:posOffset>
            </wp:positionV>
            <wp:extent cx="5236845" cy="2983865"/>
            <wp:effectExtent l="4445" t="4445" r="16510" b="21590"/>
            <wp:wrapTopAndBottom/>
            <wp:docPr id="106" name="图表 10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rPr>
          <w:rFonts w:hint="eastAsia" w:ascii="仿宋" w:hAnsi="仿宋" w:eastAsia="仿宋"/>
          <w:sz w:val="32"/>
          <w:szCs w:val="32"/>
        </w:rPr>
        <w:t>本年财政拨款收入</w:t>
      </w:r>
      <w:r>
        <w:rPr>
          <w:rFonts w:hint="eastAsia" w:ascii="仿宋" w:hAnsi="仿宋" w:eastAsia="仿宋"/>
          <w:sz w:val="32"/>
          <w:szCs w:val="32"/>
          <w:lang w:val="en-US" w:eastAsia="zh-CN"/>
        </w:rPr>
        <w:t>715.48</w:t>
      </w:r>
      <w:r>
        <w:rPr>
          <w:rFonts w:hint="eastAsia" w:ascii="仿宋" w:hAnsi="仿宋" w:eastAsia="仿宋"/>
          <w:sz w:val="32"/>
          <w:szCs w:val="32"/>
        </w:rPr>
        <w:t>万元，其中：一般公共预算收入676.6万元，比年初预算增加了</w:t>
      </w:r>
      <w:r>
        <w:rPr>
          <w:rFonts w:hint="eastAsia" w:ascii="仿宋" w:hAnsi="仿宋" w:eastAsia="仿宋"/>
          <w:sz w:val="32"/>
          <w:szCs w:val="32"/>
          <w:lang w:val="en-US" w:eastAsia="zh-CN"/>
        </w:rPr>
        <w:t>173.86</w:t>
      </w:r>
      <w:r>
        <w:rPr>
          <w:rFonts w:hint="eastAsia" w:ascii="仿宋" w:hAnsi="仿宋" w:eastAsia="仿宋"/>
          <w:sz w:val="32"/>
          <w:szCs w:val="32"/>
        </w:rPr>
        <w:t>万元，增长了0.2</w:t>
      </w:r>
      <w:r>
        <w:rPr>
          <w:rFonts w:hint="eastAsia" w:ascii="仿宋" w:hAnsi="仿宋" w:eastAsia="仿宋"/>
          <w:sz w:val="32"/>
          <w:szCs w:val="32"/>
          <w:lang w:val="en-US" w:eastAsia="zh-CN"/>
        </w:rPr>
        <w:t>5</w:t>
      </w:r>
      <w:r>
        <w:rPr>
          <w:rFonts w:hint="eastAsia" w:ascii="仿宋" w:hAnsi="仿宋" w:eastAsia="仿宋"/>
          <w:sz w:val="32"/>
          <w:szCs w:val="32"/>
        </w:rPr>
        <w:t>%。主要是基本支出增加了</w:t>
      </w:r>
      <w:r>
        <w:rPr>
          <w:rFonts w:hint="eastAsia" w:ascii="仿宋" w:hAnsi="仿宋" w:eastAsia="仿宋"/>
          <w:sz w:val="32"/>
          <w:szCs w:val="32"/>
          <w:lang w:val="en-US" w:eastAsia="zh-CN"/>
        </w:rPr>
        <w:t>173.86</w:t>
      </w:r>
      <w:r>
        <w:rPr>
          <w:rFonts w:hint="eastAsia" w:ascii="仿宋" w:hAnsi="仿宋" w:eastAsia="仿宋"/>
          <w:sz w:val="32"/>
          <w:szCs w:val="32"/>
        </w:rPr>
        <w:t>元。收支增加主要原因是人员经费的增加、公车补贴增加。</w:t>
      </w:r>
    </w:p>
    <w:p>
      <w:pPr>
        <w:spacing w:after="0" w:line="580" w:lineRule="exact"/>
        <w:ind w:firstLine="643" w:firstLineChars="200"/>
        <w:rPr>
          <w:rFonts w:hint="eastAsia" w:ascii="楷体_GB2312" w:eastAsia="楷体_GB2312" w:cs="DengXian-Bold"/>
          <w:b/>
          <w:bCs/>
          <w:sz w:val="32"/>
          <w:szCs w:val="32"/>
        </w:rPr>
      </w:pP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w:t>
      </w:r>
      <w:r>
        <w:rPr>
          <w:rFonts w:hint="eastAsia" w:ascii="仿宋_GB2312" w:eastAsia="仿宋_GB2312" w:cs="DengXian-Regular"/>
          <w:sz w:val="32"/>
          <w:szCs w:val="32"/>
          <w:lang w:val="en-US" w:eastAsia="zh-CN"/>
        </w:rPr>
        <w:t>676.60</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117.58</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101.14</w:t>
      </w:r>
      <w:r>
        <w:rPr>
          <w:rFonts w:hint="eastAsia" w:ascii="仿宋_GB2312" w:eastAsia="仿宋_GB2312" w:cs="DengXian-Regular"/>
          <w:sz w:val="32"/>
          <w:szCs w:val="32"/>
        </w:rPr>
        <w:t>万元，决算数大于预算数主要原因是</w:t>
      </w:r>
      <w:r>
        <w:rPr>
          <w:rFonts w:hint="eastAsia" w:ascii="仿宋" w:hAnsi="仿宋" w:eastAsia="仿宋"/>
          <w:sz w:val="32"/>
          <w:szCs w:val="32"/>
        </w:rPr>
        <w:t>人员经费的增加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673.12</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117</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98.12</w:t>
      </w:r>
      <w:r>
        <w:rPr>
          <w:rFonts w:hint="eastAsia" w:ascii="仿宋_GB2312" w:eastAsia="仿宋_GB2312" w:cs="DengXian-Regular"/>
          <w:sz w:val="32"/>
          <w:szCs w:val="32"/>
        </w:rPr>
        <w:t>万元，决算数大于预算数主要原因是</w:t>
      </w:r>
      <w:r>
        <w:rPr>
          <w:rFonts w:hint="eastAsia" w:ascii="仿宋" w:hAnsi="仿宋" w:eastAsia="仿宋"/>
          <w:sz w:val="32"/>
          <w:szCs w:val="32"/>
        </w:rPr>
        <w:t>人员经费的增加</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w:t>
      </w:r>
      <w:r>
        <w:rPr>
          <w:rFonts w:hint="eastAsia" w:ascii="仿宋_GB2312" w:eastAsia="仿宋_GB2312" w:cs="DengXian-Regular"/>
          <w:sz w:val="32"/>
          <w:szCs w:val="32"/>
          <w:lang w:val="en-US" w:eastAsia="zh-CN"/>
        </w:rPr>
        <w:t>715.48</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124.33</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140</w:t>
      </w:r>
      <w:r>
        <w:rPr>
          <w:rFonts w:hint="eastAsia" w:ascii="仿宋_GB2312" w:eastAsia="仿宋_GB2312" w:cs="DengXian-Regular"/>
          <w:sz w:val="32"/>
          <w:szCs w:val="32"/>
        </w:rPr>
        <w:t>万元，决算数大于预算数主要原因是</w:t>
      </w:r>
      <w:r>
        <w:rPr>
          <w:rFonts w:hint="eastAsia" w:ascii="仿宋" w:hAnsi="仿宋" w:eastAsia="仿宋"/>
          <w:sz w:val="32"/>
          <w:szCs w:val="32"/>
        </w:rPr>
        <w:t>人员经费的增加</w:t>
      </w:r>
      <w:r>
        <w:rPr>
          <w:rFonts w:hint="eastAsia" w:ascii="仿宋_GB2312" w:eastAsia="仿宋_GB2312" w:cs="DengXian-Regular"/>
          <w:sz w:val="32"/>
          <w:szCs w:val="32"/>
        </w:rPr>
        <w:t>；本年支出</w:t>
      </w:r>
      <w:r>
        <w:rPr>
          <w:rFonts w:hint="eastAsia" w:ascii="仿宋_GB2312" w:eastAsia="仿宋_GB2312" w:cs="DengXian-Regular"/>
          <w:sz w:val="32"/>
          <w:szCs w:val="32"/>
          <w:lang w:val="en-US" w:eastAsia="zh-CN"/>
        </w:rPr>
        <w:t>712</w:t>
      </w:r>
      <w:r>
        <w:rPr>
          <w:rFonts w:hint="eastAsia" w:ascii="仿宋_GB2312" w:eastAsia="仿宋_GB2312" w:cs="DengXian-Regular"/>
          <w:sz w:val="32"/>
          <w:szCs w:val="32"/>
        </w:rPr>
        <w:t>万元，完成年初预算的</w:t>
      </w:r>
      <w:r>
        <w:rPr>
          <w:rFonts w:hint="eastAsia" w:ascii="仿宋_GB2312" w:eastAsia="仿宋_GB2312" w:cs="DengXian-Regular"/>
          <w:sz w:val="32"/>
          <w:szCs w:val="32"/>
          <w:lang w:val="en-US" w:eastAsia="zh-CN"/>
        </w:rPr>
        <w:t>123</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136.54</w:t>
      </w:r>
      <w:r>
        <w:rPr>
          <w:rFonts w:hint="eastAsia" w:ascii="仿宋_GB2312" w:eastAsia="仿宋_GB2312" w:cs="DengXian-Regular"/>
          <w:sz w:val="32"/>
          <w:szCs w:val="32"/>
        </w:rPr>
        <w:t>万元，决算数大于（小于）预算数主要原因是主要是</w:t>
      </w:r>
      <w:r>
        <w:rPr>
          <w:rFonts w:hint="eastAsia" w:ascii="仿宋" w:hAnsi="仿宋" w:eastAsia="仿宋"/>
          <w:sz w:val="32"/>
          <w:szCs w:val="32"/>
        </w:rPr>
        <w:t>人员经费的增加</w:t>
      </w:r>
      <w:r>
        <w:rPr>
          <w:rFonts w:hint="eastAsia" w:ascii="仿宋_GB2312" w:eastAsia="仿宋_GB2312" w:cs="DengXian-Regular"/>
          <w:sz w:val="32"/>
          <w:szCs w:val="32"/>
        </w:rPr>
        <w:t>。</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其中，一般公共预算财政拨款本年收入</w:t>
      </w:r>
      <w:r>
        <w:rPr>
          <w:rFonts w:hint="eastAsia" w:ascii="仿宋_GB2312" w:eastAsia="仿宋_GB2312" w:cs="DengXian-Regular"/>
          <w:sz w:val="32"/>
          <w:szCs w:val="32"/>
          <w:lang w:val="en-US" w:eastAsia="zh-CN"/>
        </w:rPr>
        <w:t>676.6万元，</w:t>
      </w:r>
      <w:r>
        <w:rPr>
          <w:rFonts w:hint="eastAsia" w:ascii="仿宋_GB2312" w:eastAsia="仿宋_GB2312" w:cs="DengXian-Regular"/>
          <w:sz w:val="32"/>
          <w:szCs w:val="32"/>
        </w:rPr>
        <w:t>完成年初预算</w:t>
      </w:r>
      <w:r>
        <w:rPr>
          <w:rFonts w:hint="eastAsia" w:ascii="仿宋_GB2312" w:eastAsia="仿宋_GB2312" w:cs="DengXian-Regular"/>
          <w:sz w:val="32"/>
          <w:szCs w:val="32"/>
          <w:lang w:val="en-US" w:eastAsia="zh-CN"/>
        </w:rPr>
        <w:t>117</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101.1</w:t>
      </w:r>
      <w:r>
        <w:rPr>
          <w:rFonts w:hint="eastAsia" w:ascii="仿宋_GB2312" w:eastAsia="仿宋_GB2312" w:cs="DengXian-Regular"/>
          <w:sz w:val="32"/>
          <w:szCs w:val="32"/>
        </w:rPr>
        <w:t>万元，主要是</w:t>
      </w:r>
      <w:r>
        <w:rPr>
          <w:rFonts w:hint="eastAsia" w:ascii="仿宋" w:hAnsi="仿宋" w:eastAsia="仿宋"/>
          <w:sz w:val="32"/>
          <w:szCs w:val="32"/>
        </w:rPr>
        <w:t>人员经费的增加</w:t>
      </w:r>
      <w:r>
        <w:rPr>
          <w:rFonts w:hint="eastAsia" w:ascii="仿宋_GB2312" w:eastAsia="仿宋_GB2312" w:cs="DengXian-Regular"/>
          <w:sz w:val="32"/>
          <w:szCs w:val="32"/>
        </w:rPr>
        <w:t>；支出</w:t>
      </w:r>
      <w:r>
        <w:rPr>
          <w:rFonts w:hint="eastAsia" w:ascii="仿宋_GB2312" w:eastAsia="仿宋_GB2312" w:cs="DengXian-Regular"/>
          <w:sz w:val="32"/>
          <w:szCs w:val="32"/>
          <w:lang w:val="en-US" w:eastAsia="zh-CN"/>
        </w:rPr>
        <w:t>673.12万元，</w:t>
      </w:r>
      <w:r>
        <w:rPr>
          <w:rFonts w:hint="eastAsia" w:ascii="仿宋_GB2312" w:eastAsia="仿宋_GB2312" w:cs="DengXian-Regular"/>
          <w:sz w:val="32"/>
          <w:szCs w:val="32"/>
        </w:rPr>
        <w:t>完成年初预算</w:t>
      </w:r>
      <w:r>
        <w:rPr>
          <w:rFonts w:hint="eastAsia" w:ascii="仿宋_GB2312" w:eastAsia="仿宋_GB2312" w:cs="DengXian-Regular"/>
          <w:sz w:val="32"/>
          <w:szCs w:val="32"/>
          <w:lang w:val="en-US" w:eastAsia="zh-CN"/>
        </w:rPr>
        <w:t>123</w:t>
      </w:r>
      <w:r>
        <w:rPr>
          <w:rFonts w:hint="eastAsia" w:ascii="仿宋_GB2312" w:eastAsia="仿宋_GB2312" w:cs="DengXian-Regular"/>
          <w:sz w:val="32"/>
          <w:szCs w:val="32"/>
        </w:rPr>
        <w:t>%，比年初预算增加</w:t>
      </w:r>
      <w:r>
        <w:rPr>
          <w:rFonts w:hint="eastAsia" w:ascii="仿宋_GB2312" w:eastAsia="仿宋_GB2312" w:cs="DengXian-Regular"/>
          <w:sz w:val="32"/>
          <w:szCs w:val="32"/>
          <w:lang w:val="en-US" w:eastAsia="zh-CN"/>
        </w:rPr>
        <w:t>136.54</w:t>
      </w:r>
      <w:r>
        <w:rPr>
          <w:rFonts w:hint="eastAsia" w:ascii="仿宋_GB2312" w:eastAsia="仿宋_GB2312" w:cs="DengXian-Regular"/>
          <w:sz w:val="32"/>
          <w:szCs w:val="32"/>
        </w:rPr>
        <w:t>万元，主要是</w:t>
      </w:r>
      <w:r>
        <w:rPr>
          <w:rFonts w:hint="eastAsia" w:ascii="仿宋" w:hAnsi="仿宋" w:eastAsia="仿宋"/>
          <w:sz w:val="32"/>
          <w:szCs w:val="32"/>
        </w:rPr>
        <w:t>人员经费的增加</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lang w:eastAsia="zh-CN"/>
        </w:rPr>
        <w:drawing>
          <wp:anchor distT="0" distB="0" distL="114300" distR="114300" simplePos="0" relativeHeight="251682816" behindDoc="0" locked="0" layoutInCell="1" allowOverlap="1">
            <wp:simplePos x="0" y="0"/>
            <wp:positionH relativeFrom="column">
              <wp:posOffset>344170</wp:posOffset>
            </wp:positionH>
            <wp:positionV relativeFrom="paragraph">
              <wp:posOffset>88265</wp:posOffset>
            </wp:positionV>
            <wp:extent cx="4864100" cy="2504440"/>
            <wp:effectExtent l="4445" t="4445" r="8255" b="5715"/>
            <wp:wrapSquare wrapText="bothSides"/>
            <wp:docPr id="105" name="图表 105"/>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numPr>
          <w:ilvl w:val="0"/>
          <w:numId w:val="0"/>
        </w:numPr>
        <w:adjustRightInd w:val="0"/>
        <w:snapToGrid w:val="0"/>
        <w:spacing w:after="0" w:line="580" w:lineRule="exact"/>
        <w:rPr>
          <w:rFonts w:hint="eastAsia" w:ascii="楷体_GB2312" w:eastAsia="楷体_GB2312" w:cs="DengXian-Bold"/>
          <w:b/>
          <w:bCs/>
          <w:sz w:val="32"/>
          <w:szCs w:val="32"/>
        </w:rPr>
      </w:pPr>
    </w:p>
    <w:p>
      <w:pPr>
        <w:numPr>
          <w:ilvl w:val="0"/>
          <w:numId w:val="0"/>
        </w:numPr>
        <w:adjustRightInd w:val="0"/>
        <w:snapToGrid w:val="0"/>
        <w:spacing w:after="0" w:line="580" w:lineRule="exact"/>
        <w:rPr>
          <w:rFonts w:hint="eastAsia" w:ascii="楷体_GB2312" w:eastAsia="楷体_GB2312" w:cs="DengXian-Bold"/>
          <w:b/>
          <w:bCs/>
          <w:sz w:val="32"/>
          <w:szCs w:val="32"/>
        </w:rPr>
      </w:pPr>
    </w:p>
    <w:p>
      <w:pPr>
        <w:numPr>
          <w:ilvl w:val="0"/>
          <w:numId w:val="0"/>
        </w:numPr>
        <w:adjustRightInd w:val="0"/>
        <w:snapToGrid w:val="0"/>
        <w:spacing w:after="0" w:line="580" w:lineRule="exact"/>
        <w:rPr>
          <w:rFonts w:hint="eastAsia" w:ascii="楷体_GB2312" w:eastAsia="楷体_GB2312" w:cs="DengXian-Bold"/>
          <w:b/>
          <w:bCs/>
          <w:sz w:val="32"/>
          <w:szCs w:val="32"/>
        </w:rPr>
      </w:pPr>
    </w:p>
    <w:p>
      <w:pPr>
        <w:numPr>
          <w:ilvl w:val="0"/>
          <w:numId w:val="0"/>
        </w:numPr>
        <w:adjustRightInd w:val="0"/>
        <w:snapToGrid w:val="0"/>
        <w:spacing w:after="0" w:line="580" w:lineRule="exact"/>
        <w:rPr>
          <w:rFonts w:hint="eastAsia" w:ascii="楷体_GB2312" w:eastAsia="楷体_GB2312" w:cs="DengXian-Bold"/>
          <w:b/>
          <w:bCs/>
          <w:sz w:val="32"/>
          <w:szCs w:val="32"/>
        </w:rPr>
      </w:pPr>
    </w:p>
    <w:p>
      <w:pPr>
        <w:numPr>
          <w:ilvl w:val="0"/>
          <w:numId w:val="0"/>
        </w:numPr>
        <w:adjustRightInd w:val="0"/>
        <w:snapToGrid w:val="0"/>
        <w:spacing w:after="0" w:line="580" w:lineRule="exact"/>
        <w:rPr>
          <w:rFonts w:hint="eastAsia" w:ascii="楷体_GB2312" w:eastAsia="楷体_GB2312" w:cs="DengXian-Bold"/>
          <w:b/>
          <w:bCs/>
          <w:sz w:val="32"/>
          <w:szCs w:val="32"/>
        </w:rPr>
      </w:pPr>
    </w:p>
    <w:p>
      <w:pPr>
        <w:numPr>
          <w:ilvl w:val="0"/>
          <w:numId w:val="0"/>
        </w:numPr>
        <w:adjustRightInd w:val="0"/>
        <w:snapToGrid w:val="0"/>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lang w:eastAsia="zh-CN"/>
        </w:rPr>
        <w:t>（三）</w:t>
      </w: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2018 年度财政拨款支出</w:t>
      </w:r>
      <w:r>
        <w:rPr>
          <w:rFonts w:hint="eastAsia" w:ascii="仿宋_GB2312" w:eastAsia="仿宋_GB2312" w:cs="DengXian-Regular"/>
          <w:sz w:val="32"/>
          <w:szCs w:val="32"/>
          <w:lang w:val="en-US" w:eastAsia="zh-CN"/>
        </w:rPr>
        <w:t>712</w:t>
      </w:r>
      <w:r>
        <w:rPr>
          <w:rFonts w:hint="eastAsia" w:ascii="仿宋_GB2312" w:eastAsia="仿宋_GB2312" w:cs="DengXian-Regular"/>
          <w:sz w:val="32"/>
          <w:szCs w:val="32"/>
        </w:rPr>
        <w:t>万元，主要用于以下方面</w:t>
      </w:r>
      <w:r>
        <w:rPr>
          <w:rFonts w:hint="eastAsia" w:ascii="仿宋_GB2312" w:eastAsia="仿宋_GB2312" w:cs="DengXian-Regular"/>
          <w:sz w:val="32"/>
          <w:szCs w:val="32"/>
          <w:lang w:eastAsia="zh-CN"/>
        </w:rPr>
        <w:t>：资源勘探信息等支出</w:t>
      </w:r>
      <w:r>
        <w:rPr>
          <w:rFonts w:hint="eastAsia" w:ascii="仿宋_GB2312" w:eastAsia="仿宋_GB2312" w:cs="DengXian-Regular"/>
          <w:sz w:val="32"/>
          <w:szCs w:val="32"/>
          <w:lang w:val="en-US" w:eastAsia="zh-CN"/>
        </w:rPr>
        <w:t>606万元，占85</w:t>
      </w:r>
      <w:r>
        <w:rPr>
          <w:rFonts w:hint="eastAsia" w:ascii="仿宋_GB2312" w:eastAsia="仿宋_GB2312" w:cs="DengXian-Regular"/>
          <w:sz w:val="32"/>
          <w:szCs w:val="32"/>
        </w:rPr>
        <w:t>%</w:t>
      </w:r>
      <w:r>
        <w:rPr>
          <w:rFonts w:hint="eastAsia" w:ascii="仿宋_GB2312" w:eastAsia="仿宋_GB2312" w:cs="DengXian-Regular"/>
          <w:sz w:val="32"/>
          <w:szCs w:val="32"/>
          <w:lang w:eastAsia="zh-CN"/>
        </w:rPr>
        <w:t>；医疗卫生与计划生育</w:t>
      </w:r>
      <w:r>
        <w:rPr>
          <w:rFonts w:hint="eastAsia" w:ascii="仿宋_GB2312" w:eastAsia="仿宋_GB2312" w:cs="DengXian-Regular"/>
          <w:sz w:val="32"/>
          <w:szCs w:val="32"/>
        </w:rPr>
        <w:t>支出</w:t>
      </w:r>
      <w:r>
        <w:rPr>
          <w:rFonts w:hint="eastAsia" w:ascii="仿宋_GB2312" w:eastAsia="仿宋_GB2312" w:cs="DengXian-Regular"/>
          <w:sz w:val="32"/>
          <w:szCs w:val="32"/>
          <w:lang w:val="en-US" w:eastAsia="zh-CN"/>
        </w:rPr>
        <w:t>30</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4</w:t>
      </w:r>
      <w:r>
        <w:rPr>
          <w:rFonts w:hint="eastAsia" w:ascii="仿宋_GB2312" w:eastAsia="仿宋_GB2312" w:cs="DengXian-Regular"/>
          <w:sz w:val="32"/>
          <w:szCs w:val="32"/>
        </w:rPr>
        <w:t xml:space="preserve">%；社会保障和就业（类）支出 </w:t>
      </w:r>
      <w:r>
        <w:rPr>
          <w:rFonts w:hint="eastAsia" w:ascii="仿宋_GB2312" w:eastAsia="仿宋_GB2312" w:cs="DengXian-Regular"/>
          <w:sz w:val="32"/>
          <w:szCs w:val="32"/>
          <w:lang w:val="en-US" w:eastAsia="zh-CN"/>
        </w:rPr>
        <w:t>45</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6</w:t>
      </w:r>
      <w:r>
        <w:rPr>
          <w:rFonts w:hint="eastAsia" w:ascii="仿宋_GB2312" w:eastAsia="仿宋_GB2312" w:cs="DengXian-Regular"/>
          <w:sz w:val="32"/>
          <w:szCs w:val="32"/>
        </w:rPr>
        <w:t>%；住房保障（类）支出</w:t>
      </w:r>
      <w:r>
        <w:rPr>
          <w:rFonts w:hint="eastAsia" w:ascii="仿宋_GB2312" w:eastAsia="仿宋_GB2312" w:cs="DengXian-Regular"/>
          <w:sz w:val="32"/>
          <w:szCs w:val="32"/>
          <w:lang w:val="en-US" w:eastAsia="zh-CN"/>
        </w:rPr>
        <w:t>31</w:t>
      </w:r>
      <w:r>
        <w:rPr>
          <w:rFonts w:hint="eastAsia" w:ascii="仿宋_GB2312" w:eastAsia="仿宋_GB2312" w:cs="DengXian-Regular"/>
          <w:sz w:val="32"/>
          <w:szCs w:val="32"/>
        </w:rPr>
        <w:t>万元，占</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w:t>
      </w:r>
    </w:p>
    <w:p>
      <w:pPr>
        <w:adjustRightInd w:val="0"/>
        <w:snapToGrid w:val="0"/>
        <w:spacing w:after="0" w:line="580" w:lineRule="exact"/>
        <w:ind w:firstLine="640" w:firstLineChars="200"/>
        <w:rPr>
          <w:rFonts w:ascii="楷体_GB2312" w:eastAsia="楷体_GB2312" w:cs="DengXian-Bold"/>
          <w:b/>
          <w:bCs/>
          <w:sz w:val="32"/>
          <w:szCs w:val="32"/>
        </w:rPr>
      </w:pPr>
      <w:r>
        <w:rPr>
          <w:rFonts w:hint="eastAsia" w:ascii="仿宋_GB2312" w:eastAsia="仿宋_GB2312" w:cs="DengXian-Regular"/>
          <w:sz w:val="32"/>
          <w:szCs w:val="32"/>
        </w:rPr>
        <w:drawing>
          <wp:anchor distT="0" distB="0" distL="114300" distR="114300" simplePos="0" relativeHeight="251709440" behindDoc="0" locked="0" layoutInCell="1" allowOverlap="1">
            <wp:simplePos x="0" y="0"/>
            <wp:positionH relativeFrom="column">
              <wp:posOffset>46990</wp:posOffset>
            </wp:positionH>
            <wp:positionV relativeFrom="paragraph">
              <wp:posOffset>138430</wp:posOffset>
            </wp:positionV>
            <wp:extent cx="5603240" cy="2171700"/>
            <wp:effectExtent l="4445" t="4445" r="12065" b="14605"/>
            <wp:wrapTopAndBottom/>
            <wp:docPr id="108" name="图表 10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Pr>
          <w:rFonts w:hint="eastAsia" w:ascii="仿宋_GB2312" w:eastAsia="仿宋_GB2312" w:cs="DengXian-Regular"/>
          <w:sz w:val="32"/>
          <w:szCs w:val="32"/>
        </w:rPr>
        <mc:AlternateContent>
          <mc:Choice Requires="wpg">
            <w:drawing>
              <wp:anchor distT="0" distB="0" distL="114300" distR="114300" simplePos="0" relativeHeight="25166950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79" name="组合 79"/>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6950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wwEkficDAADu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U3wYISRIDXc0fev768+&#10;fkCwAOg0qhjDphOtLtS57haKduYK3uS6dv9QCtp4XC93uLKNRRQWe8NeLxmlGFGwpekw6qct8LSE&#10;23HHkjSNMHLWuB/tjM+688M06beHo95o6I4G28CBy2+XTqOAReYaKPNnQF2URDGPv3EYdEANgUcd&#10;UJ++XH37jKJeC5TftEPJjA0AdgdEd9W6RWqv0mjgcdhVSsZKG3vCZI3cYII1kNtzjqxPjW1B2W5x&#10;YY3kVbaoOPcTXSyPuUZrAkKYj9zPn+Wr+oXM2uVhGoZeERDTtPs90jcccYGaCY7TBLYiSkCyOScW&#10;hrUCEhlRYER4Ab2AWu0jCOlygPTaAubElG0477a7TC4gkru9FjM3WsrsEhDXstWsUXRRQd2nxNhz&#10;okGkEB8ajz2DR84lJCW7EUal1O/uWnf7gRJgxagB0UPCb1dEM4z4cwFkGUVJ4rqEnyTpIIaJ3rcs&#10;9y1iVR9LgBOYC9n5odtv+XaYa1m/gf40c1HBRASF2C003eTYts0IOhxls5nfBp1BEXsqLhR1zh1y&#10;Qs5WVuaVv+ZrdDrQgPJOqP+C+1DrTe4n9+T+YNDpfDjquu+O+7046VQexV5Sf4P7s3kYxvOOdp6C&#10;W4ncm9k3TneCaan9NBz0o4W/OVOSjLWrTl6/1JdT8G9rxG6WG9+S/8vlvnLxLw54qfoO130AuLf2&#10;/tzL6/ozZfo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MMBJH4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BUYhrLoAAADb&#10;AAAADwAAAGRycy9kb3ducmV2LnhtbEVPy4rCMBTdD/gP4QruxqSCD6rRhSiKqxkV3F6ba1vb3JQk&#10;PubvJ4uBWR7Oe7F621Y8yYfasYZsqEAQF87UXGo4n7afMxAhIhtsHZOGHwqwWvY+Fpgb9+Jveh5j&#10;KVIIhxw1VDF2uZShqMhiGLqOOHE35y3GBH0pjcdXCretHCk1kRZrTg0VdrSuqGiOD6uhOU+/arXe&#10;3S+HZjL2m+w6Hfur1oN+puYgIr3jv/jPvTcaZml9+pJ+gFz+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FRiGs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6PAAbwAAADb&#10;AAAADwAAAGRycy9kb3ducmV2LnhtbEWPS2vDMBCE74H+B7GB3mLJPaTGjRJIIKXHNOnjulgb28Ra&#10;GUl+5N9XhUKPw8x8w2x2s+3ESD60jjXkmQJBXDnTcq3h43JcFSBCRDbYOSYNdwqw2z4sNlgaN/E7&#10;jedYiwThUKKGJsa+lDJUDVkMmeuJk3d13mJM0tfSeJwS3HbySam1tNhyWmiwp0ND1e08WA3r0/7g&#10;qkvx+uW/W3Vyw/FePH9q/bjM1QuISHP8D/+134yGIoffL+kHyO0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OjwAG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w:t>
      </w: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eastAsia="仿宋_GB2312" w:cs="DengXian-Regular"/>
          <w:sz w:val="32"/>
          <w:szCs w:val="32"/>
          <w:lang w:val="en-US" w:eastAsia="zh-CN"/>
        </w:rPr>
        <w:t>558.61</w:t>
      </w:r>
      <w:r>
        <w:rPr>
          <w:rFonts w:hint="eastAsia" w:ascii="仿宋_GB2312" w:eastAsia="仿宋_GB2312" w:cs="DengXian-Regular"/>
          <w:sz w:val="32"/>
          <w:szCs w:val="32"/>
        </w:rPr>
        <w:t>万元，其中：人员</w:t>
      </w:r>
      <w:r>
        <w:rPr>
          <w:rFonts w:hint="eastAsia" w:ascii="仿宋_GB2312" w:eastAsia="仿宋_GB2312" w:cs="DengXian-Regular"/>
          <w:sz w:val="32"/>
          <w:szCs w:val="32"/>
          <w:lang w:val="en-US" w:eastAsia="zh-CN"/>
        </w:rPr>
        <w:t>经费 489.62万</w:t>
      </w:r>
      <w:r>
        <w:rPr>
          <w:rFonts w:hint="eastAsia" w:ascii="仿宋_GB2312" w:eastAsia="仿宋_GB2312" w:cs="DengXian-Regular"/>
          <w:sz w:val="32"/>
          <w:szCs w:val="32"/>
        </w:rPr>
        <w:t>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eastAsia="仿宋_GB2312" w:cs="DengXian-Regular"/>
          <w:sz w:val="32"/>
          <w:szCs w:val="32"/>
          <w:lang w:val="en-US" w:eastAsia="zh-CN"/>
        </w:rPr>
        <w:t>52.46</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ind w:firstLine="640" w:firstLineChars="200"/>
        <w:rPr>
          <w:rFonts w:ascii="仿宋" w:hAnsi="仿宋" w:eastAsia="仿宋"/>
          <w:sz w:val="32"/>
          <w:szCs w:val="32"/>
        </w:rPr>
      </w:pPr>
      <w:r>
        <w:rPr>
          <w:rFonts w:hint="eastAsia" w:ascii="仿宋" w:hAnsi="仿宋" w:eastAsia="仿宋"/>
          <w:sz w:val="32"/>
          <w:szCs w:val="32"/>
        </w:rPr>
        <w:t>2018年“三公”经费支出为8.1万元，其中因公出国(境)支出0万元,出国0组，0人。同比2016年持平。公务用车购置和运行费8.1万元(购置费0万元，运行费8.1万元)，公务用车购置0辆，保有量3辆。公务接待费支出0万元，公务接待0次，0人数，因未产生公务接待。</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eastAsia="仿宋_GB2312" w:cs="DengXian-Regular"/>
          <w:sz w:val="32"/>
          <w:szCs w:val="32"/>
          <w:lang w:val="en-US" w:eastAsia="zh-CN"/>
        </w:rPr>
        <w:t>8.1</w:t>
      </w:r>
      <w:r>
        <w:rPr>
          <w:rFonts w:hint="eastAsia" w:ascii="仿宋_GB2312" w:eastAsia="仿宋_GB2312" w:cs="DengXian-Regular"/>
          <w:sz w:val="32"/>
          <w:szCs w:val="32"/>
        </w:rPr>
        <w:t>万元，</w:t>
      </w:r>
      <w:r>
        <w:rPr>
          <w:rFonts w:hint="eastAsia" w:ascii="仿宋_GB2312" w:eastAsia="仿宋_GB2312" w:cs="DengXian-Regular"/>
          <w:b/>
          <w:bCs/>
          <w:sz w:val="32"/>
          <w:szCs w:val="32"/>
          <w:lang w:eastAsia="zh-CN"/>
        </w:rPr>
        <w:t>与</w:t>
      </w:r>
      <w:r>
        <w:rPr>
          <w:rFonts w:hint="eastAsia" w:ascii="仿宋_GB2312" w:eastAsia="仿宋_GB2312" w:cs="DengXian-Regular"/>
          <w:b/>
          <w:bCs/>
          <w:sz w:val="32"/>
          <w:szCs w:val="32"/>
        </w:rPr>
        <w:t>年初预算</w:t>
      </w:r>
      <w:r>
        <w:rPr>
          <w:rFonts w:hint="eastAsia" w:ascii="仿宋_GB2312" w:eastAsia="仿宋_GB2312" w:cs="DengXian-Regular"/>
          <w:b/>
          <w:bCs/>
          <w:sz w:val="32"/>
          <w:szCs w:val="32"/>
          <w:lang w:eastAsia="zh-CN"/>
        </w:rPr>
        <w:t>持平。</w:t>
      </w:r>
      <w:r>
        <w:rPr>
          <w:rFonts w:hint="eastAsia" w:ascii="仿宋_GB2312" w:eastAsia="仿宋_GB2312" w:cs="DengXian-Regular"/>
          <w:sz w:val="32"/>
          <w:szCs w:val="32"/>
        </w:rPr>
        <w:t>具体情况如下：</w:t>
      </w:r>
    </w:p>
    <w:p>
      <w:pPr>
        <w:adjustRightInd w:val="0"/>
        <w:snapToGrid w:val="0"/>
        <w:spacing w:after="0" w:line="580" w:lineRule="exact"/>
        <w:ind w:firstLine="643" w:firstLineChars="200"/>
        <w:rPr>
          <w:rFonts w:hint="eastAsia" w:ascii="仿宋_GB2312" w:eastAsia="仿宋_GB2312" w:cs="DengXian-Regular"/>
          <w:sz w:val="32"/>
          <w:szCs w:val="32"/>
          <w:lang w:eastAsia="zh-CN"/>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70528"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2" name="组合 82"/>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0528;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ov8VsSY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OMZIkBru6PvX95cf&#10;PyBYAHQaVUxh07FW5+pMdwtFO3MFb3Ndu38oBW09rhc9rmxrEYXFwXgwSCYpRhRsaTqOhmkLPC3h&#10;dtyxJE0jjJw1Hka98Vl3fpwmw/ZwNJiM3dFgFzhw+fXpNApYZK6AMn8G1HlJFPP4G4fBDqhBD9Sn&#10;L5ffPqNo0ALlN/UomakBwO6A6K5ad0hdqzQaeRz6SslUaWOPmayRG8ywBnJ7zpHNibEtKLstLqyR&#10;vMqWFed+oovVEddoQ0AIi4n7+bN8Xb+QWbs8TsPQKwJimna/R/qGIy5QM8NxmsBWRAlINufEwrBW&#10;QCIjCowIL6AXUKt9BCFdDpBeW8CCmLIN5912l8kFRHK312LmRiuZXQDiWraaNYouK6j7hBh7RjSI&#10;FOJD47Gn8Mi5hKRkN8KolPrdXetuP1ACrBg1IHpI+O2aaIYRfy6ALJMoSVyX8JMkHcUw0dctq+sW&#10;sa6PJMAJzIXs/NDtt3w3zLWs30B/mruoYCKCQuwWmm5yZNtmBB2Osvncb4POoIg9EeeKOucOOSHn&#10;ayvzyl/zFTodaEB5J9R/wf3kNveTe3J/NOp0Pp503bfn/iAG765FRFHsJfU3uD9fhGG86GjnKbiT&#10;yL2ZfeN0J5iW2k/D0TBa+pszJclYu+rk9Ut9OQX/tkbsdrX1Lfm/XO4rF//igJeq73DdB4B7a1+f&#10;e3ldfaYc/A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CaBQAAW0NvbnRlbnRfVHlwZXNdLnhtbFBLAQIUAAoAAAAAAIdO4kAAAAAAAAAAAAAAAAAG&#10;AAAAAAAAAAAAEAAAAHwEAABfcmVscy9QSwECFAAUAAAACACHTuJAihRmPNEAAACUAQAACwAAAAAA&#10;AAABACAAAACgBAAAX3JlbHMvLnJlbHNQSwECFAAKAAAAAACHTuJAAAAAAAAAAAAAAAAABAAAAAAA&#10;AAAAABAAAAAAAAAAZHJzL1BLAQIUABQAAAAIAIdO4kASfsrO2wAAAAsBAAAPAAAAAAAAAAEAIAAA&#10;ACIAAABkcnMvZG93bnJldi54bWxQSwECFAAUAAAACACHTuJAov8VsSYDAADuCAAADgAAAAAAAAAB&#10;ACAAAAAqAQAAZHJzL2Uyb0RvYy54bWxQSwUGAAAAAAYABgBZAQAAw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9ZS/274AAADb&#10;AAAADwAAAGRycy9kb3ducmV2LnhtbEWPzWsCMRTE74L/Q3gFb5psxQ+2Rg9isXhqVfD63Lzubnfz&#10;siTxo/+9KRQ8DjPzG2axuttWXMmH2rGGbKRAEBfO1FxqOB7eh3MQISIbbB2Thl8KsFr2ewvMjbvx&#10;F133sRQJwiFHDVWMXS5lKCqyGEauI07et/MWY5K+lMbjLcFtK1+VmkqLNaeFCjtaV1Q0+4vV0Bxn&#10;n7Vab39Ou2Y68ZvsPJv4s9aDl0y9gYh0j8/wf/vDaJiP4e9L+gFy+Q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9ZS/2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9RjmbsAAADb&#10;AAAADwAAAGRycy9kb3ducmV2LnhtbEWPS4sCMRCE78L+h9AL3pzERXSYNQorKB597e61mbQzg5PO&#10;kMTXvzeC4LGoqq+o6fxmW3EhHxrHGoaZAkFcOtNwpeGwXw5yECEiG2wdk4Y7BZjPPnpTLIy78pYu&#10;u1iJBOFQoIY6xq6QMpQ1WQyZ64iTd3TeYkzSV9J4vCa4beWXUmNpseG0UGNHi5rK0+5sNYw3PwtX&#10;7vPVn/9v1Madl/d88qt1/3OovkFEusV3+NVeGw35CJ5f0g+Qs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9Rjmb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楷体_GB2312" w:eastAsia="楷体_GB2312" w:cs="DengXian-Bold"/>
          <w:b/>
          <w:bCs/>
          <w:sz w:val="32"/>
          <w:szCs w:val="32"/>
        </w:rPr>
        <w:t>一）因公出国（境）费支出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人/无本单位组织的出国（境）团组。因公出国（境）费支出较年初预算增加（减少）</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楷体_GB2312" w:eastAsia="楷体_GB2312" w:cs="DengXian-Bold"/>
          <w:b/>
          <w:bCs/>
          <w:sz w:val="32"/>
          <w:szCs w:val="32"/>
          <w:lang w:val="en-US" w:eastAsia="zh-CN"/>
        </w:rPr>
        <w:t>8.1</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年初预算</w:t>
      </w:r>
      <w:r>
        <w:rPr>
          <w:rFonts w:hint="eastAsia" w:ascii="仿宋_GB2312" w:eastAsia="仿宋_GB2312" w:cs="DengXian-Regular"/>
          <w:sz w:val="32"/>
          <w:szCs w:val="32"/>
          <w:lang w:eastAsia="zh-CN"/>
        </w:rPr>
        <w:t>持平。</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hint="eastAsia" w:ascii="仿宋_GB2312" w:eastAsia="仿宋_GB2312" w:cs="DengXian-Regular"/>
          <w:sz w:val="32"/>
          <w:szCs w:val="32"/>
          <w:lang w:eastAsia="zh-CN"/>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本部门2018年度“未发生‘公务用车购置’经费支出”“与年初预算持平”</w:t>
      </w:r>
      <w:r>
        <w:rPr>
          <w:rFonts w:hint="eastAsia" w:ascii="仿宋_GB2312" w:eastAsia="仿宋_GB2312" w:cs="DengXian-Regular"/>
          <w:sz w:val="32"/>
          <w:szCs w:val="32"/>
          <w:lang w:eastAsia="zh-CN"/>
        </w:rPr>
        <w:t>。</w:t>
      </w:r>
    </w:p>
    <w:p>
      <w:pPr>
        <w:adjustRightInd w:val="0"/>
        <w:snapToGrid w:val="0"/>
        <w:spacing w:after="0" w:line="580" w:lineRule="exact"/>
        <w:ind w:firstLine="643" w:firstLineChars="200"/>
        <w:rPr>
          <w:rFonts w:hint="eastAsia" w:ascii="仿宋_GB2312" w:eastAsia="仿宋_GB2312" w:cs="DengXian-Regular"/>
          <w:sz w:val="32"/>
          <w:szCs w:val="32"/>
          <w:lang w:eastAsia="zh-CN"/>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辆。公车运行维护费支出与年初预算持平</w:t>
      </w:r>
      <w:r>
        <w:rPr>
          <w:rFonts w:hint="eastAsia" w:ascii="仿宋_GB2312" w:eastAsia="仿宋_GB2312" w:cs="DengXian-Regular"/>
          <w:sz w:val="32"/>
          <w:szCs w:val="32"/>
          <w:lang w:eastAsia="zh-CN"/>
        </w:rPr>
        <w:t>。</w:t>
      </w:r>
    </w:p>
    <w:p>
      <w:pPr>
        <w:adjustRightInd w:val="0"/>
        <w:snapToGrid w:val="0"/>
        <w:spacing w:after="0" w:line="580" w:lineRule="exact"/>
        <w:ind w:firstLine="643" w:firstLineChars="200"/>
        <w:rPr>
          <w:rFonts w:hint="eastAsia" w:ascii="仿宋_GB2312" w:eastAsia="仿宋_GB2312" w:cs="DengXian-Regular"/>
          <w:sz w:val="32"/>
          <w:szCs w:val="32"/>
          <w:lang w:eastAsia="zh-CN"/>
        </w:rPr>
      </w:pPr>
      <w:r>
        <w:rPr>
          <w:rFonts w:hint="eastAsia" w:ascii="楷体_GB2312" w:eastAsia="楷体_GB2312" w:cs="DengXian-Bold"/>
          <w:b/>
          <w:bCs/>
          <w:sz w:val="32"/>
          <w:szCs w:val="32"/>
        </w:rPr>
        <w:t>（三）公务接待费支出</w:t>
      </w:r>
      <w:r>
        <w:rPr>
          <w:rFonts w:hint="eastAsia" w:ascii="楷体_GB2312" w:eastAsia="楷体_GB2312" w:cs="DengXian-Bold"/>
          <w:b/>
          <w:bCs/>
          <w:sz w:val="32"/>
          <w:szCs w:val="32"/>
          <w:lang w:val="en-US" w:eastAsia="zh-CN"/>
        </w:rPr>
        <w:t>0</w:t>
      </w:r>
      <w:r>
        <w:rPr>
          <w:rFonts w:hint="eastAsia" w:ascii="楷体_GB2312" w:eastAsia="楷体_GB2312" w:cs="DengXian-Bold"/>
          <w:b/>
          <w:bCs/>
          <w:sz w:val="32"/>
          <w:szCs w:val="32"/>
        </w:rPr>
        <w:t>万元。</w:t>
      </w:r>
      <w:r>
        <w:rPr>
          <w:sz w:val="44"/>
        </w:rPr>
        <mc:AlternateContent>
          <mc:Choice Requires="wpg">
            <w:drawing>
              <wp:anchor distT="0" distB="0" distL="114300" distR="114300" simplePos="0" relativeHeight="251672576"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2576;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KixVxCcDAADuCAAADgAAAGRycy9lMm9Eb2MueG1s&#10;7VbdbtMwFL5H4h0s37MkbdKfaO1UVjohDTZpIK5dx/mRHNvYbtNxzQWXvAESdzwD4nEmXoNjJ+26&#10;MQk2BFeoUmr72Ofn8/ed5PBoU3O0ZtpUUkxwdBBixASVWSWKCX79avFkhJGxRGSES8Em+JIZfDR9&#10;/OiwUSnryVLyjGkEToRJGzXBpbUqDQJDS1YTcyAVE2DMpa6JhakugkyTBrzXPOiF4SBopM6UlpQZ&#10;A6vz1oin3n+eM2rP8twwi/gEQ27WP7V/Lt0zmB6StNBElRXt0iAPyKImlYCgO1dzYgla6eonV3VF&#10;tTQytwdU1oHM84oyXwNUE4W3qjnRcqV8LUXaFGoHE0B7C6cHu6Uv1+caVdkEjxKMBKnhjr5/fX/1&#10;8QOCBUCnUUUKm060ulDnulso2pkreJPr2v1DKWjjcb3c4co2FlFY7I/6/XgM/inYkmQUDbxrktIS&#10;bscdi5MkwshZe4NoZ3zWnR8l8aA9HPXHI5dVsA0cuPx26TQKWGSugTJ/BtRFSRTz+BuHwRYoyKUD&#10;6tOXq2+fUdRvgfKbdiiZ1ABgd0B0V61bpPYqjYYeh12lJFXa2BMma+QGE6yB3J5zZH1qbAvKdosL&#10;aySvskXFuZ/oYnnMNVoTEMJ87H7+LF/VL2TWLo+SMPSKgJim3e+RvuGIC9RMcC+JYSuiBCSbc2Jh&#10;WCsgkREFRoQX0Auo1T6CkC4HSK8tYE5M2YbzbrvL5AIiudtrMXOjpcwuAXEtW80aRRcV1H1KjD0n&#10;GkQK8aHx2DN45FxCUrIbYVRK/e6udbcfKAFWjBoQPST8dkU0w4g/F0CWcRTHrkv4SZwMezDR+5bl&#10;vkWs6mMJcAJzITs/dPst3w5zLes30J9mLiqYiKAQu4WmmxzbthlBh6NsNvPboDMoYk/FhaLOuUNO&#10;yNnKyrzy13yNTgcaUN4J9V9wf3ib+/E9uT8ED17no3HXfXfc7/fiTuVRz0vqb3B/Ng/D3ryjnafg&#10;ViL3ZvaN051gWmo/DYeDaOFvzpQkY+2qk9cv9eUU/NsasZvlxrfk/3K5r1z8iwNeqr7DdR8A7q29&#10;P/fyuv5Mm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En7KztsAAAALAQAADwAAAAAAAAABACAA&#10;AAAiAAAAZHJzL2Rvd25yZXYueG1sUEsBAhQAFAAAAAgAh07iQCosVcQ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5eMcQ74AAADb&#10;AAAADwAAAGRycy9kb3ducmV2LnhtbEWPzWsCMRTE74L/Q3iF3jTZgqtsjR7E0uKpfoDX5+Z1d7ub&#10;lyVJ/fjvG0HwOMzMb5j58mo7cSYfGscasrECQVw603Cl4bD/GM1AhIhssHNMGm4UYLkYDuZYGHfh&#10;LZ13sRIJwqFADXWMfSFlKGuyGMauJ07ej/MWY5K+ksbjJcFtJ9+UyqXFhtNCjT2tairb3Z/V0B6m&#10;341aff4eN20+8evsNJ34k9avL5l6BxHpGp/hR/vLaJjlcP+SfoBc/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5eMcQ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wb97rwAAADb&#10;AAAADwAAAGRycy9kb3ducmV2LnhtbEWPwWrDMBBE74X+g9hCbo3kHhLjRjbEkJJjmjTtdbG2tom1&#10;MpISO39fFQo9DjPzhtlUsx3EjXzoHWvIlgoEceNMz62Gj9PuOQcRIrLBwTFpuFOAqnx82GBh3MTv&#10;dDvGViQIhwI1dDGOhZSh6chiWLqROHnfzluMSfpWGo9TgttBvii1khZ7TgsdjlR31FyOV6thddjW&#10;rjnlb5/+q1cHd93d8/VZ68VTpl5BRJrjf/ivvTca8jX8fkk/QJY/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MG/e68AAAA&#10;2wAAAA8AAAAAAAAAAQAgAAAAIgAAAGRycy9kb3ducmV2LnhtbFBLAQIUABQAAAAIAIdO4kAzLwWe&#10;OwAAADkAAAAQAAAAAAAAAAEAIAAAAAsBAABkcnMvc2hhcGV4bWwueG1sUEsFBgAAAAAGAAYAWwEA&#10;ALUD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本部门2018年度未发生‘公务接待’经费支出</w:t>
      </w:r>
      <w:r>
        <w:rPr>
          <w:rFonts w:hint="eastAsia" w:ascii="仿宋_GB2312" w:eastAsia="仿宋_GB2312" w:cs="DengXian-Regular"/>
          <w:sz w:val="32"/>
          <w:szCs w:val="32"/>
          <w:lang w:eastAsia="zh-CN"/>
        </w:rPr>
        <w:t>，</w:t>
      </w:r>
      <w:r>
        <w:rPr>
          <w:rFonts w:hint="eastAsia" w:ascii="仿宋_GB2312" w:eastAsia="仿宋_GB2312" w:cs="DengXian-Regular"/>
          <w:sz w:val="32"/>
          <w:szCs w:val="32"/>
        </w:rPr>
        <w:t>与年初预算持平</w:t>
      </w:r>
      <w:r>
        <w:rPr>
          <w:rFonts w:hint="eastAsia" w:ascii="仿宋_GB2312" w:eastAsia="仿宋_GB2312" w:cs="DengXian-Regular"/>
          <w:sz w:val="32"/>
          <w:szCs w:val="32"/>
          <w:lang w:eastAsia="zh-CN"/>
        </w:rPr>
        <w:t>。</w:t>
      </w:r>
    </w:p>
    <w:p>
      <w:pPr>
        <w:pStyle w:val="3"/>
        <w:spacing w:before="0" w:after="0" w:line="500" w:lineRule="exact"/>
        <w:ind w:firstLine="643" w:firstLineChars="200"/>
        <w:rPr>
          <w:rFonts w:hint="eastAsia" w:ascii="黑体" w:eastAsia="黑体"/>
          <w:b w:val="0"/>
          <w:bCs w:val="0"/>
        </w:rPr>
      </w:pPr>
      <w:r>
        <w:rPr>
          <w:rFonts w:hint="eastAsia" w:ascii="黑体" w:eastAsia="黑体"/>
          <w:szCs w:val="40"/>
        </w:rPr>
        <w:t>六、</w:t>
      </w:r>
      <w:r>
        <w:rPr>
          <w:rFonts w:hint="eastAsia" w:ascii="黑体" w:eastAsia="黑体"/>
          <w:b w:val="0"/>
          <w:bCs w:val="0"/>
        </w:rPr>
        <w:t>绩效预算情况说明</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[2019]1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（二）预算项目绩效评价开展情况</w:t>
      </w:r>
      <w:r>
        <w:rPr>
          <w:rFonts w:hint="eastAsia" w:ascii="仿宋_GB2312" w:eastAsia="仿宋_GB2312" w:cs="DengXian-Regular"/>
          <w:sz w:val="32"/>
          <w:szCs w:val="32"/>
          <w:lang w:eastAsia="zh-CN"/>
        </w:rPr>
        <w:t>。</w:t>
      </w:r>
      <w:r>
        <w:rPr>
          <w:rFonts w:hint="eastAsia" w:ascii="仿宋_GB2312" w:eastAsia="仿宋_GB2312" w:cs="DengXian-Regular"/>
          <w:sz w:val="32"/>
          <w:szCs w:val="32"/>
        </w:rPr>
        <w:t>根据预算绩效管理要求，本单位组织对2017年度一般公共预算项目支出全面开展绩效自评，涉及</w:t>
      </w:r>
      <w:r>
        <w:rPr>
          <w:rFonts w:hint="eastAsia" w:ascii="仿宋_GB2312" w:eastAsia="仿宋_GB2312" w:cs="DengXian-Regular"/>
          <w:sz w:val="32"/>
          <w:szCs w:val="32"/>
          <w:lang w:eastAsia="zh-CN"/>
        </w:rPr>
        <w:t>安全生产培训专项及宣传经费</w:t>
      </w:r>
      <w:r>
        <w:rPr>
          <w:rFonts w:hint="eastAsia" w:ascii="仿宋_GB2312" w:eastAsia="仿宋_GB2312" w:cs="DengXian-Regular"/>
          <w:sz w:val="32"/>
          <w:szCs w:val="32"/>
        </w:rPr>
        <w:t>、</w:t>
      </w:r>
      <w:r>
        <w:rPr>
          <w:rFonts w:hint="eastAsia" w:ascii="仿宋_GB2312" w:eastAsia="仿宋_GB2312" w:cs="DengXian-Regular"/>
          <w:sz w:val="32"/>
          <w:szCs w:val="32"/>
          <w:lang w:eastAsia="zh-CN"/>
        </w:rPr>
        <w:t>安全生产应急救援专项经费</w:t>
      </w:r>
      <w:r>
        <w:rPr>
          <w:rFonts w:hint="eastAsia" w:ascii="仿宋_GB2312" w:eastAsia="仿宋_GB2312" w:cs="DengXian-Regular"/>
          <w:sz w:val="32"/>
          <w:szCs w:val="32"/>
        </w:rPr>
        <w:t>、</w:t>
      </w:r>
      <w:r>
        <w:rPr>
          <w:rFonts w:hint="eastAsia" w:ascii="仿宋_GB2312" w:eastAsia="仿宋_GB2312" w:cs="DengXian-Regular"/>
          <w:sz w:val="32"/>
          <w:szCs w:val="32"/>
          <w:lang w:eastAsia="zh-CN"/>
        </w:rPr>
        <w:t>安全生产诚信评定费</w:t>
      </w:r>
      <w:r>
        <w:rPr>
          <w:rFonts w:hint="eastAsia" w:ascii="仿宋_GB2312" w:eastAsia="仿宋_GB2312" w:cs="DengXian-Regular"/>
          <w:sz w:val="32"/>
          <w:szCs w:val="32"/>
        </w:rPr>
        <w:t>等</w:t>
      </w:r>
      <w:r>
        <w:rPr>
          <w:rFonts w:hint="eastAsia" w:ascii="仿宋_GB2312" w:eastAsia="仿宋_GB2312" w:cs="DengXian-Regular"/>
          <w:sz w:val="32"/>
          <w:szCs w:val="32"/>
          <w:lang w:val="en-US" w:eastAsia="zh-CN"/>
        </w:rPr>
        <w:t>10</w:t>
      </w:r>
      <w:r>
        <w:rPr>
          <w:rFonts w:hint="eastAsia" w:ascii="仿宋_GB2312" w:eastAsia="仿宋_GB2312" w:cs="DengXian-Regular"/>
          <w:sz w:val="32"/>
          <w:szCs w:val="32"/>
        </w:rPr>
        <w:t>个项目，涉及资金</w:t>
      </w:r>
      <w:r>
        <w:rPr>
          <w:rFonts w:hint="eastAsia" w:ascii="仿宋_GB2312" w:eastAsia="仿宋_GB2312" w:cs="DengXian-Regular"/>
          <w:sz w:val="32"/>
          <w:szCs w:val="32"/>
          <w:lang w:val="en-US" w:eastAsia="zh-CN"/>
        </w:rPr>
        <w:t>129.9</w:t>
      </w:r>
      <w:r>
        <w:rPr>
          <w:rFonts w:hint="eastAsia" w:ascii="仿宋_GB2312" w:eastAsia="仿宋_GB2312" w:cs="DengXian-Regular"/>
          <w:sz w:val="32"/>
          <w:szCs w:val="32"/>
        </w:rPr>
        <w:t>万元。从评价情况看，评价结果</w:t>
      </w:r>
      <w:r>
        <w:rPr>
          <w:rFonts w:hint="eastAsia" w:ascii="仿宋_GB2312" w:eastAsia="仿宋_GB2312" w:cs="DengXian-Regular"/>
          <w:sz w:val="32"/>
          <w:szCs w:val="32"/>
          <w:lang w:val="en-US" w:eastAsia="zh-CN"/>
        </w:rPr>
        <w:t>10个项目均为</w:t>
      </w:r>
      <w:r>
        <w:rPr>
          <w:rFonts w:hint="eastAsia" w:ascii="仿宋_GB2312" w:eastAsia="仿宋_GB2312" w:cs="DengXian-Regular"/>
          <w:sz w:val="32"/>
          <w:szCs w:val="32"/>
        </w:rPr>
        <w:t>优秀</w:t>
      </w:r>
      <w:r>
        <w:rPr>
          <w:rFonts w:hint="eastAsia" w:ascii="仿宋_GB2312" w:eastAsia="仿宋_GB2312" w:cs="DengXian-Regular"/>
          <w:sz w:val="32"/>
          <w:szCs w:val="32"/>
          <w:lang w:eastAsia="zh-CN"/>
        </w:rPr>
        <w:t>。</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hint="eastAsia" w:ascii="仿宋_GB2312" w:eastAsia="仿宋_GB2312" w:cs="DengXian-Regular"/>
          <w:sz w:val="32"/>
          <w:szCs w:val="32"/>
          <w:lang w:val="en-US" w:eastAsia="zh-CN"/>
        </w:rPr>
        <w:t>52.46</w:t>
      </w:r>
      <w:r>
        <w:rPr>
          <w:rFonts w:hint="eastAsia" w:ascii="仿宋_GB2312" w:eastAsia="仿宋_GB2312" w:cs="DengXian-Regular"/>
          <w:sz w:val="32"/>
          <w:szCs w:val="32"/>
        </w:rPr>
        <w:t>万元，比年初预算数增加</w:t>
      </w:r>
      <w:r>
        <w:rPr>
          <w:rFonts w:hint="eastAsia" w:ascii="仿宋_GB2312" w:eastAsia="仿宋_GB2312" w:cs="DengXian-Regular"/>
          <w:sz w:val="32"/>
          <w:szCs w:val="32"/>
          <w:lang w:val="en-US" w:eastAsia="zh-CN"/>
        </w:rPr>
        <w:t>12</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29.82</w:t>
      </w:r>
      <w:r>
        <w:rPr>
          <w:rFonts w:hint="eastAsia" w:ascii="仿宋_GB2312" w:eastAsia="仿宋_GB2312" w:cs="DengXian-Regular"/>
          <w:sz w:val="32"/>
          <w:szCs w:val="32"/>
        </w:rPr>
        <w:t>%。主要原因是执法任务增加。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hint="eastAsia" w:ascii="仿宋_GB2312" w:eastAsia="仿宋_GB2312" w:cs="DengXian-Regular"/>
          <w:sz w:val="32"/>
          <w:szCs w:val="32"/>
          <w:lang w:eastAsia="zh-CN"/>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无政府采购经费支出。</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hint="eastAsia" w:ascii="仿宋_GB2312" w:eastAsia="仿宋_GB2312" w:cs="DengXian-Regular"/>
          <w:sz w:val="32"/>
          <w:szCs w:val="32"/>
          <w:lang w:eastAsia="zh-CN"/>
        </w:rPr>
      </w:pPr>
      <w:r>
        <w:rPr>
          <w:rFonts w:hint="eastAsia" w:ascii="仿宋_GB2312" w:eastAsia="仿宋_GB2312" w:cs="DengXian-Regular"/>
          <w:sz w:val="32"/>
          <w:szCs w:val="32"/>
        </w:rPr>
        <w:t>截至2018年12月31日，本部门共有车辆</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辆，与</w:t>
      </w:r>
      <w:r>
        <w:rPr>
          <w:rFonts w:hint="eastAsia" w:ascii="仿宋_GB2312" w:eastAsia="仿宋_GB2312" w:cs="DengXian-Regular"/>
          <w:sz w:val="32"/>
          <w:szCs w:val="32"/>
          <w:lang w:eastAsia="zh-CN"/>
        </w:rPr>
        <w:t>上年</w:t>
      </w:r>
      <w:r>
        <w:rPr>
          <w:rFonts w:hint="eastAsia" w:ascii="仿宋_GB2312" w:eastAsia="仿宋_GB2312" w:cs="DengXian-Regular"/>
          <w:sz w:val="32"/>
          <w:szCs w:val="32"/>
        </w:rPr>
        <w:t>持平。其中，应急保障用车</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辆，执法执勤用车</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w:t>
      </w:r>
      <w:r>
        <w:rPr>
          <w:rFonts w:hint="eastAsia" w:ascii="仿宋_GB2312" w:eastAsia="仿宋_GB2312" w:cs="DengXian-Regular"/>
          <w:sz w:val="32"/>
          <w:szCs w:val="32"/>
          <w:lang w:eastAsia="zh-CN"/>
        </w:rPr>
        <w:t>，</w:t>
      </w:r>
      <w:r>
        <w:rPr>
          <w:rFonts w:hint="eastAsia" w:ascii="仿宋_GB2312" w:eastAsia="仿宋_GB2312" w:cs="DengXian-Regular"/>
          <w:sz w:val="32"/>
          <w:szCs w:val="32"/>
        </w:rPr>
        <w:t>单位</w:t>
      </w:r>
      <w:r>
        <w:rPr>
          <w:rFonts w:hint="eastAsia" w:ascii="仿宋_GB2312" w:eastAsia="仿宋_GB2312" w:cs="DengXian-Regular"/>
          <w:sz w:val="32"/>
          <w:szCs w:val="32"/>
          <w:lang w:eastAsia="zh-CN"/>
        </w:rPr>
        <w:t>无</w:t>
      </w:r>
      <w:r>
        <w:rPr>
          <w:rFonts w:hint="eastAsia" w:ascii="仿宋_GB2312" w:eastAsia="仿宋_GB2312" w:cs="DengXian-Regular"/>
          <w:sz w:val="32"/>
          <w:szCs w:val="32"/>
        </w:rPr>
        <w:t>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eastAsia="仿宋_GB2312" w:cs="DengXian-Regular"/>
          <w:sz w:val="32"/>
          <w:szCs w:val="32"/>
          <w:lang w:eastAsia="zh-CN"/>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w:t>
      </w:r>
      <w:r>
        <w:rPr>
          <w:rFonts w:hint="eastAsia" w:ascii="仿宋_GB2312" w:eastAsia="仿宋_GB2312" w:cs="DengXian-Regular"/>
          <w:sz w:val="32"/>
          <w:szCs w:val="32"/>
          <w:lang w:eastAsia="zh-CN"/>
        </w:rPr>
        <w:t>政府基金预算财政拨款及国有资本经营预算财政拨款</w:t>
      </w:r>
      <w:r>
        <w:rPr>
          <w:rFonts w:hint="eastAsia" w:ascii="仿宋_GB2312" w:eastAsia="仿宋_GB2312" w:cs="DengXian-Regular"/>
          <w:sz w:val="32"/>
          <w:szCs w:val="32"/>
        </w:rPr>
        <w:t>无收支及结转结余情况，故</w:t>
      </w:r>
      <w:r>
        <w:rPr>
          <w:rFonts w:hint="eastAsia" w:ascii="仿宋_GB2312" w:eastAsia="仿宋_GB2312" w:cs="DengXian-Regular"/>
          <w:sz w:val="32"/>
          <w:szCs w:val="32"/>
          <w:lang w:eastAsia="zh-CN"/>
        </w:rPr>
        <w:t>政府性基金预算财政拨款收入支出决算表（公开</w:t>
      </w:r>
      <w:r>
        <w:rPr>
          <w:rFonts w:hint="eastAsia" w:ascii="仿宋_GB2312" w:eastAsia="仿宋_GB2312" w:cs="DengXian-Regular"/>
          <w:sz w:val="32"/>
          <w:szCs w:val="32"/>
          <w:lang w:val="en-US" w:eastAsia="zh-CN"/>
        </w:rPr>
        <w:t>08表</w:t>
      </w:r>
      <w:r>
        <w:rPr>
          <w:rFonts w:hint="eastAsia" w:ascii="仿宋_GB2312" w:eastAsia="仿宋_GB2312" w:cs="DengXian-Regular"/>
          <w:sz w:val="32"/>
          <w:szCs w:val="32"/>
          <w:lang w:eastAsia="zh-CN"/>
        </w:rPr>
        <w:t>）与国有资本经营预算拨款支出决算表（公开</w:t>
      </w:r>
      <w:r>
        <w:rPr>
          <w:rFonts w:hint="eastAsia" w:ascii="仿宋_GB2312" w:eastAsia="仿宋_GB2312" w:cs="DengXian-Regular"/>
          <w:sz w:val="32"/>
          <w:szCs w:val="32"/>
          <w:lang w:val="en-US" w:eastAsia="zh-CN"/>
        </w:rPr>
        <w:t>09表</w:t>
      </w:r>
      <w:r>
        <w:rPr>
          <w:rFonts w:hint="eastAsia" w:ascii="仿宋_GB2312" w:eastAsia="仿宋_GB2312" w:cs="DengXian-Regular"/>
          <w:sz w:val="32"/>
          <w:szCs w:val="32"/>
          <w:lang w:eastAsia="zh-CN"/>
        </w:rPr>
        <w:t>）</w:t>
      </w:r>
      <w:r>
        <w:rPr>
          <w:rFonts w:hint="eastAsia" w:ascii="仿宋_GB2312" w:eastAsia="仿宋_GB2312" w:cs="DengXian-Regular"/>
          <w:sz w:val="32"/>
          <w:szCs w:val="32"/>
        </w:rPr>
        <w:t>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74624" behindDoc="0" locked="1" layoutInCell="1" allowOverlap="1">
                <wp:simplePos x="0" y="0"/>
                <wp:positionH relativeFrom="column">
                  <wp:posOffset>-1015365</wp:posOffset>
                </wp:positionH>
                <wp:positionV relativeFrom="topMargin">
                  <wp:posOffset>372110</wp:posOffset>
                </wp:positionV>
                <wp:extent cx="3833495" cy="558165"/>
                <wp:effectExtent l="1270" t="0" r="13335" b="13335"/>
                <wp:wrapNone/>
                <wp:docPr id="91" name="组合 91"/>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92"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4624;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9pbQOSQDAADuCAAADgAAAGRycy9lMm9Eb2MueG1s&#10;7VbLbhMxFN0j8Q+W93QemclLTavQkAqp0EoFsXY8nofksY3tZFLWLFjyB0js+AbE51T8BteeyfRB&#10;JWgRrFCkie1r38fxOXdm/3Bbc7Rh2lRSzHC0F2LEBJVZJYoZfv1q+WSMkbFEZIRLwWb4ghl8ePD4&#10;0X6jpiyWpeQZ0wicCDNt1AyX1qppEBhaspqYPamYAGMudU0sTHURZJo04L3mQRyGw6CROlNaUmYM&#10;rC5aIz7w/vOcUXua54ZZxGcYcrP+qf1z5Z7BwT6ZFpqosqJdGuQBWdSkEhC0d7UglqC1rn5yVVdU&#10;SyNzu0dlHcg8ryjzNUA1UXirmmMt18rXUkybQvUwAbS3cHqwW/pyc6ZRlc3wJMJIkBru6PvX95cf&#10;PyBYAHQaVUxh07FW5+pMdwtFO3MFb3Ndu38oBW09rhc9rmxrEYXFwXgwSCYpRhRsaTqOhmkLPC3h&#10;dtyxJE0hvLPGw6g3PuvOj9Nk2B6OBpOxOxrsAgcuvz6dRgGLzBVQ5s+AOi+JYh5/4zDYARX3QH36&#10;cvntM4oGLVB+U4+SmRoA7A6I7qp1h9S1SqORx6GvlEyVNvaYyRq5wQxrILfnHNmcGNuCstviwhrJ&#10;q2xZce4nulgdcY02BISwmLifP8vX9QuZtcvjNAy9IiCmafd7pG844gI1MxynCWxFlIBkc04sDGsF&#10;JDKiwIjwAnoBtdpHENLlAOm1BSyIKdtw3m13mVxAJHd7LWZutJLZBSCuZatZo+iygrpPiLFnRINI&#10;IT40HnsKj5xLSEp2I4xKqd/dte72AyXAilEDooeE366JZhjx5wLIMomSxHUJP0nSUQwTfd2yum4R&#10;6/pIApzAXMjOD91+y3fDXMv6DfSnuYsKJiIoxG6h6SZHtm1G0OEom8/9NugMitgTca6oc+6QE3K+&#10;tjKv/DVfodOBBpR3Qv0X3B/c5n5yT+6PRp3Ox5Ou+/bcH8RJp/Io9pL6G9yfL8IwXnS08xTcSeTe&#10;zL5xuhNMS+2n4WgYLf3NmZJkrF118vqlvpyCf1sjdrva+pb8Xy73lYt/ccBL1Xe47gPAvbWvz728&#10;rj5TDn4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mAUAAFtDb250ZW50X1R5cGVzXS54bWxQSwECFAAKAAAAAACHTuJAAAAAAAAAAAAAAAAABgAA&#10;AAAAAAAAABAAAAB6BAAAX3JlbHMvUEsBAhQAFAAAAAgAh07iQIoUZjzRAAAAlAEAAAsAAAAAAAAA&#10;AQAgAAAAngQAAF9yZWxzLy5yZWxzUEsBAhQACgAAAAAAh07iQAAAAAAAAAAAAAAAAAQAAAAAAAAA&#10;AAAQAAAAAAAAAGRycy9QSwECFAAUAAAACACHTuJAEn7KztsAAAALAQAADwAAAAAAAAABACAAAAAi&#10;AAAAZHJzL2Rvd25yZXYueG1sUEsBAhQAFAAAAAgAh07iQPaW0DkkAwAA7ggAAA4AAAAAAAAAAQAg&#10;AAAAKgEAAGRycy9lMm9Eb2MueG1sUEsFBgAAAAAGAAYAWQEAAMA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HwGMnb4AAADb&#10;AAAADwAAAGRycy9kb3ducmV2LnhtbEWPS2vDMBCE74H+B7GF3hLJgTzqRskhNLTklBf0urG2tmtr&#10;ZSTl0X8fBQI5DjPzDTNbXG0rzuRD7VhDNlAgiAtnai41HPar/hREiMgGW8ek4Z8CLOYvvRnmxl14&#10;S+ddLEWCcMhRQxVjl0sZiooshoHriJP367zFmKQvpfF4SXDbyqFSY2mx5rRQYUfLiopmd7IamsNk&#10;U6vl19/PuhmP/Gd2nIz8Ueu310x9gIh0jc/wo/1tNLwP4f4l/QA5v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HwGMn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RtML0AAADb&#10;AAAADwAAAGRycy9kb3ducmV2LnhtbEWPT2vCQBTE7wW/w/IEb3U3FmyauhEULB6t9s/1kX1NQrNv&#10;w+4m6rd3hUKPw8z8hlmtL7YTI/nQOtaQzRUI4sqZlmsNH6fdYw4iRGSDnWPScKUA63LysMLCuDO/&#10;03iMtUgQDgVqaGLsCylD1ZDFMHc9cfJ+nLcYk/S1NB7PCW47uVBqKS22nBYa7GnbUPV7HKyG5WGz&#10;ddUpf/vy3606uGF3zZ8/tZ5NM/UKItIl/of/2nuj4eUJ7l/SD5DlD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55G0wvQAA&#10;ANsAAAAPAAAAAAAAAAEAIAAAACIAAABkcnMvZG93bnJldi54bWxQSwECFAAUAAAACACHTuJAMy8F&#10;njsAAAA5AAAAEAAAAAAAAAABACAAAAAMAQAAZHJzL3NoYXBleG1sLnhtbFBLBQYAAAAABgAGAFsB&#10;AAC2Aw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45952"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fill on="f" focussize="0,0"/>
                <v:stroke on="f" weight="0.5pt"/>
                <v:imagedata o:title=""/>
                <o:lock v:ext="edit" aspectratio="f"/>
                <v:textbox>
                  <w:txbxContent>
                    <w:p>
                      <w:pPr>
                        <w:widowControl/>
                        <w:spacing w:line="1200" w:lineRule="exact"/>
                        <w:jc w:val="center"/>
                        <w:rPr>
                          <w:rFonts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第四部分</w:t>
                      </w:r>
                    </w:p>
                    <w:p>
                      <w:pPr>
                        <w:widowControl/>
                        <w:spacing w:line="1200" w:lineRule="exact"/>
                        <w:jc w:val="center"/>
                        <w:rPr>
                          <w:color w:val="FDEFBE"/>
                          <w:sz w:val="96"/>
                          <w:szCs w:val="96"/>
                          <w14:shadow w14:blurRad="38100" w14:dist="22860" w14:dir="5400000" w14:sx="100000" w14:sy="100000" w14:kx="0" w14:ky="0" w14:algn="tl">
                            <w14:srgbClr w14:val="000000">
                              <w14:alpha w14:val="70000"/>
                            </w14:srgbClr>
                          </w14:shadow>
                          <w14:props3d w14:extrusionH="0" w14:contourW="0" w14:prstMaterial="clear"/>
                        </w:rPr>
                      </w:pPr>
                      <w:r>
                        <w:rPr>
                          <w:rFonts w:hint="eastAsia" w:hAnsi="宋体" w:asciiTheme="minorEastAsia" w:eastAsiaTheme="minorEastAsia"/>
                          <w:color w:val="FDEFBE"/>
                          <w:sz w:val="96"/>
                          <w:szCs w:val="96"/>
                          <w14:shadow w14:blurRad="38100" w14:dist="22860" w14:dir="5400000" w14:sx="100000" w14:sy="100000" w14:kx="0" w14:ky="0" w14:algn="tl">
                            <w14:srgbClr w14:val="000000">
                              <w14:alpha w14:val="70000"/>
                            </w14:srgbClr>
                          </w14:shadow>
                          <w14:props3d w14:extrusionH="0" w14:contourW="0" w14:prstMaterial="clear"/>
                        </w:rPr>
                        <w:t>名词解释</w:t>
                      </w:r>
                    </w:p>
                  </w:txbxContent>
                </v:textbox>
              </v:shape>
            </w:pict>
          </mc:Fallback>
        </mc:AlternateConten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53120"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149" name="组合 149"/>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15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51"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53120;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Xj0xGigDAADyCAAADgAAAGRycy9lMm9Eb2MueG1s&#10;7VbLbhMxFN0j8Q+W93QemclLTarQkAqp0EoFsXY8nofksY3tZFLWLFjyB0js+AbE51T8BteeSZqW&#10;StAiWKFIE9vXvo/jc+7M4dGm5mjNtKmkmODoIMSICSqzShQT/PrV4skQI2OJyAiXgk3wJTP4aPr4&#10;0WGjxiyWpeQZ0wicCDNu1ASX1qpxEBhaspqYA6mYAGMudU0sTHURZJo04L3mQRyG/aCROlNaUmYM&#10;rM5bI556/3nOqD3Lc8Ms4hMMuVn/1P65dM9gekjGhSaqrGiXBnlAFjWpBATduZoTS9BKVz+5qiuq&#10;pZG5PaCyDmSeV5T5GqCaKLxVzYmWK+VrKcZNoXYwAbS3cHqwW/pyfa5RlcHdJSOMBKnhkr5/fX/1&#10;8QNyK4BPo4oxbDvR6kKd626haGeu5E2ua/cPxaCNR/ZyhyzbWERhsdfr99JRihEFW5oOo37aQk9L&#10;uB93LEnTCCNnjfvRzvisOz9Mk357OOqNhu5osA0cuPx26TQKeGSuoTJ/BtVFSRTzN2AcBluoUqBS&#10;B9WnL1ffPqOo1yLld+1gMmMDiN2B0V3FbqHaKzUaeCB2pZKx0saeMFkjN5hgDfz2tCPrU2NbVLZb&#10;XFgjeZUtKs79RBfLY67RmoAW5iP382f5qn4hs3Z5mIahFwXENO1+D/UNR1ygZoLjNIGtiBJQbc6J&#10;hWGtgEdGFBgRXkA7oFb7CEK6HCC9toA5MWUbzrvtbpMLiOSur8XMjZYyuwTItWxlaxRdVFD3KTH2&#10;nGjQKcSH3mPP4JFzCUnJboRRKfW7u9bdfuAEWDFqQPeQ8NsV0Qwj/lwAW0ZRkrhG4SdJOohhovct&#10;y32LWNXHEuAE6kJ2fuj2W74d5lrWb6BFzVxUMBFBIXYLTTc5tm0/giZH2Wzmt0FzUMSeigtFnXOH&#10;nJCzlZV55a/5Gp0ONOC8U+o/IT8Ue5P8yT3JPxh0Sh+Oug68I38vTjqdR7HX1N8g/2wehvG8453n&#10;4FYj96b2jdOdYlpuPw0H/Wjhr86UJGPtqtPXLwXmJPzbIrGb5cY35f96ua9e/KsDXqy+xXUfAe7N&#10;vT/3+rr+VJn+AF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IWM/JvbAAAACwEAAA8AAAAAAAAAAQAg&#10;AAAAIgAAAGRycy9kb3ducmV2LnhtbFBLAQIUABQAAAAIAIdO4kBePTEaKAMAAPIIAAAOAAAAAAAA&#10;AAEAIAAAACoBAABkcnMvZTJvRG9jLnhtbFBLBQYAAAAABgAGAFkBAADE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QGEQb8AAADc&#10;AAAADwAAAGRycy9kb3ducmV2LnhtbEWPT0/DMAzF70h8h8hI3FhSpG6oLNth2sTECcYkrl7jtV0b&#10;p0qyP3x7fEDiZus9v/fzfHnzg7pQTF1gC8XEgCKug+u4sbD/2jy9gEoZ2eEQmCz8UILl4v5ujpUL&#10;V/6kyy43SkI4VWihzXmstE51Sx7TJIzEoh1D9JhljY12Ea8S7gf9bMxUe+xYGlocadVS3e/O3kK/&#10;n310ZvV2+n7vp2VcF4dZGQ/WPj4U5hVUplv+N/9db53gl4Ivz8gEevE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kBhEG/&#10;AAAA3A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zJzTrkAAADc&#10;AAAADwAAAGRycy9kb3ducmV2LnhtbEVPS4vCMBC+L/gfwgje1qSCbqlGQcFlj769Ds3YFptJSeLr&#10;35uFhb3Nx/ec2eJpW3EnHxrHGrKhAkFcOtNwpeGwX3/mIEJENtg6Jg0vCrCY9z5mWBj34C3dd7ES&#10;KYRDgRrqGLtCylDWZDEMXUecuIvzFmOCvpLG4yOF21aOlJpIiw2nhho7WtVUXnc3q2GyWa5cuc+/&#10;T/7cqI27rV/511HrQT9TUxCRnvFf/Of+MWn+OIPfZ9IFcv4G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syc065AAAA3AAA&#10;AA8AAAAAAAAAAQAgAAAAIgAAAGRycy9kb3ducmV2LnhtbFBLAQIUABQAAAAIAIdO4kAzLwWeOwAA&#10;ADkAAAAQAAAAAAAAAAEAIAAAAAgBAABkcnMvc2hhcGV4bWwueG1sUEsFBgAAAAAGAAYAWwEAALID&#10;A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5648"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4" name="组合 94"/>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6"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5648;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JVI8+ioDAADuCAAADgAAAGRycy9lMm9Eb2MueG1s&#10;7VbLbhMxFN0j8Q+W93QeyeSlJlVoSIVUaKWCWDsez0Py2MZ2MilrFiz5AyR2fAPicyp+g2vPZJqW&#10;SrQgWKFIE9vXvo/jc+7M4dG24mjDtCmlmOLoIMSICSrTUuRT/PrV8skII2OJSAmXgk3xJTP4aPb4&#10;0WGtJiyWheQp0wicCDOp1RQX1qpJEBhasIqYA6mYAGMmdUUsTHUepJrU4L3iQRyGg6CWOlVaUmYM&#10;rC4aI555/1nGqD3LMsMs4lMMuVn/1P65cs9gdkgmuSaqKGmbBvmNLCpSCgjauVoQS9Balz+5qkqq&#10;pZGZPaCyCmSWlZT5GqCaKLxVzYmWa+VrySd1rjqYANpbOP22W/pyc65RmU7xuI+RIBXc0fev768+&#10;fkCwAOjUKp/AphOtLtS5bhfyZuYK3ma6cv9QCtp6XC87XNnWIgqLvd6gl4wTjCjYkmQUDZIGeFrA&#10;7bhj/SSJMHLWeBB1xmft+VHSHzSHo9545I4Gu8CBy69Lp1bAInMNlPkzoC4KopjH3zgMdkBBIS1Q&#10;n75cffuMol4DlN/UoWQmBgC7A6K7at0htVdpNPQ4dJWSidLGnjBZITeYYg3k9pwjm1NjG1B2W1xY&#10;I3mZLkvO/UTnq2Ou0YaAEBZj9/Nn+bp6IdNmeZSEoVcExDTNfo/0DUdcoHqK46QPWxElINmMEwvD&#10;SgGJjMgxIjyHXkCt9hGEdDlAek0BC2KKJpx3214mFxDJ3V6DmRutZHoJiGvZaNYouiyh7lNi7DnR&#10;IFKID43HnsEj4xKSku0Io0Lqd3etu/1ACbBiVIPoIeG3a6IZRvy5ALKMo37fdQk/6SfDGCZ637La&#10;t4h1dSwBTmAuZOeHbr/lu2GmZfUG+tPcRQUTERRiN9C0k2PbNCPocJTN534bdAZF7Km4UNQ5d8gJ&#10;OV9bmZX+mq/RaUEDyjuh/gvugw5vcr9tEvfm/nDY6nw0brtvx/1eDC3ItYgoir2k/gb354swjBct&#10;7TwFdxJ5MLNvnG4F01D7aTgcREt/c6YgKWtWnbx+qS+n4HtrxG5XW9+S/8vloXLxLw54qfoO134A&#10;uLf2/tzL6/ozZfY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ngUAAFtDb250ZW50X1R5cGVzXS54bWxQSwECFAAKAAAAAACHTuJAAAAAAAAAAAAA&#10;AAAABgAAAAAAAAAAABAAAACABAAAX3JlbHMvUEsBAhQAFAAAAAgAh07iQIoUZjzRAAAAlAEAAAsA&#10;AAAAAAAAAQAgAAAApAQAAF9yZWxzLy5yZWxzUEsBAhQACgAAAAAAh07iQAAAAAAAAAAAAAAAAAQA&#10;AAAAAAAAAAAQAAAAAAAAAGRycy9QSwECFAAUAAAACACHTuJAhYz8m9sAAAALAQAADwAAAAAAAAAB&#10;ACAAAAAiAAAAZHJzL2Rvd25yZXYueG1sUEsBAhQAFAAAAAgAh07iQCVSPPoqAwAA7ggAAA4AAAAA&#10;AAAAAQAgAAAAKgEAAGRycy9lMm9Eb2MueG1sUEsFBgAAAAAGAAYAWQEAAMY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kOgU6b0AAADb&#10;AAAADwAAAGRycy9kb3ducmV2LnhtbEWPQWsCMRSE74X+h/AK3mqywmpdjR7EYvFUrdDrc/PcXXfz&#10;siSp2n9vCkKPw8x8w8yXN9uJC/nQONaQDRUI4tKZhisNh6/31zcQISIb7ByThl8KsFw8P82xMO7K&#10;O7rsYyUShEOBGuoY+0LKUNZkMQxdT5y8k/MWY5K+ksbjNcFtJ0dKjaXFhtNCjT2tairb/Y/V0B4m&#10;n41abc7f23ac+3V2nOT+qPXgJVMzEJFu8T/8aH8YDdMc/r6kHyAX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6BTpvQAA&#10;ANsAAAAPAAAAAAAAAAEAIAAAACIAAABkcnMvZG93bnJldi54bWxQSwECFAAUAAAACACHTuJAMy8F&#10;njsAAAA5AAAAEAAAAAAAAAABACAAAAAMAQAAZHJzL3NoYXBleG1sLnhtbFBLBQYAAAAABgAGAFsB&#10;AAC2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6ZPOqLsAAADb&#10;AAAADwAAAGRycy9kb3ducmV2LnhtbEWPS4sCMRCE74L/IbSwN030MI6jUVhB2aPr89pM2plhJ50h&#10;ia9/vxEW9lhU1VfUYvW0rbiTD41jDeORAkFcOtNwpeF42AxzECEiG2wdk4YXBVgt+70FFsY9+Jvu&#10;+1iJBOFQoIY6xq6QMpQ1WQwj1xEn7+q8xZikr6Tx+Ehw28qJUpm02HBaqLGjdU3lz/5mNWS7z7Ur&#10;D/n27C+N2rnb5pVPT1p/DMZqDiLSM/6H/9pfRsMsg/eX9APk8h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6ZPOqL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hint="eastAsia" w:ascii="仿宋_GB2312" w:eastAsia="仿宋_GB2312" w:hAnsiTheme="majorEastAsia"/>
          <w:b/>
          <w:bCs/>
          <w:color w:val="000000"/>
          <w:kern w:val="0"/>
          <w:sz w:val="32"/>
          <w:szCs w:val="32"/>
        </w:rPr>
        <mc:AlternateContent>
          <mc:Choice Requires="wpg">
            <w:drawing>
              <wp:anchor distT="0" distB="0" distL="114300" distR="114300" simplePos="0" relativeHeight="251676672" behindDoc="0" locked="1" layoutInCell="1" allowOverlap="1">
                <wp:simplePos x="0" y="0"/>
                <wp:positionH relativeFrom="column">
                  <wp:posOffset>-1029335</wp:posOffset>
                </wp:positionH>
                <wp:positionV relativeFrom="page">
                  <wp:posOffset>503555</wp:posOffset>
                </wp:positionV>
                <wp:extent cx="3363595" cy="558165"/>
                <wp:effectExtent l="2540" t="0" r="5715" b="13335"/>
                <wp:wrapNone/>
                <wp:docPr id="97" name="组合 97"/>
                <wp:cNvGraphicFramePr/>
                <a:graphic xmlns:a="http://schemas.openxmlformats.org/drawingml/2006/main">
                  <a:graphicData uri="http://schemas.microsoft.com/office/word/2010/wordprocessingGroup">
                    <wpg:wgp>
                      <wpg:cNvGrpSpPr/>
                      <wpg:grpSpPr>
                        <a:xfrm>
                          <a:off x="0" y="0"/>
                          <a:ext cx="3363595" cy="558165"/>
                          <a:chOff x="4551" y="52615"/>
                          <a:chExt cx="8546" cy="1398"/>
                        </a:xfrm>
                      </wpg:grpSpPr>
                      <wps:wsp>
                        <wps:cNvPr id="9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1.05pt;margin-top:39.65pt;height:43.95pt;width:264.85pt;mso-position-vertical-relative:page;z-index:251676672;mso-width-relative:page;mso-height-relative:page;" coordorigin="4551,52615" coordsize="8546,1398"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4tOrAycDAADuCAAADgAAAGRycy9lMm9Eb2MueG1s&#10;7VbLbhMxFN0j8Q+W93QeyeSlTqrQkAqp0EoFsXY8nofksY3tZFLWLFjyB0js+AbE51T8BteeSZqW&#10;StAiWKFIE9vXvo/jc+7M4dGm5mjNtKmkSHF0EGLEBJVZJYoUv361eDLCyFgiMsKlYCm+ZAYfTR8/&#10;OmzUhMWylDxjGoETYSaNSnFprZoEgaElq4k5kIoJMOZS18TCVBdBpkkD3msexGE4CBqpM6UlZcbA&#10;6rw14qn3n+eM2rM8N8winmLIzfqn9s+lewbTQzIpNFFlRbs0yAOyqEklIOjO1ZxYgla6+slVXVEt&#10;jcztAZV1IPO8oszXANVE4a1qTrRcKV9LMWkKtYMJoL2F04Pd0pfrc42qLMXjIUaC1HBH37++v/r4&#10;AcECoNOoYgKbTrS6UOe6WyjamSt4k+va/UMpaONxvdzhyjYWUVjs9Qa9ZJxgRMGWJKNokLTA0xJu&#10;xx3rJ0mEkbPGg2hnfNadHyX9QXs46o1H7miwDRy4/HbpNApYZK6BMn8G1EVJFPP4G4fBFiigdAfU&#10;py9X3z6jqNcC5TftUDITA4DdAdFdtW6R2qs0GnocdpWSidLGnjBZIzdIsQZye86R9amxLSjbLS6s&#10;kbzKFhXnfqKL5THXaE1ACPOx+/mzfFW/kFm7PErC0CsCYpp2v0f6hiMuUJPiOOnDVkQJSDbnxMKw&#10;VkAiIwqMCC+gF1CrfQQhXQ6QXlvAnJiyDefddpfJBURyt9di5kZLmV0C4lq2mjWKLiqo+5QYe040&#10;iBTiQ+OxZ/DIuYSkZDfCqJT63V3rbj9QAqwYNSB6SPjtimiGEX8ugCzjqN93XcJP+skwhonetyz3&#10;LWJVH0uAE5gL2fmh22/5dphrWb+B/jRzUcFEBIXYLTTd5Ni2zQg6HGWzmd8GnUEReyouFHXOHXJC&#10;zlZW5pW/5mt0OtCA8k6o/4L749vc79+T+0NoM17no3HXfXfc78X9TuVR7CX1N7g/m4dhPO9o5ym4&#10;lci9mX3jdCeYltpPw+EgWvibMyXJWLvq5PVLfTkF/7ZG7Ga58S35v1zuKxf/4oCXqu9w3QeAe2vv&#10;z728rj9Tpj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mwUAAFtDb250ZW50X1R5cGVzXS54bWxQSwECFAAKAAAAAACHTuJAAAAAAAAAAAAAAAAA&#10;BgAAAAAAAAAAABAAAAB9BAAAX3JlbHMvUEsBAhQAFAAAAAgAh07iQIoUZjzRAAAAlAEAAAsAAAAA&#10;AAAAAQAgAAAAoQQAAF9yZWxzLy5yZWxzUEsBAhQACgAAAAAAh07iQAAAAAAAAAAAAAAAAAQAAAAA&#10;AAAAAAAQAAAAAAAAAGRycy9QSwECFAAUAAAACACHTuJAhYz8m9sAAAALAQAADwAAAAAAAAABACAA&#10;AAAiAAAAZHJzL2Rvd25yZXYueG1sUEsBAhQAFAAAAAgAh07iQOLTqwMnAwAA7ggAAA4AAAAAAAAA&#10;AQAgAAAAKgEAAGRycy9lMm9Eb2MueG1sUEsFBgAAAAAGAAYAWQEAAMM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um7d7oAAADb&#10;AAAADwAAAGRycy9kb3ducmV2LnhtbEVPyW7CMBC9I/UfrKnUG9hBYmmK4YBART2VReI6xEMSEo8j&#10;22x/Xx8qcXx6+2zxsK24kQ+1Yw3ZQIEgLpypudRw2K/7UxAhIhtsHZOGJwVYzN96M8yNu/OWbrtY&#10;ihTCIUcNVYxdLmUoKrIYBq4jTtzZeYsxQV9K4/Gewm0rh0qNpcWaU0OFHS0rKprd1WpoDpPfWi2/&#10;L8efZjzyq+w0GfmT1h/vmfoCEekRX+J/98Zo+Exj05f0A+T8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6bt3ugAAANsA&#10;AAAPAAAAAAAAAAEAIAAAACIAAABkcnMvZG93bnJldi54bWxQSwECFAAUAAAACACHTuJAMy8FnjsA&#10;AAA5AAAAEAAAAAAAAAABACAAAAAJAQAAZHJzL3NoYXBleG1sLnhtbFBLBQYAAAAABgAGAFsBAACz&#10;Aw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mAxa2rsAAADb&#10;AAAADwAAAGRycy9kb3ducmV2LnhtbEWPS4sCMRCE78L+h9AL3jRxDzozGoUVXDz63L02k3Zm2Eln&#10;SOLr3xtB8FhU1VfUbHGzrbiQD41jDaOhAkFcOtNwpeGwXw0yECEiG2wdk4Y7BVjMP3ozLIy78pYu&#10;u1iJBOFQoIY6xq6QMpQ1WQxD1xEn7+S8xZikr6TxeE1w28ovpcbSYsNpocaOljWV/7uz1TDefC9d&#10;uc9+fv1fozbuvLpnk6PW/c+RmoKIdIvv8Ku9NhryHJ5f0g+Q8w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Axa2rsAAADb&#10;AAAADwAAAAAAAAABACAAAAAiAAAAZHJzL2Rvd25yZXYueG1sUEsBAhQAFAAAAAgAh07iQDMvBZ47&#10;AAAAOQAAABAAAAAAAAAAAQAgAAAACgEAAGRycy9zaGFwZXhtbC54bWxQSwUGAAAAAAYABgBbAQAA&#10;tAMAAAAA&#10;">
                  <v:fill on="t" focussize="0,0"/>
                  <v:stroke weight="2pt" color="#B0761F [3204]" joinstyle="round"/>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2018年度部门决算☞名词解释</w:t>
                        </w:r>
                      </w:p>
                      <w:p>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1"/>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DC5B8C85-489E-44EB-9DD0-147ABF6E8D0C}"/>
  </w:font>
  <w:font w:name="黑体">
    <w:panose1 w:val="02010609060101010101"/>
    <w:charset w:val="86"/>
    <w:family w:val="auto"/>
    <w:pitch w:val="default"/>
    <w:sig w:usb0="800002BF" w:usb1="38CF7CFA" w:usb2="00000016" w:usb3="00000000" w:csb0="00040001" w:csb1="00000000"/>
    <w:embedRegular r:id="rId2" w:fontKey="{123A6246-3637-4FB1-95B5-549A21384C7A}"/>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embedRegular r:id="rId3" w:fontKey="{18FC067B-DFC9-48D9-99FA-4615ADA15884}"/>
  </w:font>
  <w:font w:name="楷体">
    <w:panose1 w:val="02010609060101010101"/>
    <w:charset w:val="86"/>
    <w:family w:val="modern"/>
    <w:pitch w:val="default"/>
    <w:sig w:usb0="800002BF" w:usb1="38CF7CFA" w:usb2="00000016" w:usb3="00000000" w:csb0="00040001" w:csb1="00000000"/>
    <w:embedRegular r:id="rId4" w:fontKey="{9DAB3C97-FACB-42D9-8B1F-76008BE3970B}"/>
  </w:font>
  <w:font w:name="楷体_GB2312">
    <w:panose1 w:val="02010609030101010101"/>
    <w:charset w:val="86"/>
    <w:family w:val="modern"/>
    <w:pitch w:val="default"/>
    <w:sig w:usb0="00000000" w:usb1="00000000" w:usb2="00000000" w:usb3="00000000" w:csb0="00000000" w:csb1="00000000"/>
    <w:embedRegular r:id="rId5" w:fontKey="{96407A84-972F-4D78-AF71-E8B2570BC9E1}"/>
  </w:font>
  <w:font w:name="仿宋_GB2312">
    <w:panose1 w:val="02010609030101010101"/>
    <w:charset w:val="86"/>
    <w:family w:val="modern"/>
    <w:pitch w:val="default"/>
    <w:sig w:usb0="00000000" w:usb1="00000000" w:usb2="00000000" w:usb3="00000000" w:csb0="00000000" w:csb1="00000000"/>
    <w:embedRegular r:id="rId6" w:fontKey="{5547417B-5F3F-46DF-B360-87F84E47406C}"/>
  </w:font>
  <w:font w:name="ArialUnicodeMS">
    <w:altName w:val="Malgun Gothic"/>
    <w:panose1 w:val="00000000000000000000"/>
    <w:charset w:val="81"/>
    <w:family w:val="auto"/>
    <w:pitch w:val="default"/>
    <w:sig w:usb0="00000000" w:usb1="00000000" w:usb2="00000010" w:usb3="00000000" w:csb0="00080001" w:csb1="00000000"/>
    <w:embedRegular r:id="rId7" w:fontKey="{D1853E9B-5609-4335-A465-B55E164A1931}"/>
  </w:font>
  <w:font w:name="仿宋">
    <w:panose1 w:val="02010609060101010101"/>
    <w:charset w:val="86"/>
    <w:family w:val="modern"/>
    <w:pitch w:val="default"/>
    <w:sig w:usb0="800002BF" w:usb1="38CF7CFA" w:usb2="00000016" w:usb3="00000000" w:csb0="00040001" w:csb1="00000000"/>
    <w:embedRegular r:id="rId8" w:fontKey="{3E860EBD-5771-4CA3-85B3-C3353BDA8251}"/>
  </w:font>
  <w:font w:name="MS-UIGothic,Bold">
    <w:altName w:val="Malgun Gothic"/>
    <w:panose1 w:val="00000000000000000000"/>
    <w:charset w:val="81"/>
    <w:family w:val="auto"/>
    <w:pitch w:val="default"/>
    <w:sig w:usb0="00000000" w:usb1="00000000" w:usb2="00000010" w:usb3="00000000" w:csb0="00080000" w:csb1="00000000"/>
    <w:embedRegular r:id="rId9" w:fontKey="{1E76D69B-D9CB-4322-B87A-AF4D8F4EA47B}"/>
  </w:font>
  <w:font w:name="DengXian-Regular">
    <w:altName w:val="宋体"/>
    <w:panose1 w:val="00000000000000000000"/>
    <w:charset w:val="86"/>
    <w:family w:val="auto"/>
    <w:pitch w:val="default"/>
    <w:sig w:usb0="00000000" w:usb1="00000000" w:usb2="00000010" w:usb3="00000000" w:csb0="00040001" w:csb1="00000000"/>
    <w:embedRegular r:id="rId10" w:fontKey="{41929ACA-DDD7-4D1A-8B31-B6E436B67DE8}"/>
  </w:font>
  <w:font w:name="DengXian-Bold">
    <w:altName w:val="宋体"/>
    <w:panose1 w:val="00000000000000000000"/>
    <w:charset w:val="86"/>
    <w:family w:val="auto"/>
    <w:pitch w:val="default"/>
    <w:sig w:usb0="00000000" w:usb1="00000000" w:usb2="00000010" w:usb3="00000000" w:csb0="00040001" w:csb1="00000000"/>
    <w:embedRegular r:id="rId11" w:fontKey="{A4CB6ADB-9496-4E5E-8880-20A16B1D5FC1}"/>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838C3"/>
    <w:rsid w:val="000B2446"/>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C32BA"/>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E5500"/>
    <w:rsid w:val="007F055B"/>
    <w:rsid w:val="0080644C"/>
    <w:rsid w:val="00811C2F"/>
    <w:rsid w:val="00833D46"/>
    <w:rsid w:val="00840A97"/>
    <w:rsid w:val="008C0149"/>
    <w:rsid w:val="008D5DED"/>
    <w:rsid w:val="008E25CA"/>
    <w:rsid w:val="008F34FC"/>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56722"/>
    <w:rsid w:val="00B74D39"/>
    <w:rsid w:val="00B91DA4"/>
    <w:rsid w:val="00C12630"/>
    <w:rsid w:val="00C34562"/>
    <w:rsid w:val="00C3774E"/>
    <w:rsid w:val="00C57456"/>
    <w:rsid w:val="00C65387"/>
    <w:rsid w:val="00C87FAB"/>
    <w:rsid w:val="00C91FF7"/>
    <w:rsid w:val="00C94E53"/>
    <w:rsid w:val="00D0048E"/>
    <w:rsid w:val="00D23E7A"/>
    <w:rsid w:val="00D61063"/>
    <w:rsid w:val="00DB35AF"/>
    <w:rsid w:val="00DD72D7"/>
    <w:rsid w:val="00DF5B88"/>
    <w:rsid w:val="00E0589E"/>
    <w:rsid w:val="00E241FA"/>
    <w:rsid w:val="00E2595E"/>
    <w:rsid w:val="00E35374"/>
    <w:rsid w:val="00E50C19"/>
    <w:rsid w:val="00E64655"/>
    <w:rsid w:val="00E73081"/>
    <w:rsid w:val="00E856C9"/>
    <w:rsid w:val="00EB6A8B"/>
    <w:rsid w:val="00EF38C6"/>
    <w:rsid w:val="00F679C7"/>
    <w:rsid w:val="00F7711A"/>
    <w:rsid w:val="00FA0D58"/>
    <w:rsid w:val="00FA56F4"/>
    <w:rsid w:val="00FB4EDA"/>
    <w:rsid w:val="00FD3BD5"/>
    <w:rsid w:val="00FE3DC8"/>
    <w:rsid w:val="0311113D"/>
    <w:rsid w:val="04073F84"/>
    <w:rsid w:val="04941078"/>
    <w:rsid w:val="05407BAB"/>
    <w:rsid w:val="05A8169B"/>
    <w:rsid w:val="05EC6560"/>
    <w:rsid w:val="08401D72"/>
    <w:rsid w:val="0B60750A"/>
    <w:rsid w:val="0B9664AE"/>
    <w:rsid w:val="0F2E7150"/>
    <w:rsid w:val="10686488"/>
    <w:rsid w:val="10DF728A"/>
    <w:rsid w:val="1264200E"/>
    <w:rsid w:val="141C5B77"/>
    <w:rsid w:val="146E10FC"/>
    <w:rsid w:val="16E25380"/>
    <w:rsid w:val="18D8339D"/>
    <w:rsid w:val="1A21388F"/>
    <w:rsid w:val="1A570D2F"/>
    <w:rsid w:val="1AE11DA8"/>
    <w:rsid w:val="220540A9"/>
    <w:rsid w:val="22A30BFD"/>
    <w:rsid w:val="28FB0B8D"/>
    <w:rsid w:val="29F342B0"/>
    <w:rsid w:val="2A9870FC"/>
    <w:rsid w:val="2D2B7942"/>
    <w:rsid w:val="2D46481D"/>
    <w:rsid w:val="2E733B28"/>
    <w:rsid w:val="2EC11405"/>
    <w:rsid w:val="305D36C8"/>
    <w:rsid w:val="31852B5A"/>
    <w:rsid w:val="32D01238"/>
    <w:rsid w:val="37A949B5"/>
    <w:rsid w:val="3DFC59A8"/>
    <w:rsid w:val="3ECF245E"/>
    <w:rsid w:val="3FB96314"/>
    <w:rsid w:val="41AB5854"/>
    <w:rsid w:val="41C4131B"/>
    <w:rsid w:val="44C9468D"/>
    <w:rsid w:val="45422F31"/>
    <w:rsid w:val="4D705473"/>
    <w:rsid w:val="53A44FAF"/>
    <w:rsid w:val="56A77112"/>
    <w:rsid w:val="594329EC"/>
    <w:rsid w:val="59B02743"/>
    <w:rsid w:val="5A835887"/>
    <w:rsid w:val="5BEE1540"/>
    <w:rsid w:val="5DE61A5D"/>
    <w:rsid w:val="5EDA6950"/>
    <w:rsid w:val="62EB7451"/>
    <w:rsid w:val="63C04243"/>
    <w:rsid w:val="63E104EA"/>
    <w:rsid w:val="649C01C7"/>
    <w:rsid w:val="699A3F60"/>
    <w:rsid w:val="6DCD3D27"/>
    <w:rsid w:val="72902E62"/>
    <w:rsid w:val="73C61104"/>
    <w:rsid w:val="74904A5F"/>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image" Target="media/image3.jpeg"/><Relationship Id="rId10" Type="http://schemas.openxmlformats.org/officeDocument/2006/relationships/chart" Target="charts/chart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tx>
            <c:strRef>
              <c:f>Sheet1!$B$1</c:f>
              <c:strCache>
                <c:ptCount val="1"/>
                <c:pt idx="0">
                  <c:v>销售额</c:v>
                </c:pt>
              </c:strCache>
            </c:strRef>
          </c:tx>
          <c:spPr>
            <a:scene3d>
              <a:camera prst="orthographicFront"/>
              <a:lightRig rig="threePt" dir="t"/>
            </a:scene3d>
            <a:sp3d contourW="9525"/>
          </c:spPr>
          <c:explosion val="0"/>
          <c:dPt>
            <c:idx val="0"/>
            <c:bubble3D val="0"/>
            <c:spPr>
              <a:solidFill>
                <a:schemeClr val="accent1"/>
              </a:solidFill>
              <a:ln>
                <a:noFill/>
              </a:ln>
              <a:effectLst>
                <a:outerShdw blurRad="88900" sx="102000" sy="102000" algn="ctr" rotWithShape="0">
                  <a:prstClr val="black">
                    <a:alpha val="10000"/>
                  </a:prstClr>
                </a:outerShdw>
              </a:effectLst>
            </c:spPr>
          </c:dPt>
          <c:dPt>
            <c:idx val="1"/>
            <c:bubble3D val="0"/>
            <c:spPr>
              <a:solidFill>
                <a:schemeClr val="accent2"/>
              </a:solidFill>
              <a:ln>
                <a:noFill/>
              </a:ln>
              <a:effectLst>
                <a:outerShdw blurRad="88900" sx="102000" sy="102000" algn="ctr" rotWithShape="0">
                  <a:prstClr val="black">
                    <a:alpha val="10000"/>
                  </a:prstClr>
                </a:outerShdw>
              </a:effectLst>
            </c:spPr>
          </c:dPt>
          <c:dPt>
            <c:idx val="2"/>
            <c:bubble3D val="0"/>
            <c:spPr>
              <a:solidFill>
                <a:schemeClr val="accent3"/>
              </a:solidFill>
              <a:ln>
                <a:noFill/>
              </a:ln>
              <a:effectLst>
                <a:outerShdw blurRad="88900" sx="102000" sy="102000" algn="ctr" rotWithShape="0">
                  <a:prstClr val="black">
                    <a:alpha val="10000"/>
                  </a:prstClr>
                </a:outerShdw>
              </a:effectLst>
            </c:spPr>
          </c:dPt>
          <c:dPt>
            <c:idx val="3"/>
            <c:bubble3D val="0"/>
            <c:spPr>
              <a:solidFill>
                <a:schemeClr val="accent4"/>
              </a:solidFill>
              <a:ln>
                <a:noFill/>
              </a:ln>
              <a:effectLst>
                <a:outerShdw blurRad="88900" sx="102000" sy="102000" algn="ctr" rotWithShape="0">
                  <a:prstClr val="black">
                    <a:alpha val="10000"/>
                  </a:prstClr>
                </a:outerShdw>
              </a:effectLst>
            </c:spPr>
          </c:dPt>
          <c:dLbls>
            <c:dLbl>
              <c:idx val="0"/>
              <c:layout>
                <c:manualLayout>
                  <c:x val="-0.0772185162724884"/>
                  <c:y val="-0.272237196765499"/>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1"/>
                        </a:solidFill>
                        <a:latin typeface="+mn-lt"/>
                        <a:ea typeface="+mn-ea"/>
                        <a:cs typeface="+mn-cs"/>
                      </a:defRPr>
                    </a:pPr>
                    <a:r>
                      <a:rPr>
                        <a:solidFill>
                          <a:sysClr val="windowText" lastClr="000000"/>
                        </a:solidFill>
                      </a:rPr>
                      <a:t>9</a:t>
                    </a:r>
                    <a:r>
                      <a:rPr lang="en-US" altLang="zh-CN">
                        <a:solidFill>
                          <a:sysClr val="windowText" lastClr="000000"/>
                        </a:solidFill>
                      </a:rPr>
                      <a:t>4.56</a:t>
                    </a:r>
                    <a:r>
                      <a:rPr>
                        <a:solidFill>
                          <a:sysClr val="windowText" lastClr="000000"/>
                        </a:solidFill>
                      </a:rPr>
                      <a:t>%</a:t>
                    </a:r>
                    <a:endParaRPr>
                      <a:solidFill>
                        <a:sysClr val="windowText" lastClr="000000"/>
                      </a:solidFill>
                    </a:endParaRPr>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0442692540933899"/>
                  <c:y val="0.136118598382749"/>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2"/>
                        </a:solidFill>
                        <a:latin typeface="+mn-lt"/>
                        <a:ea typeface="+mn-ea"/>
                        <a:cs typeface="+mn-cs"/>
                      </a:defRPr>
                    </a:pPr>
                    <a:r>
                      <a:rPr>
                        <a:solidFill>
                          <a:sysClr val="windowText" lastClr="000000"/>
                        </a:solidFill>
                      </a:rPr>
                      <a:t>5</a:t>
                    </a:r>
                    <a:r>
                      <a:rPr lang="en-US" altLang="zh-CN">
                        <a:solidFill>
                          <a:sysClr val="windowText" lastClr="000000"/>
                        </a:solidFill>
                      </a:rPr>
                      <a:t>.44</a:t>
                    </a:r>
                    <a:r>
                      <a:rPr>
                        <a:solidFill>
                          <a:sysClr val="windowText" lastClr="000000"/>
                        </a:solidFill>
                      </a:rPr>
                      <a:t>%</a:t>
                    </a:r>
                    <a:endParaRPr>
                      <a:solidFill>
                        <a:sysClr val="windowText" lastClr="000000"/>
                      </a:solidFill>
                    </a:endParaRPr>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2"/>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3"/>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extLst>
            </c:dLbl>
            <c:dLbl>
              <c:idx val="3"/>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4"/>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第一季度</c:v>
                </c:pt>
                <c:pt idx="1">
                  <c:v>第二季度</c:v>
                </c:pt>
              </c:strCache>
            </c:strRef>
          </c:cat>
          <c:val>
            <c:numRef>
              <c:f>Sheet1!$B$2:$B$5</c:f>
              <c:numCache>
                <c:formatCode>General</c:formatCode>
                <c:ptCount val="4"/>
                <c:pt idx="0">
                  <c:v>94.56</c:v>
                </c:pt>
                <c:pt idx="1">
                  <c:v>5.44</c:v>
                </c:pt>
              </c:numCache>
            </c:numRef>
          </c:val>
        </c:ser>
        <c:dLbls>
          <c:showLegendKey val="0"/>
          <c:showVal val="0"/>
          <c:showCatName val="0"/>
          <c:showSerName val="0"/>
          <c:showPercent val="1"/>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pie3DChart>
        <c:varyColors val="1"/>
        <c:ser>
          <c:idx val="0"/>
          <c:order val="0"/>
          <c:tx>
            <c:strRef>
              <c:f>Sheet1!$B$1</c:f>
              <c:strCache>
                <c:ptCount val="1"/>
                <c:pt idx="0">
                  <c:v>销售额</c:v>
                </c:pt>
              </c:strCache>
            </c:strRef>
          </c:tx>
          <c:spPr>
            <a:scene3d>
              <a:camera prst="orthographicFront"/>
              <a:lightRig rig="threePt" dir="t"/>
            </a:scene3d>
            <a:sp3d contourW="9525"/>
          </c:spPr>
          <c:explosion val="0"/>
          <c:dPt>
            <c:idx val="0"/>
            <c:bubble3D val="0"/>
            <c:spPr>
              <a:solidFill>
                <a:schemeClr val="accent1"/>
              </a:solidFill>
              <a:ln>
                <a:noFill/>
              </a:ln>
              <a:effectLst>
                <a:outerShdw blurRad="88900" sx="102000" sy="102000" algn="ctr" rotWithShape="0">
                  <a:prstClr val="black">
                    <a:alpha val="10000"/>
                  </a:prstClr>
                </a:outerShdw>
              </a:effectLst>
            </c:spPr>
          </c:dPt>
          <c:dPt>
            <c:idx val="1"/>
            <c:bubble3D val="0"/>
            <c:spPr>
              <a:solidFill>
                <a:schemeClr val="accent2"/>
              </a:solidFill>
              <a:ln>
                <a:noFill/>
              </a:ln>
              <a:effectLst>
                <a:outerShdw blurRad="88900" sx="102000" sy="102000" algn="ctr" rotWithShape="0">
                  <a:prstClr val="black">
                    <a:alpha val="10000"/>
                  </a:prstClr>
                </a:outerShdw>
              </a:effectLst>
            </c:spPr>
          </c:dPt>
          <c:dPt>
            <c:idx val="2"/>
            <c:bubble3D val="0"/>
            <c:spPr>
              <a:solidFill>
                <a:schemeClr val="accent3"/>
              </a:solidFill>
              <a:ln>
                <a:noFill/>
              </a:ln>
              <a:effectLst>
                <a:outerShdw blurRad="88900" sx="102000" sy="102000" algn="ctr" rotWithShape="0">
                  <a:prstClr val="black">
                    <a:alpha val="10000"/>
                  </a:prstClr>
                </a:outerShdw>
              </a:effectLst>
            </c:spPr>
          </c:dPt>
          <c:dPt>
            <c:idx val="3"/>
            <c:bubble3D val="0"/>
            <c:spPr>
              <a:solidFill>
                <a:schemeClr val="accent4"/>
              </a:solidFill>
              <a:ln>
                <a:noFill/>
              </a:ln>
              <a:effectLst>
                <a:outerShdw blurRad="88900" sx="102000" sy="102000" algn="ctr" rotWithShape="0">
                  <a:prstClr val="black">
                    <a:alpha val="10000"/>
                  </a:prstClr>
                </a:outerShdw>
              </a:effectLst>
            </c:spPr>
          </c:dPt>
          <c:dLbls>
            <c:dLbl>
              <c:idx val="0"/>
              <c:layout>
                <c:manualLayout>
                  <c:x val="-0.0772185162724884"/>
                  <c:y val="-0.272237196765499"/>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1"/>
                        </a:solidFill>
                        <a:latin typeface="+mn-lt"/>
                        <a:ea typeface="+mn-ea"/>
                        <a:cs typeface="+mn-cs"/>
                      </a:defRPr>
                    </a:pPr>
                    <a:r>
                      <a:rPr lang="en-US" altLang="zh-CN">
                        <a:solidFill>
                          <a:sysClr val="windowText" lastClr="000000"/>
                        </a:solidFill>
                      </a:rPr>
                      <a:t>79.77</a:t>
                    </a:r>
                    <a:r>
                      <a:rPr>
                        <a:solidFill>
                          <a:sysClr val="windowText" lastClr="000000"/>
                        </a:solidFill>
                      </a:rPr>
                      <a:t>%</a:t>
                    </a:r>
                    <a:endParaRPr>
                      <a:solidFill>
                        <a:sysClr val="windowText" lastClr="000000"/>
                      </a:solidFill>
                    </a:endParaRPr>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0442692540933899"/>
                  <c:y val="0.136118598382749"/>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2"/>
                        </a:solidFill>
                        <a:latin typeface="+mn-lt"/>
                        <a:ea typeface="+mn-ea"/>
                        <a:cs typeface="+mn-cs"/>
                      </a:defRPr>
                    </a:pPr>
                    <a:r>
                      <a:rPr>
                        <a:solidFill>
                          <a:sysClr val="windowText" lastClr="000000"/>
                        </a:solidFill>
                      </a:rPr>
                      <a:t>5</a:t>
                    </a:r>
                    <a:r>
                      <a:rPr lang="en-US" altLang="zh-CN">
                        <a:solidFill>
                          <a:sysClr val="windowText" lastClr="000000"/>
                        </a:solidFill>
                      </a:rPr>
                      <a:t>.44</a:t>
                    </a:r>
                    <a:r>
                      <a:rPr>
                        <a:solidFill>
                          <a:sysClr val="windowText" lastClr="000000"/>
                        </a:solidFill>
                      </a:rPr>
                      <a:t>%</a:t>
                    </a:r>
                    <a:endParaRPr>
                      <a:solidFill>
                        <a:sysClr val="windowText" lastClr="000000"/>
                      </a:solidFill>
                    </a:endParaRPr>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2"/>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126743480897514"/>
                  <c:y val="0.067776803973123"/>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3"/>
                        </a:solidFill>
                        <a:latin typeface="+mn-lt"/>
                        <a:ea typeface="+mn-ea"/>
                        <a:cs typeface="+mn-cs"/>
                      </a:defRPr>
                    </a:pPr>
                    <a:r>
                      <a:rPr>
                        <a:solidFill>
                          <a:sysClr val="windowText" lastClr="000000"/>
                        </a:solidFill>
                      </a:rPr>
                      <a:t>20</a:t>
                    </a:r>
                    <a:r>
                      <a:rPr lang="en-US" altLang="zh-CN">
                        <a:solidFill>
                          <a:sysClr val="windowText" lastClr="000000"/>
                        </a:solidFill>
                      </a:rPr>
                      <a:t>.23</a:t>
                    </a:r>
                    <a:r>
                      <a:rPr>
                        <a:solidFill>
                          <a:sysClr val="windowText" lastClr="000000"/>
                        </a:solidFill>
                      </a:rPr>
                      <a:t>%</a:t>
                    </a:r>
                    <a:endParaRPr>
                      <a:solidFill>
                        <a:sysClr val="windowText" lastClr="000000"/>
                      </a:solidFill>
                    </a:endParaRPr>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3"/>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3"/>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4"/>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第一季度</c:v>
                </c:pt>
                <c:pt idx="1">
                  <c:v>第二季度</c:v>
                </c:pt>
              </c:strCache>
            </c:strRef>
          </c:cat>
          <c:val>
            <c:numRef>
              <c:f>Sheet1!$B$2:$B$5</c:f>
              <c:numCache>
                <c:formatCode>General</c:formatCode>
                <c:ptCount val="4"/>
                <c:pt idx="0">
                  <c:v>79.77</c:v>
                </c:pt>
                <c:pt idx="2">
                  <c:v>20.23</c:v>
                </c:pt>
              </c:numCache>
            </c:numRef>
          </c:val>
        </c:ser>
        <c:dLbls>
          <c:showLegendKey val="0"/>
          <c:showVal val="0"/>
          <c:showCatName val="0"/>
          <c:showSerName val="0"/>
          <c:showPercent val="1"/>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000"/>
              <a:t>图</a:t>
            </a:r>
            <a:r>
              <a:rPr lang="en-US" altLang="zh-CN" sz="1000"/>
              <a:t>3</a:t>
            </a:r>
            <a:r>
              <a:rPr sz="1000"/>
              <a:t>：</a:t>
            </a:r>
            <a:r>
              <a:rPr lang="en-US" altLang="zh-CN" sz="1000"/>
              <a:t>2017-2018</a:t>
            </a:r>
            <a:r>
              <a:rPr altLang="en-US" sz="1000"/>
              <a:t>年财政拨款收支情况</a:t>
            </a:r>
            <a:endParaRPr altLang="en-US" sz="1000"/>
          </a:p>
        </c:rich>
      </c:tx>
      <c:layout>
        <c:manualLayout>
          <c:xMode val="edge"/>
          <c:yMode val="edge"/>
          <c:x val="0.307479410976261"/>
          <c:y val="0.0332520782033235"/>
        </c:manualLayout>
      </c:layout>
      <c:overlay val="0"/>
      <c:spPr>
        <a:noFill/>
        <a:ln>
          <a:noFill/>
        </a:ln>
        <a:effectLst/>
      </c:spPr>
    </c:title>
    <c:autoTitleDeleted val="0"/>
    <c:plotArea>
      <c:layout>
        <c:manualLayout>
          <c:layoutTarget val="inner"/>
          <c:xMode val="edge"/>
          <c:yMode val="edge"/>
          <c:x val="0.0692254372019078"/>
          <c:y val="0.184462391529337"/>
          <c:w val="0.9268"/>
          <c:h val="0.717233333333333"/>
        </c:manualLayout>
      </c:layout>
      <c:barChart>
        <c:barDir val="col"/>
        <c:grouping val="clustered"/>
        <c:varyColors val="0"/>
        <c:ser>
          <c:idx val="0"/>
          <c:order val="0"/>
          <c:tx>
            <c:strRef>
              <c:f>Sheet1!$B$1</c:f>
              <c:strCache>
                <c:ptCount val="1"/>
                <c:pt idx="0">
                  <c:v>系列 1</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2018收入</c:v>
                </c:pt>
                <c:pt idx="1">
                  <c:v>2017收入</c:v>
                </c:pt>
                <c:pt idx="2">
                  <c:v>2018支出</c:v>
                </c:pt>
                <c:pt idx="3">
                  <c:v>2017支出</c:v>
                </c:pt>
              </c:strCache>
            </c:strRef>
          </c:cat>
          <c:val>
            <c:numRef>
              <c:f>Sheet1!$B$2:$B$5</c:f>
              <c:numCache>
                <c:formatCode>General</c:formatCode>
                <c:ptCount val="4"/>
                <c:pt idx="0">
                  <c:v>715.48</c:v>
                </c:pt>
                <c:pt idx="1">
                  <c:v>575.46</c:v>
                </c:pt>
                <c:pt idx="2">
                  <c:v>712</c:v>
                </c:pt>
                <c:pt idx="3">
                  <c:v>529.94</c:v>
                </c:pt>
              </c:numCache>
            </c:numRef>
          </c:val>
        </c:ser>
        <c:dLbls>
          <c:showLegendKey val="0"/>
          <c:showVal val="0"/>
          <c:showCatName val="0"/>
          <c:showSerName val="0"/>
          <c:showPercent val="0"/>
          <c:showBubbleSize val="0"/>
        </c:dLbls>
        <c:gapWidth val="219"/>
        <c:overlap val="-27"/>
        <c:axId val="173991695"/>
        <c:axId val="71157034"/>
      </c:barChart>
      <c:catAx>
        <c:axId val="17399169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157034"/>
        <c:crosses val="autoZero"/>
        <c:auto val="1"/>
        <c:lblAlgn val="ctr"/>
        <c:lblOffset val="100"/>
        <c:noMultiLvlLbl val="0"/>
      </c:catAx>
      <c:valAx>
        <c:axId val="7115703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7399169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sz="1000"/>
              <a:t>图</a:t>
            </a:r>
            <a:r>
              <a:rPr lang="en-US" altLang="zh-CN" sz="1000"/>
              <a:t>4</a:t>
            </a:r>
            <a:r>
              <a:rPr sz="1000"/>
              <a:t>：财政拨款收支预决算对比情况</a:t>
            </a:r>
            <a:endParaRPr sz="1000"/>
          </a:p>
        </c:rich>
      </c:tx>
      <c:layout>
        <c:manualLayout>
          <c:xMode val="edge"/>
          <c:yMode val="edge"/>
          <c:x val="0.287975309236372"/>
          <c:y val="0.861503276533262"/>
        </c:manualLayout>
      </c:layout>
      <c:overlay val="0"/>
      <c:spPr>
        <a:noFill/>
        <a:ln>
          <a:noFill/>
        </a:ln>
        <a:effectLst/>
      </c:spPr>
    </c:title>
    <c:autoTitleDeleted val="0"/>
    <c:plotArea>
      <c:layout>
        <c:manualLayout>
          <c:layoutTarget val="inner"/>
          <c:xMode val="edge"/>
          <c:yMode val="edge"/>
          <c:x val="0.02195"/>
          <c:y val="0.005"/>
          <c:w val="0.9268"/>
          <c:h val="0.717233333333333"/>
        </c:manualLayout>
      </c:layout>
      <c:barChart>
        <c:barDir val="col"/>
        <c:grouping val="clustered"/>
        <c:varyColors val="0"/>
        <c:ser>
          <c:idx val="0"/>
          <c:order val="0"/>
          <c:tx>
            <c:strRef>
              <c:f>Sheet1!$B$1</c:f>
              <c:strCache>
                <c:ptCount val="1"/>
                <c:pt idx="0">
                  <c:v>系列 1</c:v>
                </c:pt>
              </c:strCache>
            </c:strRef>
          </c:tx>
          <c:spPr>
            <a:solidFill>
              <a:schemeClr val="accent1">
                <a:tint val="100000"/>
                <a:shade val="100000"/>
                <a:hueMod val="100000"/>
                <a:satMod val="100000"/>
              </a:schemeClr>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收入预算数</c:v>
                </c:pt>
                <c:pt idx="1">
                  <c:v>收入决算数</c:v>
                </c:pt>
                <c:pt idx="2">
                  <c:v>支出预算数</c:v>
                </c:pt>
                <c:pt idx="3">
                  <c:v>支出决算数</c:v>
                </c:pt>
              </c:strCache>
            </c:strRef>
          </c:cat>
          <c:val>
            <c:numRef>
              <c:f>Sheet1!$B$2:$B$5</c:f>
              <c:numCache>
                <c:formatCode>General</c:formatCode>
                <c:ptCount val="4"/>
                <c:pt idx="0">
                  <c:v>575.5</c:v>
                </c:pt>
                <c:pt idx="1">
                  <c:v>676.6</c:v>
                </c:pt>
                <c:pt idx="2">
                  <c:v>536.58</c:v>
                </c:pt>
                <c:pt idx="3">
                  <c:v>673.12</c:v>
                </c:pt>
              </c:numCache>
            </c:numRef>
          </c:val>
        </c:ser>
        <c:dLbls>
          <c:showLegendKey val="0"/>
          <c:showVal val="0"/>
          <c:showCatName val="0"/>
          <c:showSerName val="0"/>
          <c:showPercent val="0"/>
          <c:showBubbleSize val="0"/>
        </c:dLbls>
        <c:gapWidth val="219"/>
        <c:overlap val="-27"/>
        <c:axId val="173991695"/>
        <c:axId val="71157034"/>
      </c:barChart>
      <c:catAx>
        <c:axId val="173991695"/>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71157034"/>
        <c:crosses val="autoZero"/>
        <c:auto val="1"/>
        <c:lblAlgn val="ctr"/>
        <c:lblOffset val="100"/>
        <c:noMultiLvlLbl val="0"/>
      </c:catAx>
      <c:valAx>
        <c:axId val="7115703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73991695"/>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600" b="1" i="0" u="none" strike="noStrike" kern="1200" cap="all" baseline="0">
                <a:solidFill>
                  <a:schemeClr val="tx1">
                    <a:lumMod val="65000"/>
                    <a:lumOff val="35000"/>
                  </a:schemeClr>
                </a:solidFill>
                <a:latin typeface="+mn-lt"/>
                <a:ea typeface="+mn-ea"/>
                <a:cs typeface="+mn-cs"/>
              </a:defRPr>
            </a:pPr>
            <a:r>
              <a:rPr sz="1400"/>
              <a:t>图5：财政拨款支出决算结构（按功能分类）</a:t>
            </a:r>
            <a:endParaRPr sz="1400"/>
          </a:p>
        </c:rich>
      </c:tx>
      <c:layout>
        <c:manualLayout>
          <c:xMode val="edge"/>
          <c:yMode val="edge"/>
          <c:x val="0.186140072529465"/>
          <c:y val="0.862573099415205"/>
        </c:manualLayout>
      </c:layout>
      <c:overlay val="0"/>
      <c:spPr>
        <a:noFill/>
        <a:ln>
          <a:noFill/>
        </a:ln>
        <a:effectLst/>
      </c:spPr>
    </c:title>
    <c:autoTitleDeleted val="0"/>
    <c:view3D>
      <c:rotX val="30"/>
      <c:rotY val="0"/>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0273118766999093"/>
          <c:y val="0.0134502923976608"/>
          <c:w val="0.950135992747054"/>
          <c:h val="0.942982456140351"/>
        </c:manualLayout>
      </c:layout>
      <c:pie3DChart>
        <c:varyColors val="1"/>
        <c:ser>
          <c:idx val="0"/>
          <c:order val="0"/>
          <c:tx>
            <c:strRef>
              <c:f>Sheet1!$B$1</c:f>
              <c:strCache>
                <c:ptCount val="1"/>
                <c:pt idx="0">
                  <c:v>销售额</c:v>
                </c:pt>
              </c:strCache>
            </c:strRef>
          </c:tx>
          <c:spPr>
            <a:scene3d>
              <a:camera prst="orthographicFront"/>
              <a:lightRig rig="threePt" dir="t"/>
            </a:scene3d>
            <a:sp3d contourW="9525"/>
          </c:spPr>
          <c:explosion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c:spPr>
          </c:dPt>
          <c:dPt>
            <c:idx val="1"/>
            <c:bubble3D val="0"/>
            <c:spPr>
              <a:solidFill>
                <a:schemeClr val="accent3"/>
              </a:solidFill>
              <a:ln>
                <a:noFill/>
              </a:ln>
              <a:effectLst>
                <a:outerShdw blurRad="88900" sx="102000" sy="102000" algn="ctr" rotWithShape="0">
                  <a:prstClr val="black">
                    <a:alpha val="10000"/>
                  </a:prstClr>
                </a:outerShdw>
              </a:effectLst>
            </c:spPr>
          </c:dPt>
          <c:dPt>
            <c:idx val="2"/>
            <c:bubble3D val="0"/>
            <c:spPr>
              <a:solidFill>
                <a:schemeClr val="accent5"/>
              </a:solidFill>
              <a:ln>
                <a:noFill/>
              </a:ln>
              <a:effectLst>
                <a:outerShdw blurRad="88900" sx="102000" sy="102000" algn="ctr" rotWithShape="0">
                  <a:prstClr val="black">
                    <a:alpha val="10000"/>
                  </a:prstClr>
                </a:outerShdw>
              </a:effectLst>
            </c:spPr>
          </c:dPt>
          <c:dPt>
            <c:idx val="3"/>
            <c:bubble3D val="0"/>
            <c:spPr>
              <a:solidFill>
                <a:schemeClr val="accent1">
                  <a:lumMod val="60000"/>
                </a:schemeClr>
              </a:solidFill>
              <a:ln>
                <a:noFill/>
              </a:ln>
              <a:effectLst>
                <a:outerShdw blurRad="88900" sx="102000" sy="102000" algn="ctr" rotWithShape="0">
                  <a:prstClr val="black">
                    <a:alpha val="10000"/>
                  </a:prstClr>
                </a:outerShdw>
              </a:effectLst>
            </c:spPr>
          </c:dPt>
          <c:dLbls>
            <c:dLbl>
              <c:idx val="0"/>
              <c:layout>
                <c:manualLayout>
                  <c:x val="0.0303717135086129"/>
                  <c:y val="-0.10672514619883"/>
                </c:manualLayout>
              </c:layout>
              <c:tx>
                <c:rich>
                  <a:bodyPr rot="0" spcFirstLastPara="0" vertOverflow="ellipsis" vert="horz" wrap="square" lIns="38100" tIns="19050" rIns="38100" bIns="19050" anchor="ctr" anchorCtr="1"/>
                  <a:lstStyle/>
                  <a:p>
                    <a:pPr defTabSz="914400">
                      <a:defRPr lang="zh-CN" sz="1000" b="1" i="0" u="none" strike="noStrike" kern="1200" spc="0" baseline="0">
                        <a:solidFill>
                          <a:schemeClr val="accent1"/>
                        </a:solidFill>
                        <a:latin typeface="+mn-lt"/>
                        <a:ea typeface="+mn-ea"/>
                        <a:cs typeface="+mn-cs"/>
                      </a:defRPr>
                    </a:pPr>
                    <a:r>
                      <a:t>资源勘探信息</a:t>
                    </a:r>
                    <a:r>
                      <a:rPr lang="en-US" altLang="zh-CN"/>
                      <a:t>85</a:t>
                    </a:r>
                    <a:r>
                      <a:t>%</a:t>
                    </a:r>
                  </a:p>
                </c:rich>
              </c:tx>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0546237533998187"/>
                  <c:y val="0.188011695906433"/>
                </c:manualLayout>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3"/>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0886219401631913"/>
                  <c:y val="0.0154970760233918"/>
                </c:manualLayout>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5"/>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0218721668177697"/>
                  <c:y val="-0.0206502645940861"/>
                </c:manualLayout>
              </c:layout>
              <c:numFmt formatCode="General" sourceLinked="1"/>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lumMod val="60000"/>
                        </a:schemeClr>
                      </a:solidFill>
                      <a:latin typeface="+mn-lt"/>
                      <a:ea typeface="+mn-ea"/>
                      <a:cs typeface="+mn-cs"/>
                    </a:defRPr>
                  </a:pPr>
                </a:p>
              </c:txPr>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1" i="0" u="none" strike="noStrike" kern="1200" spc="0" baseline="0">
                    <a:solidFill>
                      <a:schemeClr val="accent1"/>
                    </a:solidFill>
                    <a:latin typeface="+mn-lt"/>
                    <a:ea typeface="+mn-ea"/>
                    <a:cs typeface="+mn-cs"/>
                  </a:defRPr>
                </a:pPr>
              </a:p>
            </c:txPr>
            <c:dLblPos val="outEnd"/>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资源勘探信息</c:v>
                </c:pt>
                <c:pt idx="1">
                  <c:v>医疗卫生与计划生育</c:v>
                </c:pt>
                <c:pt idx="2">
                  <c:v>社会保障和就业（类）</c:v>
                </c:pt>
                <c:pt idx="3">
                  <c:v>住房保障（类）</c:v>
                </c:pt>
              </c:strCache>
            </c:strRef>
          </c:cat>
          <c:val>
            <c:numRef>
              <c:f>Sheet1!$B$2:$B$5</c:f>
              <c:numCache>
                <c:formatCode>General</c:formatCode>
                <c:ptCount val="4"/>
                <c:pt idx="0">
                  <c:v>85</c:v>
                </c:pt>
                <c:pt idx="1">
                  <c:v>4</c:v>
                </c:pt>
                <c:pt idx="2">
                  <c:v>6</c:v>
                </c:pt>
                <c:pt idx="3">
                  <c:v>5</c:v>
                </c:pt>
              </c:numCache>
            </c:numRef>
          </c:val>
        </c:ser>
        <c:dLbls>
          <c:showLegendKey val="0"/>
          <c:showVal val="0"/>
          <c:showCatName val="1"/>
          <c:showSerName val="0"/>
          <c:showPercent val="0"/>
          <c:showBubbleSize val="0"/>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65E7BDE-DE8D-4B1F-9303-30D3BA4219C7}">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34</Pages>
  <Words>1691</Words>
  <Characters>9643</Characters>
  <Lines>80</Lines>
  <Paragraphs>22</Paragraphs>
  <TotalTime>1</TotalTime>
  <ScaleCrop>false</ScaleCrop>
  <LinksUpToDate>false</LinksUpToDate>
  <CharactersWithSpaces>11312</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2021-06-22T01:42:29Z</dcterms:modified>
  <dc:subject>石家庄市xxx部门</dc:subject>
  <dc:title>2017年度部门决算</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