
<file path=[Content_Types].xml><?xml version="1.0" encoding="utf-8"?>
<Types xmlns="http://schemas.openxmlformats.org/package/2006/content-types">
  <Default Extension="xml" ContentType="application/xml"/>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二〇二〇年十一月</w:t>
                  </w:r>
                </w:p>
              </w:txbxContent>
            </v:textbox>
          </v:shape>
        </w:pict>
      </w:r>
      <w:r>
        <w:pict>
          <v:shape id="椭圆 8" o:spid="_x0000_s1051"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3.35pt;height:69.6pt;width:600.25pt;z-index:-251636736;mso-width-relative:page;mso-height-relative:page;" coordorigin="13622,-66719" coordsize="12005,1392046"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29;top:-66719;height:1392046;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42"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shd w:val="clear" w:color="auto" w:fill="FFFFFF" w:themeFill="background1"/>
        </w:rPr>
      </w:pPr>
      <w:r>
        <w:rPr>
          <w:rFonts w:hint="eastAsia" w:ascii="楷体_GB2312" w:hAnsi="楷体_GB2312" w:eastAsia="楷体_GB2312" w:cs="楷体_GB2312"/>
          <w:color w:val="000000" w:themeColor="text1"/>
          <w:kern w:val="0"/>
          <w:sz w:val="44"/>
          <w:szCs w:val="44"/>
          <w:shd w:val="clear" w:color="auto" w:fill="FFFFFF" w:themeFill="background1"/>
        </w:rPr>
        <w:t>石家庄市鹿泉区供销合作总社</w:t>
      </w:r>
    </w:p>
    <w:p>
      <w:pPr>
        <w:snapToGrid w:val="0"/>
        <w:jc w:val="center"/>
        <w:rPr>
          <w:rFonts w:ascii="楷体_GB2312" w:hAnsi="楷体_GB2312" w:eastAsia="楷体_GB2312" w:cs="楷体_GB2312"/>
          <w:color w:val="000000" w:themeColor="text1"/>
          <w:kern w:val="0"/>
          <w:sz w:val="44"/>
          <w:szCs w:val="44"/>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二〇二〇年十一月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1" o:spid="_x0000_s1041"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color2="#FFFFFF [3212]" o:title="image2" focussize="0,0" r:id="rId26"/>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600" w:lineRule="exact"/>
        <w:ind w:firstLine="720" w:firstLineChars="225"/>
        <w:rPr>
          <w:rFonts w:ascii="仿宋" w:hAnsi="仿宋" w:eastAsia="仿宋"/>
          <w:sz w:val="32"/>
          <w:szCs w:val="32"/>
        </w:rPr>
      </w:pPr>
      <w:r>
        <w:rPr>
          <w:rFonts w:ascii="仿宋" w:hAnsi="仿宋" w:eastAsia="仿宋"/>
          <w:sz w:val="32"/>
          <w:szCs w:val="32"/>
        </w:rPr>
        <w:t>1、宣传、贯彻党和政府有关农村工作和社会发展的方针、政策，制订并组织实施供销合作社发展规划。</w:t>
      </w:r>
    </w:p>
    <w:p>
      <w:pPr>
        <w:spacing w:line="600" w:lineRule="exact"/>
        <w:ind w:firstLine="720" w:firstLineChars="225"/>
        <w:rPr>
          <w:rFonts w:ascii="仿宋" w:hAnsi="仿宋" w:eastAsia="仿宋"/>
          <w:sz w:val="32"/>
          <w:szCs w:val="32"/>
        </w:rPr>
      </w:pPr>
      <w:r>
        <w:rPr>
          <w:rFonts w:ascii="仿宋" w:hAnsi="仿宋" w:eastAsia="仿宋"/>
          <w:sz w:val="32"/>
          <w:szCs w:val="32"/>
        </w:rPr>
        <w:t>2、协调与政府部门、社会组织的关系，维护供销合作社《章程》赋予的合法权益，促进合作经济的发展。</w:t>
      </w:r>
    </w:p>
    <w:p>
      <w:pPr>
        <w:spacing w:line="600" w:lineRule="exact"/>
        <w:ind w:firstLine="720" w:firstLineChars="225"/>
        <w:rPr>
          <w:rFonts w:ascii="仿宋" w:hAnsi="仿宋" w:eastAsia="仿宋"/>
          <w:sz w:val="32"/>
          <w:szCs w:val="32"/>
        </w:rPr>
      </w:pPr>
      <w:r>
        <w:rPr>
          <w:rFonts w:ascii="仿宋" w:hAnsi="仿宋" w:eastAsia="仿宋"/>
          <w:sz w:val="32"/>
          <w:szCs w:val="32"/>
        </w:rPr>
        <w:t>3、指导农民合作经济组织联合会、供销社系统行业协会建设，增强服务功能，协助有关部门加强对农产品行业协会的管理和指导，积极领办农民专业合作社。</w:t>
      </w:r>
    </w:p>
    <w:p>
      <w:pPr>
        <w:spacing w:line="600" w:lineRule="exact"/>
        <w:ind w:firstLine="720" w:firstLineChars="225"/>
        <w:rPr>
          <w:rFonts w:ascii="仿宋" w:hAnsi="仿宋" w:eastAsia="仿宋"/>
          <w:sz w:val="32"/>
          <w:szCs w:val="32"/>
        </w:rPr>
      </w:pPr>
      <w:r>
        <w:rPr>
          <w:rFonts w:ascii="仿宋" w:hAnsi="仿宋" w:eastAsia="仿宋"/>
          <w:sz w:val="32"/>
          <w:szCs w:val="32"/>
        </w:rPr>
        <w:t>4、发展农业生产资料现代经营服务网络，构建连锁经营体系，负责发展农副产品现代购销网络，创办经营各类农副产品批发市场，推动农超对接，负责发展日用消费品现代经营网络，构建现代连锁经营体系，负责再生资源回收利用体系建设。</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5</w:t>
      </w:r>
      <w:r>
        <w:rPr>
          <w:rFonts w:ascii="仿宋" w:hAnsi="仿宋" w:eastAsia="仿宋"/>
          <w:sz w:val="32"/>
          <w:szCs w:val="32"/>
        </w:rPr>
        <w:t>、根据区委区政府2019年工作部署，深化供销社综合改革，推动供销社向农民生产生活综合服务转变，服务手段向现代服务手段转变，建立供销社“金融超市”，对接政府职能部门，整合社会资源，加大气象、医疗、教育、法律等服务供给，充实服务功能，扩大社会影响力，开展土地适度规模流转，发展农业园区，进行农产品生产加工， 县级以上建立“供销合作社+农民合作社联合社+供销集团”三位一体的新型组织架构，组建金融超市2家；稳步开展农村合作金融，开展农村电子商务服务，解决电商服务农民“最后一公里”问题，实现服务“三农”一体化运营的服务生力军和综合平台。按照“提质、增效、融合、规范”的方针，健全农资、农副产品、日用消费品、再生资源回收利用四大网络，形成网上交易、仓储物流、终端配送一体化经营，推动线上线下融合发展。2019年开展现代流通服务，积极对接上级社电商平台，加快打造“网上供销”，加快推进农村物流配送中心建设。建设庄稼医院2个，各类农民专业社20个，培训农民社员及专业社负责人1000人次，建设农民诉求站1个，组建物流配送中心1个，并完善社区综合服务站127家，供销超市5家，新增营业面积1000平方米，进一步提高供销社的影响力。</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6</w:t>
      </w:r>
      <w:r>
        <w:rPr>
          <w:rFonts w:ascii="仿宋" w:hAnsi="仿宋" w:eastAsia="仿宋"/>
          <w:sz w:val="32"/>
          <w:szCs w:val="32"/>
        </w:rPr>
        <w:t>、根据2019年政府办实事工程要求，按照区委区政府及上级社要求，增加林业产权交易平台，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7</w:t>
      </w:r>
      <w:r>
        <w:rPr>
          <w:rFonts w:ascii="仿宋" w:hAnsi="仿宋" w:eastAsia="仿宋"/>
          <w:sz w:val="32"/>
          <w:szCs w:val="32"/>
        </w:rPr>
        <w:t>、根据省社冀供销[2018]112号文件转发省委省政府《关于加强农村综合服务站建设的实施意见》精神，进一步发挥供销社服务“三农”的作用，加强农村综合服务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2019年加强联合社管理，强化监督，开放办社，推进供销事业转型升级，发挥政策信息、系统联合上的优势，与经济实体的生产能力、市场优势相结合，实现联合社与农民组织的共嬴。规范乡级农民专业社联合社12个，组建完善产业专业联合社5个，加快将供销社打造成为农民生产生活的生力军和综合服务平台。</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8</w:t>
      </w:r>
      <w:r>
        <w:rPr>
          <w:rFonts w:ascii="仿宋" w:hAnsi="仿宋" w:eastAsia="仿宋"/>
          <w:sz w:val="32"/>
          <w:szCs w:val="32"/>
        </w:rPr>
        <w:t xml:space="preserve">、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并向区领导小组报送统计结果，2019年建设规范高标准农村再生资源固定回收站点10个，集散中心1个，分拣中心1个，使农村95%以上的废旧物资得到回收利用。 </w:t>
      </w:r>
    </w:p>
    <w:p>
      <w:pPr>
        <w:spacing w:line="600" w:lineRule="exact"/>
        <w:ind w:firstLine="800" w:firstLineChars="250"/>
        <w:rPr>
          <w:rFonts w:ascii="仿宋" w:hAnsi="仿宋" w:eastAsia="仿宋"/>
          <w:sz w:val="32"/>
          <w:szCs w:val="32"/>
        </w:rPr>
      </w:pPr>
      <w:r>
        <w:rPr>
          <w:rFonts w:hint="eastAsia" w:ascii="仿宋" w:hAnsi="仿宋" w:eastAsia="仿宋"/>
          <w:sz w:val="32"/>
          <w:szCs w:val="32"/>
        </w:rPr>
        <w:t>9、</w:t>
      </w:r>
      <w:r>
        <w:rPr>
          <w:rFonts w:ascii="仿宋" w:hAnsi="仿宋" w:eastAsia="仿宋"/>
          <w:sz w:val="32"/>
          <w:szCs w:val="32"/>
        </w:rPr>
        <w:t>根据区委、区政府和石家庄市供销社的工作安排，全面加强和创新社会管理，处理好改制遗留问题，突出抓好烟花爆竹等易燃易爆商品经营安全和商场、市场等人员密集场所消防安全，确保系统企业安全生产无事故，完成鹿泉区下达的防汛物资号备工作。</w:t>
      </w:r>
    </w:p>
    <w:p>
      <w:pPr>
        <w:spacing w:line="600" w:lineRule="exact"/>
        <w:ind w:firstLine="560"/>
        <w:rPr>
          <w:rFonts w:ascii="仿宋" w:hAnsi="仿宋" w:eastAsia="仿宋" w:cs="仿宋"/>
          <w:sz w:val="32"/>
          <w:szCs w:val="32"/>
        </w:rPr>
      </w:pPr>
      <w:r>
        <w:rPr>
          <w:rFonts w:ascii="仿宋" w:hAnsi="仿宋" w:eastAsia="仿宋"/>
          <w:sz w:val="32"/>
          <w:szCs w:val="32"/>
        </w:rPr>
        <w:t>10、承办区委、区政府及省、石家庄市供销社赋予的其他职能和工作任务。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黑体" w:hAnsi="Calibri" w:eastAsia="黑体" w:cs="黑体"/>
          <w:color w:val="000000" w:themeColor="text1"/>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r>
        <w:rPr>
          <w:rFonts w:ascii="黑体" w:hAnsi="Calibri" w:eastAsia="黑体" w:cs="黑体"/>
          <w:color w:val="000000" w:themeColor="text1"/>
          <w:kern w:val="0"/>
          <w:sz w:val="32"/>
          <w:szCs w:val="32"/>
        </w:rPr>
        <w:t xml:space="preserve"> </w:t>
      </w:r>
    </w:p>
    <w:tbl>
      <w:tblPr>
        <w:tblStyle w:val="9"/>
        <w:tblpPr w:leftFromText="180" w:rightFromText="180" w:vertAnchor="text" w:horzAnchor="page" w:tblpXSpec="center" w:tblpY="10"/>
        <w:tblOverlap w:val="never"/>
        <w:tblW w:w="961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2775"/>
        <w:gridCol w:w="2977"/>
        <w:gridCol w:w="2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101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277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97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4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101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277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鹿泉区供销合作总社</w:t>
            </w:r>
          </w:p>
        </w:tc>
        <w:tc>
          <w:tcPr>
            <w:tcW w:w="297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84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101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2775" w:type="dxa"/>
          </w:tcPr>
          <w:p>
            <w:pPr>
              <w:spacing w:line="560" w:lineRule="exact"/>
              <w:rPr>
                <w:rFonts w:ascii="仿宋_GB2312" w:hAnsi="Calibri" w:eastAsia="仿宋_GB2312" w:cs="ArialUnicodeMS"/>
                <w:kern w:val="0"/>
                <w:sz w:val="28"/>
                <w:szCs w:val="28"/>
              </w:rPr>
            </w:pPr>
          </w:p>
        </w:tc>
        <w:tc>
          <w:tcPr>
            <w:tcW w:w="2977" w:type="dxa"/>
          </w:tcPr>
          <w:p>
            <w:pPr>
              <w:spacing w:line="560" w:lineRule="exact"/>
              <w:jc w:val="center"/>
              <w:rPr>
                <w:rFonts w:ascii="仿宋_GB2312" w:hAnsi="Calibri" w:eastAsia="仿宋_GB2312" w:cs="ArialUnicodeMS"/>
                <w:kern w:val="0"/>
                <w:sz w:val="28"/>
                <w:szCs w:val="28"/>
              </w:rPr>
            </w:pPr>
          </w:p>
        </w:tc>
        <w:tc>
          <w:tcPr>
            <w:tcW w:w="2843"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101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2775" w:type="dxa"/>
          </w:tcPr>
          <w:p>
            <w:pPr>
              <w:spacing w:line="560" w:lineRule="exact"/>
              <w:rPr>
                <w:rFonts w:ascii="仿宋_GB2312" w:hAnsi="Calibri" w:eastAsia="仿宋_GB2312" w:cs="ArialUnicodeMS"/>
                <w:kern w:val="0"/>
                <w:sz w:val="28"/>
                <w:szCs w:val="28"/>
              </w:rPr>
            </w:pPr>
          </w:p>
        </w:tc>
        <w:tc>
          <w:tcPr>
            <w:tcW w:w="2977" w:type="dxa"/>
          </w:tcPr>
          <w:p>
            <w:pPr>
              <w:spacing w:line="560" w:lineRule="exact"/>
              <w:jc w:val="center"/>
              <w:rPr>
                <w:rFonts w:ascii="仿宋_GB2312" w:hAnsi="Calibri" w:eastAsia="仿宋_GB2312" w:cs="ArialUnicodeMS"/>
                <w:kern w:val="0"/>
                <w:sz w:val="28"/>
                <w:szCs w:val="28"/>
              </w:rPr>
            </w:pPr>
          </w:p>
        </w:tc>
        <w:tc>
          <w:tcPr>
            <w:tcW w:w="2843"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1019"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77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977"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843"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614"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p>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3" w:type="first"/>
          <w:headerReference r:id="rId11" w:type="default"/>
          <w:footerReference r:id="rId12"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color2="#FFFFFF [3212]" o:title="image2" focussize="0,0" r:id="rId26"/>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入总计（含结转和结余）340.22万元。与2018年度决算相比，收入增加21.68万元，增长6.9%，支出总计329.44增加21.57万元，增长7%，主要原因是增加了人员经费和退役人员公益岗工资、退役人员过冬补助费。</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本部门2019年度本年收入合计334.88万元，其中：财政拨款收入334.88万元，占100%。如图所示：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pict>
          <v:shape id="_x0000_s1053" o:spid="_x0000_s1053" o:spt="3" type="#_x0000_t3" style="position:absolute;left:0pt;margin-left:75.75pt;margin-top:28.05pt;height:79.45pt;width:260.7pt;z-index:437283840;mso-width-relative:page;mso-height-relative:page;" fillcolor="#ED7D31 [3205]" filled="t" stroked="t" coordsize="21600,21600">
            <v:path/>
            <v:fill on="t" focussize="0,0"/>
            <v:stroke weight="3pt" color="#F2F2F2 [3041]"/>
            <v:imagedata o:title=""/>
            <o:lock v:ext="edit"/>
            <v:shadow on="t" type="perspective" color="#823B0B [1605]" opacity="32768f" offset="1pt,2pt" offset2="-1pt,-2pt"/>
            <v:textbox>
              <w:txbxContent>
                <w:p>
                  <w:pPr>
                    <w:ind w:firstLine="840" w:firstLineChars="400"/>
                    <w:rPr>
                      <w:color w:val="C55911" w:themeColor="accent2" w:themeShade="BF"/>
                    </w:rPr>
                  </w:pPr>
                  <w:r>
                    <w:rPr>
                      <w:rFonts w:hint="eastAsia"/>
                    </w:rPr>
                    <w:t>财政拨款收入100%</w:t>
                  </w:r>
                </w:p>
              </w:txbxContent>
            </v:textbox>
          </v:shape>
        </w:pic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3" w:firstLineChars="200"/>
        <w:rPr>
          <w:rFonts w:ascii="黑体" w:hAnsi="Calibri" w:eastAsia="黑体" w:cs="Times New Roman"/>
          <w:bCs/>
          <w:sz w:val="32"/>
          <w:szCs w:val="32"/>
        </w:rPr>
      </w:pPr>
      <w:r>
        <w:rPr>
          <w:rFonts w:hint="eastAsia" w:ascii="黑体" w:hAnsi="Calibri" w:eastAsia="黑体" w:cs="Times New Roman"/>
          <w:b/>
          <w:bCs/>
          <w:sz w:val="32"/>
          <w:szCs w:val="32"/>
        </w:rPr>
        <w:t>　　</w:t>
      </w:r>
      <w:r>
        <w:rPr>
          <w:rFonts w:hint="eastAsia" w:ascii="黑体" w:hAnsi="Calibri" w:eastAsia="黑体" w:cs="Times New Roman"/>
          <w:bCs/>
          <w:sz w:val="32"/>
          <w:szCs w:val="32"/>
        </w:rPr>
        <w:t>　　　　图示：收入构成情况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本部门2019年度本年支出合计329.44万元，其中：基本支出329.44万元，占100%。如图所示：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pict>
          <v:shape id="_x0000_s1054" o:spid="_x0000_s1054" o:spt="3" type="#_x0000_t3" style="position:absolute;left:0pt;margin-left:75.75pt;margin-top:28.2pt;height:88.15pt;width:260.7pt;z-index:437284864;mso-width-relative:page;mso-height-relative:page;" fillcolor="#ED7D31 [3205]" filled="t" stroked="t" coordsize="21600,21600">
            <v:path/>
            <v:fill on="t" focussize="0,0"/>
            <v:stroke weight="3pt" color="#F2F2F2 [3041]"/>
            <v:imagedata o:title=""/>
            <o:lock v:ext="edit"/>
            <v:shadow on="t" type="perspective" color="#823B0B [1605]" opacity="32768f" offset="1pt,2pt" offset2="-1pt,-2pt"/>
            <v:textbox>
              <w:txbxContent>
                <w:p>
                  <w:pPr>
                    <w:ind w:firstLine="945" w:firstLineChars="450"/>
                  </w:pPr>
                  <w:r>
                    <w:rPr>
                      <w:rFonts w:hint="eastAsia"/>
                    </w:rPr>
                    <w:t>基本支出100%</w:t>
                  </w:r>
                </w:p>
              </w:txbxContent>
            </v:textbox>
          </v:shape>
        </w:pic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3" w:firstLineChars="200"/>
        <w:rPr>
          <w:rFonts w:hint="eastAsia" w:ascii="黑体" w:hAnsi="Calibri" w:eastAsia="黑体" w:cs="Times New Roman"/>
          <w:b/>
          <w:bCs/>
          <w:sz w:val="32"/>
          <w:szCs w:val="32"/>
        </w:rPr>
      </w:pPr>
    </w:p>
    <w:p>
      <w:pPr>
        <w:adjustRightInd w:val="0"/>
        <w:snapToGrid w:val="0"/>
        <w:spacing w:line="580" w:lineRule="exact"/>
        <w:ind w:firstLine="2400" w:firstLineChars="750"/>
        <w:rPr>
          <w:rFonts w:ascii="黑体" w:hAnsi="Calibri" w:eastAsia="黑体" w:cs="Times New Roman"/>
          <w:b/>
          <w:bCs/>
          <w:sz w:val="32"/>
          <w:szCs w:val="32"/>
        </w:rPr>
      </w:pPr>
      <w:r>
        <w:rPr>
          <w:rFonts w:hint="eastAsia" w:ascii="黑体" w:hAnsi="Calibri" w:eastAsia="黑体" w:cs="Times New Roman"/>
          <w:bCs/>
          <w:sz w:val="32"/>
          <w:szCs w:val="32"/>
        </w:rPr>
        <w:t>图示：支入构成情况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334.88万元,比2018年度增加21.68万元，增长6.9%，主要是增加了人员经费和退役人员公益岗工资、退役人员过冬补助费。本年支出329.44万元，增加21.57万元，增长7%，主要是增加了人员经费和退役人员公益岗工资、退役人员过冬补助费。</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334.88万元，完成年初预算的108.9%,比年初预算增加27.62万元，决算数大于预算数主要原因是增加了人员经费和退役人员公益岗工资、退役人员过冬补助费。本年支出329.44万元，完成年初预算的107.2%,比年初预算增加22.18万元，决算数大于预算数主要原因是增加了人员经费和退役人员公益岗工资、退役人员过冬补助费。</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年度财政拨款支出329.44万元，主要用于以下方面：社会保障和就业（类）支出 43.04万元，占13.1%；住房保障（类）支出9.27万元，占 2.8%;卫生健康支出12.65万元，占3.9%；商业服务业支出264.47万元，占80.2%。如图所示：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　　　住房保障2.8%</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pict>
          <v:shape id="_x0000_s1056" o:spid="_x0000_s1056" o:spt="32" type="#_x0000_t32" style="position:absolute;left:0pt;margin-left:155.2pt;margin-top:7.6pt;height:114.2pt;width:18.65pt;z-index:437286912;mso-width-relative:page;mso-height-relative:page;" o:connectortype="straight" filled="f" coordsize="21600,21600">
            <v:path arrowok="t"/>
            <v:fill on="f" focussize="0,0"/>
            <v:stroke/>
            <v:imagedata o:title=""/>
            <o:lock v:ext="edit"/>
          </v:shape>
        </w:pict>
      </w:r>
      <w:r>
        <w:rPr>
          <w:rFonts w:hint="eastAsia" w:ascii="仿宋_GB2312" w:hAnsi="Times New Roman" w:eastAsia="仿宋_GB2312" w:cs="DengXian-Regular"/>
          <w:sz w:val="32"/>
          <w:szCs w:val="32"/>
        </w:rPr>
        <w:pict>
          <v:shape id="_x0000_s1057" o:spid="_x0000_s1057" o:spt="32" type="#_x0000_t32" style="position:absolute;left:0pt;flip:y;margin-left:173.85pt;margin-top:7.6pt;height:114.2pt;width:13.65pt;z-index:437287936;mso-width-relative:page;mso-height-relative:page;" o:connectortype="straight" filled="f" coordsize="21600,21600">
            <v:path arrowok="t"/>
            <v:fill on="f" focussize="0,0"/>
            <v:stroke/>
            <v:imagedata o:title=""/>
            <o:lock v:ext="edit"/>
          </v:shape>
        </w:pict>
      </w:r>
      <w:r>
        <w:rPr>
          <w:rFonts w:hint="eastAsia" w:ascii="仿宋_GB2312" w:hAnsi="Times New Roman" w:eastAsia="仿宋_GB2312" w:cs="DengXian-Regular"/>
          <w:sz w:val="32"/>
          <w:szCs w:val="32"/>
        </w:rPr>
        <w:pict>
          <v:shape id="_x0000_s1055" o:spid="_x0000_s1055" o:spt="3" type="#_x0000_t3" style="position:absolute;left:0pt;margin-left:55.9pt;margin-top:7.6pt;height:204.8pt;width:229.65pt;z-index:437285888;mso-width-relative:page;mso-height-relative:page;" fillcolor="#ED7D31 [3205]" filled="t" stroked="t" coordsize="21600,21600">
            <v:path/>
            <v:fill on="t" focussize="0,0"/>
            <v:stroke weight="3pt" color="#F2F2F2 [3041]"/>
            <v:imagedata o:title=""/>
            <o:lock v:ext="edit"/>
            <v:shadow on="t" type="perspective" color="#823B0B [1605]" opacity="32768f" offset="1pt,2pt" offset2="-1pt,-2pt"/>
          </v:shape>
        </w:pict>
      </w:r>
      <w:r>
        <w:rPr>
          <w:rFonts w:hint="eastAsia" w:ascii="仿宋_GB2312" w:hAnsi="Times New Roman" w:eastAsia="仿宋_GB2312" w:cs="DengXian-Regular"/>
          <w:sz w:val="32"/>
          <w:szCs w:val="32"/>
        </w:rPr>
        <w:t>　　　　　　　　　　　　　社会保障13.1%　　</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pict>
          <v:shape id="_x0000_s1058" o:spid="_x0000_s1058" o:spt="32" type="#_x0000_t32" style="position:absolute;left:0pt;flip:y;margin-left:173.85pt;margin-top:3.45pt;height:89.35pt;width:75.7pt;z-index:437288960;mso-width-relative:page;mso-height-relative:page;" o:connectortype="straight" filled="f" coordsize="21600,21600">
            <v:path arrowok="t"/>
            <v:fill on="f" focussize="0,0"/>
            <v:stroke/>
            <v:imagedata o:title=""/>
            <o:lock v:ext="edit"/>
          </v:shape>
        </w:pict>
      </w:r>
      <w:r>
        <w:rPr>
          <w:rFonts w:hint="eastAsia" w:ascii="仿宋_GB2312" w:hAnsi="Times New Roman" w:eastAsia="仿宋_GB2312" w:cs="DengXian-Regular"/>
          <w:sz w:val="32"/>
          <w:szCs w:val="32"/>
        </w:rPr>
        <w:t>　　　　　　　　　　　　　　　　卫生健康3.9%　　　　　　　　　　　　　　　　　　　　　　　　　　　</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pict>
          <v:shape id="_x0000_s1059" o:spid="_x0000_s1059" o:spt="32" type="#_x0000_t32" style="position:absolute;left:0pt;flip:y;margin-left:173.85pt;margin-top:10.45pt;height:53.35pt;width:99.3pt;z-index:437289984;mso-width-relative:page;mso-height-relative:page;" o:connectortype="straight" filled="f" coordsize="21600,21600">
            <v:path arrowok="t"/>
            <v:fill on="f" focussize="0,0"/>
            <v:stroke/>
            <v:imagedata o:title=""/>
            <o:lock v:ext="edit"/>
          </v:shape>
        </w:pic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商业服务业80.2%</w:t>
      </w:r>
    </w:p>
    <w:p>
      <w:pPr>
        <w:adjustRightInd w:val="0"/>
        <w:snapToGrid w:val="0"/>
        <w:spacing w:line="580" w:lineRule="exact"/>
        <w:ind w:left="420" w:leftChars="200"/>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　</w:t>
      </w:r>
    </w:p>
    <w:p>
      <w:pPr>
        <w:adjustRightInd w:val="0"/>
        <w:snapToGrid w:val="0"/>
        <w:spacing w:line="580" w:lineRule="exact"/>
        <w:ind w:left="420" w:leftChars="200"/>
        <w:rPr>
          <w:rFonts w:hint="eastAsia" w:ascii="楷体_GB2312" w:hAnsi="Times New Roman" w:eastAsia="楷体_GB2312" w:cs="DengXian-Bold"/>
          <w:bCs/>
          <w:sz w:val="32"/>
          <w:szCs w:val="32"/>
        </w:rPr>
      </w:pPr>
      <w:r>
        <w:rPr>
          <w:rFonts w:hint="eastAsia" w:ascii="楷体_GB2312" w:hAnsi="Times New Roman" w:eastAsia="楷体_GB2312" w:cs="DengXian-Bold"/>
          <w:b/>
          <w:bCs/>
          <w:sz w:val="32"/>
          <w:szCs w:val="32"/>
        </w:rPr>
        <w:t>　　　　　</w:t>
      </w:r>
      <w:r>
        <w:rPr>
          <w:rFonts w:hint="eastAsia" w:ascii="楷体_GB2312" w:hAnsi="Times New Roman" w:eastAsia="楷体_GB2312" w:cs="DengXian-Bold"/>
          <w:bCs/>
          <w:sz w:val="32"/>
          <w:szCs w:val="32"/>
        </w:rPr>
        <w:t>图示：财政拨款支出结构</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329.44万元，其中：人员经费241.04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88.39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本部门2019年度“三公”经费支出共计0万元，完成预算的0%,较预算减少3.3万元，降低100%，主要是厉行节约；与2018年度持平，主要是厉行节约。具体情况如下：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未发生因公出国（境）费支出。与上年持平。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本部门2019年度未发生公务用车购置及运行维护费支出。与上年持平。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本部门2019年度公务用车购置量0辆，发生“公务用车购置”经费支出0万元。公务用车购置费支出较预算减少2.7万元，降低100%,主要是厉行节约。</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本部门2019年度未发生此类费用，与上年持平。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本部门2019年度未发生公务接费支出，与上年持平。主要是厉行节约。</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0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根据预算绩效管理要求，本部门组织对2019年度一般公共预算项目支出全面开展绩效自评，其中，一级项目4个，共涉及资金55万元，占一般公共预算项目支出总额的100%。其中，对</w:t>
      </w:r>
      <w:r>
        <w:rPr>
          <w:rFonts w:hint="eastAsia" w:ascii="仿宋_GB2312" w:eastAsia="仿宋_GB2312" w:cs="DengXian-Regular"/>
          <w:sz w:val="32"/>
          <w:szCs w:val="32"/>
        </w:rPr>
        <w:t>再生资源管理及回收利用体系、农村产权交易中心、社会化服务、联合社运营管理和新型基层社运营管理组织体系建设</w:t>
      </w:r>
      <w:r>
        <w:rPr>
          <w:rFonts w:hint="eastAsia" w:ascii="仿宋_GB2312" w:hAnsi="仿宋_GB2312" w:eastAsia="仿宋_GB2312" w:cs="仿宋_GB2312"/>
          <w:sz w:val="32"/>
          <w:szCs w:val="32"/>
        </w:rPr>
        <w:t>等项目分别开展绩效评价。从评价情况来看</w:t>
      </w:r>
      <w:r>
        <w:rPr>
          <w:rFonts w:hint="eastAsia" w:ascii="仿宋_GB2312" w:eastAsia="仿宋_GB2312" w:cs="DengXian-Regular"/>
          <w:sz w:val="32"/>
          <w:szCs w:val="32"/>
        </w:rPr>
        <w:t>，评价结果为优秀的业务有1个，良好的业务有3个。</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eastAsia="仿宋_GB2312" w:cs="DengXian-Regular"/>
          <w:sz w:val="32"/>
          <w:szCs w:val="32"/>
        </w:rPr>
        <w:t>再生资源管理及回收利用体系、农村产权交易中心、社会化服务、联合社运营管理和新型基层社运营管理组织体系建设</w:t>
      </w:r>
      <w:r>
        <w:rPr>
          <w:rFonts w:hint="eastAsia" w:ascii="仿宋_GB2312" w:hAnsi="仿宋_GB2312" w:eastAsia="仿宋_GB2312" w:cs="仿宋_GB2312"/>
          <w:sz w:val="32"/>
          <w:szCs w:val="32"/>
        </w:rPr>
        <w:t>等项目绩效自评结果。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社会化服务项目自评综述：根据年初设定的绩效目标，社会化服务项目绩效自评得分为95分。全年预算数为20万元，执行数为20万元，完成预算的100%。项目绩效目标完成情况：一是合作金融超市完成任务2个；二是综合服务站完成任务120个；三是流通网络物流配送率完成95%。发现的主要问题是社会化服务还没有完全跟上去，社会化服务还要再提高。下一步改进措施：加强基层服务网络建设。</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供销组织体系建设项目绩效自评综述：根据年初设定的绩效目标，供销组织体系建设项目绩效自评得分为91分。全年预算数为5万元，执行数为5万元，完成预算的100%。项目绩效目标完成情况：完善了12个乡镇基层社和联合社，建立了3个产业联合社。发现的问题是供销社基层组织体系建设还需完善和加强。下一步改进措施：抓好基层标准示范社建设，树立标杆社。</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再生资源及回收体系项目绩效自评综述：根据年初设定的绩效目标，再生资源建设项目绩效自评得分为93分。全年预算数为10万元，执行数为10万元，完成预算的100%。项目绩效目标完成情况：完成废旧物资收购任务12000万吨，培训行业人员200人次，回收站覆盖率达到95%以上。发现的问题是回收站点布局应再完善，应提高从业人员素质。下一步措施，加强从业人员技术素质培训，站点合理布局，提高覆盖率。</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农村产权交易中心项目绩效自评综述：根据年初设定的绩效目标，农村产权交易中心项目绩效自评得分为97分。全年预算数为20万元，执行数为20万元，完成预算的100%。项目绩效目标完成情况：按要求完成12个乡镇服务站建设，培训行业人员100人次，二是农村产权交易业务覆盖率达到90%以上。发现的问题是从业人员素质和相关业务水平有待提高，农村产权交易进大厅尚需加强管理。下一步措施，加强从业人员业务素质培训，提高农村产权交易数量，抓好交易平台建设，做好交易业务备案管理。</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2019年度机关运行经费支出0万元，与2018年度持平。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仿宋_GB2312" w:eastAsia="仿宋_GB2312" w:cs="仿宋_GB2312"/>
          <w:color w:val="000000"/>
          <w:kern w:val="0"/>
          <w:sz w:val="32"/>
          <w:szCs w:val="32"/>
          <w:lang w:eastAsia="zh-CN"/>
        </w:rPr>
        <w:t>授予中小企业合同金额</w:t>
      </w:r>
      <w:r>
        <w:rPr>
          <w:rFonts w:hint="eastAsia" w:ascii="仿宋_GB2312" w:hAnsi="仿宋_GB2312" w:eastAsia="仿宋_GB2312" w:cs="仿宋_GB2312"/>
          <w:color w:val="000000"/>
          <w:kern w:val="0"/>
          <w:sz w:val="32"/>
          <w:szCs w:val="32"/>
          <w:lang w:val="en-US" w:eastAsia="zh-CN"/>
        </w:rPr>
        <w:t>0万元。</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截至2019年12月31日，本部门共有车辆0辆，单位价值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 w:hAnsi="仿宋" w:eastAsia="仿宋" w:cs="仿宋"/>
          <w:b w:val="0"/>
          <w:bCs w:val="0"/>
          <w:color w:val="000000"/>
          <w:kern w:val="0"/>
          <w:sz w:val="32"/>
          <w:szCs w:val="32"/>
        </w:rPr>
        <w:t>政府性基金预算、国有资本经营预算均</w:t>
      </w:r>
      <w:r>
        <w:rPr>
          <w:rFonts w:hint="eastAsia" w:ascii="仿宋" w:hAnsi="仿宋" w:eastAsia="仿宋" w:cs="仿宋"/>
          <w:b w:val="0"/>
          <w:bCs w:val="0"/>
          <w:sz w:val="32"/>
          <w:szCs w:val="32"/>
        </w:rPr>
        <w:t>无收支及结转结余情况，故</w:t>
      </w:r>
      <w:r>
        <w:rPr>
          <w:rFonts w:hint="eastAsia" w:ascii="仿宋" w:hAnsi="仿宋" w:eastAsia="仿宋" w:cs="仿宋"/>
          <w:b w:val="0"/>
          <w:bCs w:val="0"/>
          <w:color w:val="000000"/>
          <w:kern w:val="0"/>
          <w:sz w:val="32"/>
          <w:szCs w:val="32"/>
        </w:rPr>
        <w:t>政府性基金预算财政拨款收入支出决算表、国有资本经营预算财政拨款支出决算表</w:t>
      </w:r>
      <w:r>
        <w:rPr>
          <w:rFonts w:hint="eastAsia" w:ascii="仿宋_GB2312" w:hAnsi="Times New Roman"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color2="#FFFFFF [3212]" o:title="image2" focussize="0,0" r:id="rId26"/>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color2="#FFFFFF [3212]" o:title="image2" focussize="0,0" r:id="rId26"/>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8"/>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部门：鹿泉区供销合作总社</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334.88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43.04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12.65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264.47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9.27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334.88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329.44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5.33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10.78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340.22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340.22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8"/>
        <w:tblW w:w="9102" w:type="dxa"/>
        <w:jc w:val="center"/>
        <w:tblInd w:w="0" w:type="dxa"/>
        <w:tblLayout w:type="fixed"/>
        <w:tblCellMar>
          <w:top w:w="0" w:type="dxa"/>
          <w:left w:w="0" w:type="dxa"/>
          <w:bottom w:w="0" w:type="dxa"/>
          <w:right w:w="0" w:type="dxa"/>
        </w:tblCellMar>
      </w:tblPr>
      <w:tblGrid>
        <w:gridCol w:w="2432"/>
        <w:gridCol w:w="1110"/>
        <w:gridCol w:w="1110"/>
        <w:gridCol w:w="1110"/>
        <w:gridCol w:w="698"/>
        <w:gridCol w:w="698"/>
        <w:gridCol w:w="254"/>
        <w:gridCol w:w="252"/>
        <w:gridCol w:w="336"/>
        <w:gridCol w:w="695"/>
        <w:gridCol w:w="407"/>
      </w:tblGrid>
      <w:tr>
        <w:tblPrEx>
          <w:tblLayout w:type="fixed"/>
          <w:tblCellMar>
            <w:top w:w="0" w:type="dxa"/>
            <w:left w:w="0" w:type="dxa"/>
            <w:bottom w:w="0" w:type="dxa"/>
            <w:right w:w="0" w:type="dxa"/>
          </w:tblCellMar>
        </w:tblPrEx>
        <w:trPr>
          <w:trHeight w:val="670" w:hRule="atLeast"/>
          <w:jc w:val="center"/>
        </w:trPr>
        <w:tc>
          <w:tcPr>
            <w:tcW w:w="9102"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Layout w:type="fixed"/>
          <w:tblCellMar>
            <w:top w:w="0" w:type="dxa"/>
            <w:left w:w="0" w:type="dxa"/>
            <w:bottom w:w="0" w:type="dxa"/>
            <w:right w:w="0" w:type="dxa"/>
          </w:tblCellMar>
        </w:tblPrEx>
        <w:trPr>
          <w:trHeight w:val="357" w:hRule="atLeast"/>
          <w:jc w:val="center"/>
        </w:trPr>
        <w:tc>
          <w:tcPr>
            <w:tcW w:w="24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0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Layout w:type="fixed"/>
          <w:tblCellMar>
            <w:top w:w="0" w:type="dxa"/>
            <w:left w:w="0" w:type="dxa"/>
            <w:bottom w:w="0" w:type="dxa"/>
            <w:right w:w="0" w:type="dxa"/>
          </w:tblCellMar>
        </w:tblPrEx>
        <w:trPr>
          <w:trHeight w:val="357" w:hRule="atLeast"/>
          <w:jc w:val="center"/>
        </w:trPr>
        <w:tc>
          <w:tcPr>
            <w:tcW w:w="2432" w:type="dxa"/>
            <w:tcBorders>
              <w:top w:val="nil"/>
              <w:left w:val="nil"/>
              <w:bottom w:val="nil"/>
              <w:right w:val="nil"/>
            </w:tcBorders>
            <w:shd w:val="clear" w:color="auto" w:fill="auto"/>
            <w:tcMar>
              <w:top w:w="15" w:type="dxa"/>
              <w:left w:w="15" w:type="dxa"/>
              <w:right w:w="15" w:type="dxa"/>
            </w:tcMar>
            <w:vAlign w:val="bottom"/>
          </w:tcPr>
          <w:p>
            <w:pPr>
              <w:widowControl/>
              <w:ind w:firstLine="100" w:firstLineChars="5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部门：鹿泉区供销合作总社</w:t>
            </w: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3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85" w:hRule="atLeast"/>
          <w:jc w:val="center"/>
        </w:trPr>
        <w:tc>
          <w:tcPr>
            <w:tcW w:w="576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69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2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25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33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9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0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Layout w:type="fixed"/>
          <w:tblCellMar>
            <w:top w:w="0" w:type="dxa"/>
            <w:left w:w="0" w:type="dxa"/>
            <w:bottom w:w="0" w:type="dxa"/>
            <w:right w:w="0" w:type="dxa"/>
          </w:tblCellMar>
        </w:tblPrEx>
        <w:trPr>
          <w:trHeight w:val="380" w:hRule="atLeast"/>
          <w:jc w:val="center"/>
        </w:trPr>
        <w:tc>
          <w:tcPr>
            <w:tcW w:w="243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功能分类</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3330"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243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243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3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576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Layout w:type="fixed"/>
          <w:tblCellMar>
            <w:top w:w="0" w:type="dxa"/>
            <w:left w:w="0" w:type="dxa"/>
            <w:bottom w:w="0" w:type="dxa"/>
            <w:right w:w="0" w:type="dxa"/>
          </w:tblCellMar>
        </w:tblPrEx>
        <w:trPr>
          <w:trHeight w:val="385" w:hRule="atLeast"/>
          <w:jc w:val="center"/>
        </w:trPr>
        <w:tc>
          <w:tcPr>
            <w:tcW w:w="576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334.88</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334.88</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47.46</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47.46</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机关事业单位基本养老保险费支出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18.9</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28.55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28.55</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2080905</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军队专业干部安置</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4.86</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4.86</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11.51</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266.65</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266.65</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211.65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211.65</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43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2210201</w:t>
            </w:r>
          </w:p>
        </w:tc>
        <w:tc>
          <w:tcPr>
            <w:tcW w:w="333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6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2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102"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8"/>
        <w:tblW w:w="8587" w:type="dxa"/>
        <w:jc w:val="center"/>
        <w:tblInd w:w="0" w:type="dxa"/>
        <w:tblLayout w:type="fixed"/>
        <w:tblCellMar>
          <w:top w:w="0" w:type="dxa"/>
          <w:left w:w="0" w:type="dxa"/>
          <w:bottom w:w="0" w:type="dxa"/>
          <w:right w:w="0" w:type="dxa"/>
        </w:tblCellMar>
      </w:tblPr>
      <w:tblGrid>
        <w:gridCol w:w="941"/>
        <w:gridCol w:w="53"/>
        <w:gridCol w:w="111"/>
        <w:gridCol w:w="2521"/>
        <w:gridCol w:w="992"/>
        <w:gridCol w:w="992"/>
        <w:gridCol w:w="567"/>
        <w:gridCol w:w="567"/>
        <w:gridCol w:w="993"/>
        <w:gridCol w:w="850"/>
      </w:tblGrid>
      <w:tr>
        <w:tblPrEx>
          <w:tblLayout w:type="fixed"/>
          <w:tblCellMar>
            <w:top w:w="0" w:type="dxa"/>
            <w:left w:w="0" w:type="dxa"/>
            <w:bottom w:w="0" w:type="dxa"/>
            <w:right w:w="0" w:type="dxa"/>
          </w:tblCellMar>
        </w:tblPrEx>
        <w:trPr>
          <w:trHeight w:val="612" w:hRule="atLeast"/>
          <w:jc w:val="center"/>
        </w:trPr>
        <w:tc>
          <w:tcPr>
            <w:tcW w:w="8587"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0"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4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23" w:hRule="atLeast"/>
          <w:jc w:val="center"/>
        </w:trPr>
        <w:tc>
          <w:tcPr>
            <w:tcW w:w="362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9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99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52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2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2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362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23" w:hRule="atLeast"/>
          <w:jc w:val="center"/>
        </w:trPr>
        <w:tc>
          <w:tcPr>
            <w:tcW w:w="362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329.44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329.44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机关事业单位基本养老保险费支出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2080905</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军队专业干部安置</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9.94</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9.94</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209.47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209.47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2210201</w:t>
            </w:r>
          </w:p>
        </w:tc>
        <w:tc>
          <w:tcPr>
            <w:tcW w:w="25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9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8587"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8"/>
        <w:tblW w:w="9296" w:type="dxa"/>
        <w:jc w:val="center"/>
        <w:tblInd w:w="0" w:type="dxa"/>
        <w:tblLayout w:type="fixed"/>
        <w:tblCellMar>
          <w:top w:w="0" w:type="dxa"/>
          <w:left w:w="0" w:type="dxa"/>
          <w:bottom w:w="0" w:type="dxa"/>
          <w:right w:w="0" w:type="dxa"/>
        </w:tblCellMar>
      </w:tblPr>
      <w:tblGrid>
        <w:gridCol w:w="2922"/>
        <w:gridCol w:w="425"/>
        <w:gridCol w:w="662"/>
        <w:gridCol w:w="2946"/>
        <w:gridCol w:w="507"/>
        <w:gridCol w:w="588"/>
        <w:gridCol w:w="681"/>
        <w:gridCol w:w="565"/>
      </w:tblGrid>
      <w:tr>
        <w:tblPrEx>
          <w:tblLayout w:type="fixed"/>
          <w:tblCellMar>
            <w:top w:w="0" w:type="dxa"/>
            <w:left w:w="0" w:type="dxa"/>
            <w:bottom w:w="0" w:type="dxa"/>
            <w:right w:w="0" w:type="dxa"/>
          </w:tblCellMar>
        </w:tblPrEx>
        <w:trPr>
          <w:trHeight w:val="406" w:hRule="atLeast"/>
          <w:jc w:val="center"/>
        </w:trPr>
        <w:tc>
          <w:tcPr>
            <w:tcW w:w="9296"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3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部门：鹿泉区供销合作总社</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34"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287"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5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8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5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334.88</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334.88</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329.44</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329.47</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5.33</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10.78</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10.78</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5.33</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340.22</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340.22</w:t>
            </w:r>
          </w:p>
        </w:tc>
        <w:tc>
          <w:tcPr>
            <w:tcW w:w="6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340.22</w:t>
            </w:r>
          </w:p>
        </w:tc>
        <w:tc>
          <w:tcPr>
            <w:tcW w:w="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9296"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8"/>
        <w:tblW w:w="10094" w:type="dxa"/>
        <w:jc w:val="center"/>
        <w:tblInd w:w="0" w:type="dxa"/>
        <w:tblLayout w:type="fixed"/>
        <w:tblCellMar>
          <w:top w:w="0" w:type="dxa"/>
          <w:left w:w="0" w:type="dxa"/>
          <w:bottom w:w="0" w:type="dxa"/>
          <w:right w:w="0" w:type="dxa"/>
        </w:tblCellMar>
      </w:tblPr>
      <w:tblGrid>
        <w:gridCol w:w="905"/>
        <w:gridCol w:w="52"/>
        <w:gridCol w:w="52"/>
        <w:gridCol w:w="4783"/>
        <w:gridCol w:w="1826"/>
        <w:gridCol w:w="1638"/>
        <w:gridCol w:w="838"/>
      </w:tblGrid>
      <w:tr>
        <w:tblPrEx>
          <w:tblLayout w:type="fixed"/>
          <w:tblCellMar>
            <w:top w:w="0" w:type="dxa"/>
            <w:left w:w="0" w:type="dxa"/>
            <w:bottom w:w="0" w:type="dxa"/>
            <w:right w:w="0" w:type="dxa"/>
          </w:tblCellMar>
        </w:tblPrEx>
        <w:trPr>
          <w:trHeight w:val="600" w:hRule="atLeast"/>
          <w:jc w:val="center"/>
        </w:trPr>
        <w:tc>
          <w:tcPr>
            <w:tcW w:w="10094"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90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7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Layout w:type="fixed"/>
          <w:tblCellMar>
            <w:top w:w="0" w:type="dxa"/>
            <w:left w:w="0" w:type="dxa"/>
            <w:bottom w:w="0" w:type="dxa"/>
            <w:right w:w="0" w:type="dxa"/>
          </w:tblCellMar>
        </w:tblPrEx>
        <w:trPr>
          <w:trHeight w:val="255" w:hRule="atLeast"/>
          <w:jc w:val="center"/>
        </w:trPr>
        <w:tc>
          <w:tcPr>
            <w:tcW w:w="905"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p>
        </w:tc>
        <w:tc>
          <w:tcPr>
            <w:tcW w:w="182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7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579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0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312" w:hRule="atLeast"/>
          <w:jc w:val="center"/>
        </w:trPr>
        <w:tc>
          <w:tcPr>
            <w:tcW w:w="100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8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6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12" w:hRule="atLeast"/>
          <w:jc w:val="center"/>
        </w:trPr>
        <w:tc>
          <w:tcPr>
            <w:tcW w:w="100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00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579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579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329.44</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329.44</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43.04</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机关事业单位基本养老保险费支出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17.12</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25.92</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25.92</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23.7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2080905</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军队专业干部安置</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2.22</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12.65</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2.71</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2101102</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事业单位医疗</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9.94</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9.94</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商业服务业等支出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商业流通事务</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264.47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2160250</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事业运行</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209.47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209.47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2160299</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其他商业流通事务支出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00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2210201</w:t>
            </w:r>
          </w:p>
        </w:tc>
        <w:tc>
          <w:tcPr>
            <w:tcW w:w="4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18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16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9.27</w:t>
            </w:r>
          </w:p>
        </w:tc>
        <w:tc>
          <w:tcPr>
            <w:tcW w:w="83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br w:type="page"/>
      </w:r>
    </w:p>
    <w:tbl>
      <w:tblPr>
        <w:tblStyle w:val="8"/>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177.08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86.63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86.33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17.67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35.3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1.76</w:t>
            </w: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12.72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1.76</w:t>
            </w: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17.12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0.75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6.29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12.65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2.77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3.41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25.92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22.27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0.93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29.23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241.04</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88.39</w:t>
            </w:r>
          </w:p>
        </w:tc>
      </w:tr>
    </w:tbl>
    <w:p>
      <w:r>
        <w:br w:type="page"/>
      </w:r>
    </w:p>
    <w:tbl>
      <w:tblPr>
        <w:tblStyle w:val="8"/>
        <w:tblW w:w="9220" w:type="dxa"/>
        <w:jc w:val="center"/>
        <w:tblInd w:w="0" w:type="dxa"/>
        <w:tblLayout w:type="fixed"/>
        <w:tblCellMar>
          <w:top w:w="0" w:type="dxa"/>
          <w:left w:w="0" w:type="dxa"/>
          <w:bottom w:w="0" w:type="dxa"/>
          <w:right w:w="0" w:type="dxa"/>
        </w:tblCellMar>
      </w:tblPr>
      <w:tblGrid>
        <w:gridCol w:w="1096"/>
        <w:gridCol w:w="171"/>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0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85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Layout w:type="fixed"/>
          <w:tblCellMar>
            <w:top w:w="0" w:type="dxa"/>
            <w:left w:w="0" w:type="dxa"/>
            <w:bottom w:w="0" w:type="dxa"/>
            <w:right w:w="0" w:type="dxa"/>
          </w:tblCellMar>
        </w:tblPrEx>
        <w:trPr>
          <w:trHeight w:val="360" w:hRule="atLeast"/>
          <w:jc w:val="center"/>
        </w:trPr>
        <w:tc>
          <w:tcPr>
            <w:tcW w:w="10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85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7"/>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Layout w:type="fixed"/>
          <w:tblCellMar>
            <w:top w:w="0" w:type="dxa"/>
            <w:left w:w="0" w:type="dxa"/>
            <w:bottom w:w="0" w:type="dxa"/>
            <w:right w:w="0" w:type="dxa"/>
          </w:tblCellMar>
        </w:tblPrEx>
        <w:trPr>
          <w:trHeight w:val="417" w:hRule="atLeast"/>
          <w:jc w:val="center"/>
        </w:trPr>
        <w:tc>
          <w:tcPr>
            <w:tcW w:w="1267" w:type="dxa"/>
            <w:gridSpan w:val="2"/>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267" w:type="dxa"/>
            <w:gridSpan w:val="2"/>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gridSpan w:val="2"/>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417" w:hRule="atLeast"/>
          <w:jc w:val="center"/>
        </w:trPr>
        <w:tc>
          <w:tcPr>
            <w:tcW w:w="1267" w:type="dxa"/>
            <w:gridSpan w:val="2"/>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w:t>
            </w:r>
          </w:p>
        </w:tc>
      </w:tr>
      <w:tr>
        <w:tblPrEx>
          <w:tblLayout w:type="fixed"/>
          <w:tblCellMar>
            <w:top w:w="0" w:type="dxa"/>
            <w:left w:w="0" w:type="dxa"/>
            <w:bottom w:w="0" w:type="dxa"/>
            <w:right w:w="0" w:type="dxa"/>
          </w:tblCellMar>
        </w:tblPrEx>
        <w:trPr>
          <w:trHeight w:val="417" w:hRule="atLeast"/>
          <w:jc w:val="center"/>
        </w:trPr>
        <w:tc>
          <w:tcPr>
            <w:tcW w:w="9220" w:type="dxa"/>
            <w:gridSpan w:val="7"/>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Layout w:type="fixed"/>
          <w:tblCellMar>
            <w:top w:w="0" w:type="dxa"/>
            <w:left w:w="0" w:type="dxa"/>
            <w:bottom w:w="0" w:type="dxa"/>
            <w:right w:w="0" w:type="dxa"/>
          </w:tblCellMar>
        </w:tblPrEx>
        <w:trPr>
          <w:trHeight w:val="417" w:hRule="atLeast"/>
          <w:jc w:val="center"/>
        </w:trPr>
        <w:tc>
          <w:tcPr>
            <w:tcW w:w="1267" w:type="dxa"/>
            <w:gridSpan w:val="2"/>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Layout w:type="fixed"/>
          <w:tblCellMar>
            <w:top w:w="0" w:type="dxa"/>
            <w:left w:w="0" w:type="dxa"/>
            <w:bottom w:w="0" w:type="dxa"/>
            <w:right w:w="0" w:type="dxa"/>
          </w:tblCellMar>
        </w:tblPrEx>
        <w:trPr>
          <w:trHeight w:val="417" w:hRule="atLeast"/>
          <w:jc w:val="center"/>
        </w:trPr>
        <w:tc>
          <w:tcPr>
            <w:tcW w:w="1267" w:type="dxa"/>
            <w:gridSpan w:val="2"/>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gridSpan w:val="2"/>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Layout w:type="fixed"/>
          <w:tblCellMar>
            <w:top w:w="0" w:type="dxa"/>
            <w:left w:w="0" w:type="dxa"/>
            <w:bottom w:w="0" w:type="dxa"/>
            <w:right w:w="0" w:type="dxa"/>
          </w:tblCellMar>
        </w:tblPrEx>
        <w:trPr>
          <w:trHeight w:val="447" w:hRule="atLeast"/>
          <w:jc w:val="center"/>
        </w:trPr>
        <w:tc>
          <w:tcPr>
            <w:tcW w:w="1267" w:type="dxa"/>
            <w:gridSpan w:val="2"/>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8"/>
        <w:tblW w:w="9510" w:type="dxa"/>
        <w:jc w:val="center"/>
        <w:tblInd w:w="0" w:type="dxa"/>
        <w:tblLayout w:type="fixed"/>
        <w:tblCellMar>
          <w:top w:w="0" w:type="dxa"/>
          <w:left w:w="0" w:type="dxa"/>
          <w:bottom w:w="0" w:type="dxa"/>
          <w:right w:w="0" w:type="dxa"/>
        </w:tblCellMar>
      </w:tblPr>
      <w:tblGrid>
        <w:gridCol w:w="1032"/>
        <w:gridCol w:w="60"/>
        <w:gridCol w:w="59"/>
        <w:gridCol w:w="1743"/>
        <w:gridCol w:w="200"/>
        <w:gridCol w:w="691"/>
        <w:gridCol w:w="1145"/>
        <w:gridCol w:w="1145"/>
        <w:gridCol w:w="1145"/>
        <w:gridCol w:w="1145"/>
        <w:gridCol w:w="1145"/>
      </w:tblGrid>
      <w:tr>
        <w:tblPrEx>
          <w:tblLayout w:type="fixed"/>
          <w:tblCellMar>
            <w:top w:w="0" w:type="dxa"/>
            <w:left w:w="0" w:type="dxa"/>
            <w:bottom w:w="0" w:type="dxa"/>
            <w:right w:w="0" w:type="dxa"/>
          </w:tblCellMar>
        </w:tblPrEx>
        <w:trPr>
          <w:trHeight w:val="780" w:hRule="atLeast"/>
          <w:jc w:val="center"/>
        </w:trPr>
        <w:tc>
          <w:tcPr>
            <w:tcW w:w="951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9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Layout w:type="fixed"/>
          <w:tblCellMar>
            <w:top w:w="0" w:type="dxa"/>
            <w:left w:w="0" w:type="dxa"/>
            <w:bottom w:w="0" w:type="dxa"/>
            <w:right w:w="0" w:type="dxa"/>
          </w:tblCellMar>
        </w:tblPrEx>
        <w:trPr>
          <w:trHeight w:val="255" w:hRule="atLeast"/>
          <w:jc w:val="center"/>
        </w:trPr>
        <w:tc>
          <w:tcPr>
            <w:tcW w:w="103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43"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9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309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3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Layout w:type="fixed"/>
          <w:tblCellMar>
            <w:top w:w="0" w:type="dxa"/>
            <w:left w:w="0" w:type="dxa"/>
            <w:bottom w:w="0" w:type="dxa"/>
            <w:right w:w="0" w:type="dxa"/>
          </w:tblCellMar>
        </w:tblPrEx>
        <w:trPr>
          <w:trHeight w:val="312" w:hRule="atLeast"/>
          <w:jc w:val="center"/>
        </w:trPr>
        <w:tc>
          <w:tcPr>
            <w:tcW w:w="1151"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943"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4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51"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43"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9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Layout w:type="fixed"/>
          <w:tblCellMar>
            <w:top w:w="0" w:type="dxa"/>
            <w:left w:w="0" w:type="dxa"/>
            <w:bottom w:w="0" w:type="dxa"/>
            <w:right w:w="0" w:type="dxa"/>
          </w:tblCellMar>
        </w:tblPrEx>
        <w:trPr>
          <w:trHeight w:val="308" w:hRule="atLeast"/>
          <w:jc w:val="center"/>
        </w:trPr>
        <w:tc>
          <w:tcPr>
            <w:tcW w:w="309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9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9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9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9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51"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94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黑体" w:hAnsi="宋体" w:eastAsia="黑体" w:cs="黑体"/>
          <w:color w:val="000000"/>
          <w:kern w:val="0"/>
          <w:sz w:val="32"/>
          <w:szCs w:val="32"/>
        </w:rPr>
        <w:t>无政府性基金预算财政拨款收入，以空表列示。</w:t>
      </w:r>
      <w:r>
        <w:br w:type="page"/>
      </w:r>
    </w:p>
    <w:tbl>
      <w:tblPr>
        <w:tblStyle w:val="8"/>
        <w:tblW w:w="9918" w:type="dxa"/>
        <w:jc w:val="center"/>
        <w:tblInd w:w="0" w:type="dxa"/>
        <w:tblLayout w:type="fixed"/>
        <w:tblCellMar>
          <w:top w:w="0" w:type="dxa"/>
          <w:left w:w="0" w:type="dxa"/>
          <w:bottom w:w="0" w:type="dxa"/>
          <w:right w:w="0" w:type="dxa"/>
        </w:tblCellMar>
      </w:tblPr>
      <w:tblGrid>
        <w:gridCol w:w="1169"/>
        <w:gridCol w:w="67"/>
        <w:gridCol w:w="67"/>
        <w:gridCol w:w="4367"/>
        <w:gridCol w:w="872"/>
        <w:gridCol w:w="1688"/>
        <w:gridCol w:w="1688"/>
      </w:tblGrid>
      <w:tr>
        <w:tblPrEx>
          <w:tblLayout w:type="fixed"/>
          <w:tblCellMar>
            <w:top w:w="0" w:type="dxa"/>
            <w:left w:w="0" w:type="dxa"/>
            <w:bottom w:w="0" w:type="dxa"/>
            <w:right w:w="0" w:type="dxa"/>
          </w:tblCellMar>
        </w:tblPrEx>
        <w:trPr>
          <w:trHeight w:val="840" w:hRule="atLeast"/>
          <w:jc w:val="center"/>
        </w:trPr>
        <w:tc>
          <w:tcPr>
            <w:tcW w:w="9918"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16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7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7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Layout w:type="fixed"/>
          <w:tblCellMar>
            <w:top w:w="0" w:type="dxa"/>
            <w:left w:w="0" w:type="dxa"/>
            <w:bottom w:w="0" w:type="dxa"/>
            <w:right w:w="0" w:type="dxa"/>
          </w:tblCellMar>
        </w:tblPrEx>
        <w:trPr>
          <w:trHeight w:val="255" w:hRule="atLeast"/>
          <w:jc w:val="center"/>
        </w:trPr>
        <w:tc>
          <w:tcPr>
            <w:tcW w:w="1169"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3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鹿泉区供销合作总社</w:t>
            </w:r>
            <w:bookmarkStart w:id="0" w:name="_GoBack"/>
            <w:bookmarkEnd w:id="0"/>
          </w:p>
        </w:tc>
        <w:tc>
          <w:tcPr>
            <w:tcW w:w="87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7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Layout w:type="fixed"/>
          <w:tblCellMar>
            <w:top w:w="0" w:type="dxa"/>
            <w:left w:w="0" w:type="dxa"/>
            <w:bottom w:w="0" w:type="dxa"/>
            <w:right w:w="0" w:type="dxa"/>
          </w:tblCellMar>
        </w:tblPrEx>
        <w:trPr>
          <w:trHeight w:val="308" w:hRule="atLeast"/>
          <w:jc w:val="center"/>
        </w:trPr>
        <w:tc>
          <w:tcPr>
            <w:tcW w:w="567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248"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Layout w:type="fixed"/>
          <w:tblCellMar>
            <w:top w:w="0" w:type="dxa"/>
            <w:left w:w="0" w:type="dxa"/>
            <w:bottom w:w="0" w:type="dxa"/>
            <w:right w:w="0" w:type="dxa"/>
          </w:tblCellMar>
        </w:tblPrEx>
        <w:trPr>
          <w:trHeight w:val="615"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Layout w:type="fixed"/>
          <w:tblCellMar>
            <w:top w:w="0" w:type="dxa"/>
            <w:left w:w="0" w:type="dxa"/>
            <w:bottom w:w="0" w:type="dxa"/>
            <w:right w:w="0" w:type="dxa"/>
          </w:tblCellMar>
        </w:tblPrEx>
        <w:trPr>
          <w:trHeight w:val="308" w:hRule="atLeast"/>
          <w:jc w:val="center"/>
        </w:trPr>
        <w:tc>
          <w:tcPr>
            <w:tcW w:w="567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Layout w:type="fixed"/>
          <w:tblCellMar>
            <w:top w:w="0" w:type="dxa"/>
            <w:left w:w="0" w:type="dxa"/>
            <w:bottom w:w="0" w:type="dxa"/>
            <w:right w:w="0" w:type="dxa"/>
          </w:tblCellMar>
        </w:tblPrEx>
        <w:trPr>
          <w:trHeight w:val="308" w:hRule="atLeast"/>
          <w:jc w:val="center"/>
        </w:trPr>
        <w:tc>
          <w:tcPr>
            <w:tcW w:w="567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3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黑体" w:hAnsi="宋体" w:eastAsia="黑体" w:cs="黑体"/>
          <w:color w:val="000000"/>
          <w:kern w:val="0"/>
          <w:sz w:val="32"/>
          <w:szCs w:val="32"/>
        </w:rPr>
        <w:t>无国有资本经营预算财政拨款，以空表列示。</w:t>
      </w:r>
      <w:r>
        <w:br w:type="page"/>
      </w:r>
    </w:p>
    <w:p>
      <w:r>
        <w:pict>
          <v:rect id="_x0000_s1027" o:spid="_x0000_s1027"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3" w:type="first"/>
      <w:headerReference r:id="rId22" w:type="default"/>
      <w:footerReference r:id="rId2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 w:name="等线 Light">
    <w:panose1 w:val="02010600030101010101"/>
    <w:charset w:val="86"/>
    <w:family w:val="roman"/>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59264;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8240;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2834816;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2831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283276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89171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89273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88556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88659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706368;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705344;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754496;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755520;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75756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75654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5988"/>
    <w:rsid w:val="00012F77"/>
    <w:rsid w:val="00043914"/>
    <w:rsid w:val="000635C7"/>
    <w:rsid w:val="0007063E"/>
    <w:rsid w:val="00073392"/>
    <w:rsid w:val="00073F4E"/>
    <w:rsid w:val="00086C89"/>
    <w:rsid w:val="000A39FB"/>
    <w:rsid w:val="000B687B"/>
    <w:rsid w:val="000C6EA1"/>
    <w:rsid w:val="00117746"/>
    <w:rsid w:val="00163F95"/>
    <w:rsid w:val="00180A9A"/>
    <w:rsid w:val="001829C0"/>
    <w:rsid w:val="00184809"/>
    <w:rsid w:val="00192112"/>
    <w:rsid w:val="001B0127"/>
    <w:rsid w:val="001C12D5"/>
    <w:rsid w:val="001C69F7"/>
    <w:rsid w:val="001D6F97"/>
    <w:rsid w:val="002650EC"/>
    <w:rsid w:val="002A6C46"/>
    <w:rsid w:val="002C19B5"/>
    <w:rsid w:val="0030617D"/>
    <w:rsid w:val="00391E40"/>
    <w:rsid w:val="003A4EE8"/>
    <w:rsid w:val="00442CC2"/>
    <w:rsid w:val="00446244"/>
    <w:rsid w:val="00460C33"/>
    <w:rsid w:val="00473C20"/>
    <w:rsid w:val="004D61CB"/>
    <w:rsid w:val="005011D6"/>
    <w:rsid w:val="00503F2E"/>
    <w:rsid w:val="00521D62"/>
    <w:rsid w:val="0053745E"/>
    <w:rsid w:val="00552226"/>
    <w:rsid w:val="00566120"/>
    <w:rsid w:val="00582E6D"/>
    <w:rsid w:val="005954D5"/>
    <w:rsid w:val="005A53FA"/>
    <w:rsid w:val="005A7F4D"/>
    <w:rsid w:val="005D1293"/>
    <w:rsid w:val="00644D5F"/>
    <w:rsid w:val="00657F86"/>
    <w:rsid w:val="006727AD"/>
    <w:rsid w:val="00691425"/>
    <w:rsid w:val="006A516E"/>
    <w:rsid w:val="006B0830"/>
    <w:rsid w:val="006B77B1"/>
    <w:rsid w:val="00716E2B"/>
    <w:rsid w:val="00744C70"/>
    <w:rsid w:val="00770F18"/>
    <w:rsid w:val="00773B74"/>
    <w:rsid w:val="0078290C"/>
    <w:rsid w:val="007B5251"/>
    <w:rsid w:val="007C06CA"/>
    <w:rsid w:val="0080059F"/>
    <w:rsid w:val="008163FB"/>
    <w:rsid w:val="0082605B"/>
    <w:rsid w:val="00840F3B"/>
    <w:rsid w:val="00855C36"/>
    <w:rsid w:val="0085707C"/>
    <w:rsid w:val="00857DBE"/>
    <w:rsid w:val="008701BC"/>
    <w:rsid w:val="00883D92"/>
    <w:rsid w:val="008A5362"/>
    <w:rsid w:val="008F21F1"/>
    <w:rsid w:val="008F221B"/>
    <w:rsid w:val="008F5A2D"/>
    <w:rsid w:val="00921602"/>
    <w:rsid w:val="00957EA1"/>
    <w:rsid w:val="00966E5B"/>
    <w:rsid w:val="009B4EF0"/>
    <w:rsid w:val="009D271F"/>
    <w:rsid w:val="00A66350"/>
    <w:rsid w:val="00A929C2"/>
    <w:rsid w:val="00AD097F"/>
    <w:rsid w:val="00B844F4"/>
    <w:rsid w:val="00BA06A1"/>
    <w:rsid w:val="00BA770A"/>
    <w:rsid w:val="00BD384A"/>
    <w:rsid w:val="00BE52DA"/>
    <w:rsid w:val="00C054DE"/>
    <w:rsid w:val="00C46B58"/>
    <w:rsid w:val="00C679A9"/>
    <w:rsid w:val="00C7541C"/>
    <w:rsid w:val="00CC0FAA"/>
    <w:rsid w:val="00CD0736"/>
    <w:rsid w:val="00CF4CB4"/>
    <w:rsid w:val="00D1570F"/>
    <w:rsid w:val="00D32830"/>
    <w:rsid w:val="00D64D59"/>
    <w:rsid w:val="00DB7153"/>
    <w:rsid w:val="00DB7F05"/>
    <w:rsid w:val="00DE2332"/>
    <w:rsid w:val="00E028C3"/>
    <w:rsid w:val="00E14F77"/>
    <w:rsid w:val="00E3076B"/>
    <w:rsid w:val="00E36978"/>
    <w:rsid w:val="00E82A1E"/>
    <w:rsid w:val="00EA05EC"/>
    <w:rsid w:val="00EC06F4"/>
    <w:rsid w:val="00ED2ADA"/>
    <w:rsid w:val="00EE4E36"/>
    <w:rsid w:val="00F034AF"/>
    <w:rsid w:val="00F17940"/>
    <w:rsid w:val="00F20FFC"/>
    <w:rsid w:val="00F665F4"/>
    <w:rsid w:val="00F97306"/>
    <w:rsid w:val="00FD225F"/>
    <w:rsid w:val="05B00A30"/>
    <w:rsid w:val="0B011416"/>
    <w:rsid w:val="1D6A6682"/>
    <w:rsid w:val="31C2036A"/>
    <w:rsid w:val="320D02A5"/>
    <w:rsid w:val="348E566F"/>
    <w:rsid w:val="3A226944"/>
    <w:rsid w:val="3AEE6A48"/>
    <w:rsid w:val="3C1620AA"/>
    <w:rsid w:val="3D8F080F"/>
    <w:rsid w:val="44CE1FA4"/>
    <w:rsid w:val="487F73ED"/>
    <w:rsid w:val="4A347EAE"/>
    <w:rsid w:val="52600405"/>
    <w:rsid w:val="529B4319"/>
    <w:rsid w:val="57773DD6"/>
    <w:rsid w:val="578B79AB"/>
    <w:rsid w:val="5CCD3FD5"/>
    <w:rsid w:val="61FA5F9D"/>
    <w:rsid w:val="64CD6910"/>
    <w:rsid w:val="6789158D"/>
    <w:rsid w:val="67D81BA4"/>
    <w:rsid w:val="6AAF1C96"/>
    <w:rsid w:val="75681757"/>
    <w:rsid w:val="75A346A8"/>
    <w:rsid w:val="79B9382C"/>
    <w:rsid w:val="7B043B76"/>
    <w:rsid w:val="7C041A6A"/>
    <w:rsid w:val="7E327570"/>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onnector" idref="#_x0000_s1056"/>
        <o:r id="V:Rule2" type="connector" idref="#_x0000_s1057"/>
        <o:r id="V:Rule3" type="connector" idref="#_x0000_s1058"/>
        <o:r id="V:Rule4" type="connector" idref="#_x0000_s1059"/>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7">
    <w:name w:val="Default Paragraph Font"/>
    <w:unhideWhenUsed/>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9">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Char"/>
    <w:basedOn w:val="7"/>
    <w:link w:val="6"/>
    <w:qFormat/>
    <w:uiPriority w:val="99"/>
    <w:rPr>
      <w:rFonts w:asciiTheme="minorHAnsi" w:hAnsiTheme="minorHAnsi" w:eastAsiaTheme="minorEastAsia"/>
      <w:sz w:val="18"/>
      <w:szCs w:val="18"/>
    </w:rPr>
  </w:style>
  <w:style w:type="character" w:customStyle="1" w:styleId="11">
    <w:name w:val="页脚 Char"/>
    <w:basedOn w:val="7"/>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7"/>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customXml" Target="../customXml/item2.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2.GIF"/><Relationship Id="rId25" Type="http://schemas.openxmlformats.org/officeDocument/2006/relationships/theme" Target="theme/theme1.xml"/><Relationship Id="rId24" Type="http://schemas.openxmlformats.org/officeDocument/2006/relationships/footer" Target="footer8.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53"/>
    <customShpInfo spid="_x0000_s1054"/>
    <customShpInfo spid="_x0000_s1056"/>
    <customShpInfo spid="_x0000_s1057"/>
    <customShpInfo spid="_x0000_s1055"/>
    <customShpInfo spid="_x0000_s1058"/>
    <customShpInfo spid="_x0000_s1059"/>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54F351B-51CA-4678-B194-33202CC0049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34</Pages>
  <Words>1911</Words>
  <Characters>10899</Characters>
  <Lines>90</Lines>
  <Paragraphs>25</Paragraphs>
  <TotalTime>0</TotalTime>
  <ScaleCrop>false</ScaleCrop>
  <LinksUpToDate>false</LinksUpToDate>
  <CharactersWithSpaces>12785</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2021-06-17T09:09:47Z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