
<file path=[Content_Types].xml><?xml version="1.0" encoding="utf-8"?>
<Types xmlns="http://schemas.openxmlformats.org/package/2006/content-types">
  <Default Extension="xml" ContentType="application/xml"/>
  <Default Extension="bmp" ContentType="image/bmp"/>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4" w:type="first"/>
          <w:footerReference r:id="rId6" w:type="first"/>
          <w:headerReference r:id="rId3" w:type="default"/>
          <w:footerReference r:id="rId5" w:type="default"/>
          <w:pgSz w:w="11906" w:h="16838"/>
          <w:pgMar w:top="0" w:right="0" w:bottom="0" w:left="0" w:header="851" w:footer="992" w:gutter="0"/>
          <w:pgBorders>
            <w:top w:val="none" w:sz="0" w:space="0"/>
            <w:left w:val="none" w:sz="0" w:space="0"/>
            <w:bottom w:val="none" w:sz="0" w:space="0"/>
            <w:right w:val="none" w:sz="0" w:space="0"/>
          </w:pgBorders>
          <w:cols w:space="425" w:num="2"/>
          <w:titlePg/>
          <w:docGrid w:type="lines" w:linePitch="312" w:charSpace="0"/>
        </w:sectPr>
      </w:pPr>
      <w:r>
        <mc:AlternateContent>
          <mc:Choice Requires="wpg">
            <w:drawing>
              <wp:anchor distT="0" distB="0" distL="114300" distR="114300" simplePos="0" relativeHeight="251664384" behindDoc="1" locked="0" layoutInCell="1" allowOverlap="1">
                <wp:simplePos x="0" y="0"/>
                <wp:positionH relativeFrom="column">
                  <wp:posOffset>-31750</wp:posOffset>
                </wp:positionH>
                <wp:positionV relativeFrom="paragraph">
                  <wp:posOffset>0</wp:posOffset>
                </wp:positionV>
                <wp:extent cx="7623175" cy="3917950"/>
                <wp:effectExtent l="0" t="0" r="0" b="0"/>
                <wp:wrapNone/>
                <wp:docPr id="23" name="组合 2"/>
                <wp:cNvGraphicFramePr/>
                <a:graphic xmlns:a="http://schemas.openxmlformats.org/drawingml/2006/main">
                  <a:graphicData uri="http://schemas.microsoft.com/office/word/2010/wordprocessingGroup">
                    <wpg:wgp>
                      <wpg:cNvGrpSpPr/>
                      <wpg:grpSpPr>
                        <a:xfrm>
                          <a:off x="0" y="0"/>
                          <a:ext cx="7623175" cy="3917950"/>
                          <a:chOff x="13622" y="283"/>
                          <a:chExt cx="12005" cy="6170"/>
                        </a:xfrm>
                      </wpg:grpSpPr>
                      <wps:wsp>
                        <wps:cNvPr id="21" name="矩形 5"/>
                        <wps:cNvSpPr/>
                        <wps:spPr>
                          <a:xfrm>
                            <a:off x="13622" y="283"/>
                            <a:ext cx="12005" cy="6170"/>
                          </a:xfrm>
                          <a:prstGeom prst="rect">
                            <a:avLst/>
                          </a:prstGeom>
                          <a:solidFill>
                            <a:srgbClr val="FDBC11"/>
                          </a:solidFill>
                          <a:ln w="12700">
                            <a:noFill/>
                          </a:ln>
                        </wps:spPr>
                        <wps:bodyPr anchor="ctr" anchorCtr="0" upright="1"/>
                      </wps:wsp>
                      <wps:wsp>
                        <wps:cNvPr id="22" name="文本框 4"/>
                        <wps:cNvSpPr txBox="1"/>
                        <wps:spPr>
                          <a:xfrm>
                            <a:off x="17229" y="5021"/>
                            <a:ext cx="8083" cy="1392"/>
                          </a:xfrm>
                          <a:prstGeom prst="rect">
                            <a:avLst/>
                          </a:prstGeom>
                          <a:noFill/>
                          <a:ln>
                            <a:noFill/>
                          </a:ln>
                        </wps:spPr>
                        <wps:txbx>
                          <w:txbxContent>
                            <w:p>
                              <w:pPr>
                                <w:jc w:val="left"/>
                                <w:rPr>
                                  <w:color w:val="000000"/>
                                  <w:kern w:val="0"/>
                                  <w:sz w:val="92"/>
                                  <w:szCs w:val="92"/>
                                </w:rPr>
                              </w:pPr>
                              <w:r>
                                <w:rPr>
                                  <w:rFonts w:hint="eastAsia" w:ascii="思源黑体 HW Bold" w:hAnsi="思源黑体 HW Bold" w:eastAsia="思源黑体 HW Bold"/>
                                  <w:color w:val="000000"/>
                                  <w:kern w:val="24"/>
                                  <w:sz w:val="92"/>
                                  <w:szCs w:val="92"/>
                                </w:rPr>
                                <w:t>部门决算公开文本</w:t>
                              </w:r>
                            </w:p>
                          </w:txbxContent>
                        </wps:txbx>
                        <wps:bodyPr upright="1">
                          <a:spAutoFit/>
                        </wps:bodyPr>
                      </wps:wsp>
                    </wpg:wgp>
                  </a:graphicData>
                </a:graphic>
              </wp:anchor>
            </w:drawing>
          </mc:Choice>
          <mc:Fallback>
            <w:pict>
              <v:group id="组合 2" o:spid="_x0000_s1026" o:spt="203" style="position:absolute;left:0pt;margin-left:-2.5pt;margin-top:0pt;height:308.5pt;width:600.25pt;z-index:-251652096;mso-width-relative:page;mso-height-relative:page;" coordorigin="13622,283" coordsize="12005,6170" o:gfxdata="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">
                <o:lock v:ext="edit" aspectratio="f"/>
                <v:rect id="矩形 5" o:spid="_x0000_s1026" o:spt="1" style="position:absolute;left:13622;top:283;height:6170;width:12005;v-text-anchor:middle;" fillcolor="#FDBC11" filled="t" stroked="f" coordsize="21600,21600" o:gfxdata="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KN1W74A&#10;AADbAAAADwAAAAAAAAABACAAAAAiAAAAZHJzL2Rvd25yZXYueG1sUEsBAhQAFAAAAAgAh07iQDMv&#10;BZ47AAAAOQAAABAAAAAAAAAAAQAgAAAADQEAAGRycy9zaGFwZXhtbC54bWxQSwUGAAAAAAYABgBb&#10;AQAAtwMAAAAA&#10;">
                  <v:fill on="t" focussize="0,0"/>
                  <v:stroke on="f" weight="1pt"/>
                  <v:imagedata o:title=""/>
                  <o:lock v:ext="edit" aspectratio="f"/>
                </v:rect>
                <v:shape id="文本框 4" o:spid="_x0000_s1026" o:spt="202" type="#_x0000_t202" style="position:absolute;left:17229;top:5021;height:1392;width:8083;" filled="f" stroked="f" coordsize="21600,21600" o:gfxdata="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ELFZrsAAADb&#10;AAAADwAAAAAAAAABACAAAAAiAAAAZHJzL2Rvd25yZXYueG1sUEsBAhQAFAAAAAgAh07iQDMvBZ47&#10;AAAAOQAAABAAAAAAAAAAAQAgAAAACgEAAGRycy9zaGFwZXhtbC54bWxQSwUGAAAAAAYABgBbAQAA&#10;tAMAAAAA&#10;">
                  <v:fill on="f" focussize="0,0"/>
                  <v:stroke on="f"/>
                  <v:imagedata o:title=""/>
                  <o:lock v:ext="edit" aspectratio="f"/>
                  <v:textbox style="mso-fit-shape-to-text:t;">
                    <w:txbxContent>
                      <w:p>
                        <w:pPr>
                          <w:jc w:val="left"/>
                          <w:rPr>
                            <w:color w:val="000000"/>
                            <w:kern w:val="0"/>
                            <w:sz w:val="92"/>
                            <w:szCs w:val="92"/>
                          </w:rPr>
                        </w:pPr>
                        <w:r>
                          <w:rPr>
                            <w:rFonts w:hint="eastAsia" w:ascii="思源黑体 HW Bold" w:hAnsi="思源黑体 HW Bold" w:eastAsia="思源黑体 HW Bold"/>
                            <w:color w:val="000000"/>
                            <w:kern w:val="24"/>
                            <w:sz w:val="92"/>
                            <w:szCs w:val="92"/>
                          </w:rPr>
                          <w:t>部门决算公开文本</w:t>
                        </w:r>
                      </w:p>
                    </w:txbxContent>
                  </v:textbox>
                </v:shape>
              </v:group>
            </w:pict>
          </mc:Fallback>
        </mc:AlternateContent>
      </w:r>
      <w:r>
        <mc:AlternateContent>
          <mc:Choice Requires="wps">
            <w:drawing>
              <wp:anchor distT="0" distB="0" distL="114300" distR="114300" simplePos="0" relativeHeight="25165414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6"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a:ln>
                          <a:noFill/>
                        </a:ln>
                      </wps:spPr>
                      <wps:txbx>
                        <w:txbxContent>
                          <w:p>
                            <w:pPr>
                              <w:jc w:val="center"/>
                              <w:rPr>
                                <w:rFonts w:ascii="楷体_GB2312" w:hAnsi="楷体_GB2312" w:eastAsia="楷体_GB2312" w:cs="楷体_GB2312"/>
                                <w:color w:val="000000"/>
                                <w:kern w:val="0"/>
                                <w:sz w:val="44"/>
                                <w:szCs w:val="44"/>
                              </w:rPr>
                            </w:pPr>
                            <w:r>
                              <w:rPr>
                                <w:rFonts w:hint="eastAsia" w:ascii="楷体_GB2312" w:hAnsi="楷体_GB2312" w:eastAsia="楷体_GB2312" w:cs="楷体_GB2312"/>
                                <w:color w:val="000000"/>
                                <w:kern w:val="0"/>
                                <w:sz w:val="44"/>
                                <w:szCs w:val="44"/>
                              </w:rPr>
                              <w:t>二〇二〇年十一月</w:t>
                            </w:r>
                          </w:p>
                        </w:txbxContent>
                      </wps:txbx>
                      <wps:bodyPr upright="1">
                        <a:spAutoFit/>
                      </wps:bodyPr>
                    </wps:wsp>
                  </a:graphicData>
                </a:graphic>
              </wp:anchor>
            </w:drawing>
          </mc:Choice>
          <mc:Fallback>
            <w:pict>
              <v:shape id="文本框 10" o:spid="_x0000_s1026" o:spt="202" type="#_x0000_t202" style="position:absolute;left:0pt;margin-left:106.25pt;margin-top:693.55pt;height:79.95pt;width:404.15pt;z-index:25165414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">
                <v:fill on="f" focussize="0,0"/>
                <v:stroke on="f"/>
                <v:imagedata o:title=""/>
                <o:lock v:ext="edit" aspectratio="f"/>
                <v:textbox style="mso-fit-shape-to-text:t;">
                  <w:txbxContent>
                    <w:p>
                      <w:pPr>
                        <w:jc w:val="center"/>
                        <w:rPr>
                          <w:rFonts w:ascii="楷体_GB2312" w:hAnsi="楷体_GB2312" w:eastAsia="楷体_GB2312" w:cs="楷体_GB2312"/>
                          <w:color w:val="000000"/>
                          <w:kern w:val="0"/>
                          <w:sz w:val="44"/>
                          <w:szCs w:val="44"/>
                        </w:rPr>
                      </w:pPr>
                      <w:r>
                        <w:rPr>
                          <w:rFonts w:hint="eastAsia" w:ascii="楷体_GB2312" w:hAnsi="楷体_GB2312" w:eastAsia="楷体_GB2312" w:cs="楷体_GB2312"/>
                          <w:color w:val="000000"/>
                          <w:kern w:val="0"/>
                          <w:sz w:val="44"/>
                          <w:szCs w:val="44"/>
                        </w:rPr>
                        <w:t>二〇二〇年十一月</w:t>
                      </w:r>
                    </w:p>
                  </w:txbxContent>
                </v:textbox>
              </v:shape>
            </w:pict>
          </mc:Fallback>
        </mc:AlternateContent>
      </w:r>
      <w:r>
        <mc:AlternateContent>
          <mc:Choice Requires="wps">
            <w:drawing>
              <wp:anchor distT="0" distB="0" distL="114300" distR="114300" simplePos="0" relativeHeight="251651072" behindDoc="0" locked="0" layoutInCell="1" allowOverlap="1">
                <wp:simplePos x="0" y="0"/>
                <wp:positionH relativeFrom="column">
                  <wp:posOffset>679450</wp:posOffset>
                </wp:positionH>
                <wp:positionV relativeFrom="paragraph">
                  <wp:posOffset>2952115</wp:posOffset>
                </wp:positionV>
                <wp:extent cx="1548765" cy="1548765"/>
                <wp:effectExtent l="0" t="0" r="0" b="0"/>
                <wp:wrapNone/>
                <wp:docPr id="1" name="椭圆 8"/>
                <wp:cNvGraphicFramePr/>
                <a:graphic xmlns:a="http://schemas.openxmlformats.org/drawingml/2006/main">
                  <a:graphicData uri="http://schemas.microsoft.com/office/word/2010/wordprocessingShape">
                    <wps:wsp>
                      <wps:cNvSpPr/>
                      <wps:spPr>
                        <a:xfrm>
                          <a:off x="0" y="0"/>
                          <a:ext cx="1548765" cy="1548765"/>
                        </a:xfrm>
                        <a:prstGeom prst="ellipse">
                          <a:avLst/>
                        </a:prstGeom>
                        <a:solidFill>
                          <a:srgbClr val="FFFFFF"/>
                        </a:solidFill>
                        <a:ln w="12700">
                          <a:noFill/>
                        </a:ln>
                      </wps:spPr>
                      <wps:txbx>
                        <w:txbxContent>
                          <w:p>
                            <w:pPr>
                              <w:jc w:val="center"/>
                            </w:pPr>
                          </w:p>
                        </w:txbxContent>
                      </wps:txbx>
                      <wps:bodyPr anchor="ctr" anchorCtr="0" upright="1"/>
                    </wps:wsp>
                  </a:graphicData>
                </a:graphic>
              </wp:anchor>
            </w:drawing>
          </mc:Choice>
          <mc:Fallback>
            <w:pict>
              <v:shape id="椭圆 8" o:spid="_x0000_s1026" o:spt="3" type="#_x0000_t3" style="position:absolute;left:0pt;margin-left:53.5pt;margin-top:232.45pt;height:121.95pt;width:121.95pt;z-index:251651072;v-text-anchor:middle;mso-width-relative:page;mso-height-relative:page;" fillcolor="#FFFFFF" filled="t" stroked="f" coordsize="21600,21600" o:gfxdata="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UesZGNoAAAALAQAADwAAAAAAAAABACAAAAAiAAAAZHJzL2Rvd25yZXYueG1sUEsBAhQAFAAAAAgA&#10;h07iQO+namaxAQAARQMAAA4AAAAAAAAAAQAgAAAAKQEAAGRycy9lMm9Eb2MueG1sUEsFBgAAAAAG&#10;AAYAWQEAAEwFAAAAAA==&#10;">
                <v:fill on="t" focussize="0,0"/>
                <v:stroke on="f" weight="1pt"/>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5619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8" name="矩形 14"/>
                <wp:cNvGraphicFramePr/>
                <a:graphic xmlns:a="http://schemas.openxmlformats.org/drawingml/2006/main">
                  <a:graphicData uri="http://schemas.microsoft.com/office/word/2010/wordprocessingShape">
                    <wps:wsp>
                      <wps:cNvSpPr/>
                      <wps:spPr>
                        <a:xfrm>
                          <a:off x="0" y="0"/>
                          <a:ext cx="2040255" cy="883920"/>
                        </a:xfrm>
                        <a:prstGeom prst="rect">
                          <a:avLst/>
                        </a:prstGeom>
                        <a:noFill/>
                        <a:ln>
                          <a:noFill/>
                        </a:ln>
                      </wps:spPr>
                      <wps:txbx>
                        <w:txbxContent>
                          <w:p>
                            <w:pPr>
                              <w:spacing w:line="360" w:lineRule="auto"/>
                              <w:jc w:val="center"/>
                              <w:rPr>
                                <w:kern w:val="0"/>
                                <w:sz w:val="28"/>
                                <w:szCs w:val="28"/>
                              </w:rPr>
                            </w:pPr>
                            <w:r>
                              <w:rPr>
                                <w:rFonts w:ascii="Yu Gothic UI Semibold" w:hAnsi="Yu Gothic UI Semibold" w:eastAsia="宋体"/>
                                <w:color w:val="FFFFFF"/>
                                <w:kern w:val="24"/>
                                <w:sz w:val="72"/>
                                <w:szCs w:val="72"/>
                              </w:rPr>
                              <w:t>2019</w:t>
                            </w:r>
                          </w:p>
                        </w:txbxContent>
                      </wps:txbx>
                      <wps:bodyPr upright="1">
                        <a:spAutoFit/>
                      </wps:bodyPr>
                    </wps:wsp>
                  </a:graphicData>
                </a:graphic>
              </wp:anchor>
            </w:drawing>
          </mc:Choice>
          <mc:Fallback>
            <w:pict>
              <v:rect id="矩形 14" o:spid="_x0000_s1026" o:spt="1" style="position:absolute;left:0pt;margin-left:33.6pt;margin-top:256.75pt;height:69.6pt;width:160.65pt;z-index:25165619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">
                <v:fill on="f" focussize="0,0"/>
                <v:stroke on="f"/>
                <v:imagedata o:title=""/>
                <o:lock v:ext="edit" aspectratio="f"/>
                <v:textbox style="mso-fit-shape-to-text:t;">
                  <w:txbxContent>
                    <w:p>
                      <w:pPr>
                        <w:spacing w:line="360" w:lineRule="auto"/>
                        <w:jc w:val="center"/>
                        <w:rPr>
                          <w:kern w:val="0"/>
                          <w:sz w:val="28"/>
                          <w:szCs w:val="28"/>
                        </w:rPr>
                      </w:pPr>
                      <w:r>
                        <w:rPr>
                          <w:rFonts w:ascii="Yu Gothic UI Semibold" w:hAnsi="Yu Gothic UI Semibold" w:eastAsia="宋体"/>
                          <w:color w:val="FFFFFF"/>
                          <w:kern w:val="24"/>
                          <w:sz w:val="72"/>
                          <w:szCs w:val="72"/>
                        </w:rPr>
                        <w:t>2019</w:t>
                      </w:r>
                    </w:p>
                  </w:txbxContent>
                </v:textbox>
              </v:rect>
            </w:pict>
          </mc:Fallback>
        </mc:AlternateContent>
      </w:r>
      <w:r>
        <mc:AlternateContent>
          <mc:Choice Requires="wps">
            <w:drawing>
              <wp:anchor distT="0" distB="0" distL="114300" distR="114300" simplePos="0" relativeHeight="251655168" behindDoc="0" locked="0" layoutInCell="1" allowOverlap="1">
                <wp:simplePos x="0" y="0"/>
                <wp:positionH relativeFrom="column">
                  <wp:posOffset>789940</wp:posOffset>
                </wp:positionH>
                <wp:positionV relativeFrom="paragraph">
                  <wp:posOffset>3082925</wp:posOffset>
                </wp:positionV>
                <wp:extent cx="1313815" cy="1313815"/>
                <wp:effectExtent l="0" t="0" r="0" b="0"/>
                <wp:wrapNone/>
                <wp:docPr id="7" name="椭圆 9"/>
                <wp:cNvGraphicFramePr/>
                <a:graphic xmlns:a="http://schemas.openxmlformats.org/drawingml/2006/main">
                  <a:graphicData uri="http://schemas.microsoft.com/office/word/2010/wordprocessingShape">
                    <wps:wsp>
                      <wps:cNvSpPr/>
                      <wps:spPr>
                        <a:xfrm>
                          <a:off x="0" y="0"/>
                          <a:ext cx="1313815" cy="1313815"/>
                        </a:xfrm>
                        <a:prstGeom prst="ellipse">
                          <a:avLst/>
                        </a:prstGeom>
                        <a:solidFill>
                          <a:srgbClr val="1F2959"/>
                        </a:solidFill>
                        <a:ln w="12700">
                          <a:noFill/>
                        </a:ln>
                      </wps:spPr>
                      <wps:txbx>
                        <w:txbxContent>
                          <w:p>
                            <w:pPr>
                              <w:jc w:val="center"/>
                            </w:pPr>
                          </w:p>
                        </w:txbxContent>
                      </wps:txbx>
                      <wps:bodyPr anchor="ctr" anchorCtr="0" upright="1"/>
                    </wps:wsp>
                  </a:graphicData>
                </a:graphic>
              </wp:anchor>
            </w:drawing>
          </mc:Choice>
          <mc:Fallback>
            <w:pict>
              <v:shape id="椭圆 9" o:spid="_x0000_s1026" o:spt="3" type="#_x0000_t3" style="position:absolute;left:0pt;margin-left:62.2pt;margin-top:242.75pt;height:103.45pt;width:103.45pt;z-index:251655168;v-text-anchor:middle;mso-width-relative:page;mso-height-relative:page;" fillcolor="#1F2959" filled="t" stroked="f" coordsize="21600,21600" o:gfxdata="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HnP3xNsAAAALAQAADwAAAAAAAAABACAAAAAiAAAAZHJzL2Rvd25yZXYueG1sUEsBAhQAFAAAAAgA&#10;h07iQAaE0dawAQAARQMAAA4AAAAAAAAAAQAgAAAAKgEAAGRycy9lMm9Eb2MueG1sUEsFBgAAAAAG&#10;AAYAWQEAAEwFAAAAAA==&#10;">
                <v:fill on="t" focussize="0,0"/>
                <v:stroke on="f" weight="1pt"/>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52096" behindDoc="0" locked="0" layoutInCell="1" allowOverlap="1">
                <wp:simplePos x="0" y="0"/>
                <wp:positionH relativeFrom="column">
                  <wp:posOffset>15875</wp:posOffset>
                </wp:positionH>
                <wp:positionV relativeFrom="paragraph">
                  <wp:posOffset>10435590</wp:posOffset>
                </wp:positionV>
                <wp:extent cx="7559675" cy="272415"/>
                <wp:effectExtent l="0" t="0" r="0" b="0"/>
                <wp:wrapNone/>
                <wp:docPr id="4" name="组合 9"/>
                <wp:cNvGraphicFramePr/>
                <a:graphic xmlns:a="http://schemas.openxmlformats.org/drawingml/2006/main">
                  <a:graphicData uri="http://schemas.microsoft.com/office/word/2010/wordprocessingGroup">
                    <wpg:wgp>
                      <wpg:cNvGrpSpPr/>
                      <wpg:grpSpPr>
                        <a:xfrm>
                          <a:off x="0" y="0"/>
                          <a:ext cx="7559675" cy="272415"/>
                          <a:chOff x="1483" y="16692"/>
                          <a:chExt cx="11905" cy="429203"/>
                        </a:xfrm>
                      </wpg:grpSpPr>
                      <wps:wsp>
                        <wps:cNvPr id="2" name="矩形 6"/>
                        <wps:cNvSpPr/>
                        <wps:spPr>
                          <a:xfrm>
                            <a:off x="1483" y="16692"/>
                            <a:ext cx="1125" cy="428"/>
                          </a:xfrm>
                          <a:prstGeom prst="rect">
                            <a:avLst/>
                          </a:prstGeom>
                          <a:solidFill>
                            <a:srgbClr val="FDBC11"/>
                          </a:solidFill>
                          <a:ln w="12700">
                            <a:noFill/>
                          </a:ln>
                        </wps:spPr>
                        <wps:bodyPr anchor="ctr" anchorCtr="0" upright="1"/>
                      </wps:wsp>
                      <wps:wsp>
                        <wps:cNvPr id="3" name="矩形 7"/>
                        <wps:cNvSpPr/>
                        <wps:spPr>
                          <a:xfrm>
                            <a:off x="2608" y="16693"/>
                            <a:ext cx="10780" cy="428"/>
                          </a:xfrm>
                          <a:prstGeom prst="rect">
                            <a:avLst/>
                          </a:prstGeom>
                          <a:solidFill>
                            <a:srgbClr val="1F2959"/>
                          </a:solidFill>
                          <a:ln w="12700">
                            <a:noFill/>
                          </a:ln>
                        </wps:spPr>
                        <wps:bodyPr anchor="ctr" anchorCtr="0" upright="1"/>
                      </wps:wsp>
                    </wpg:wgp>
                  </a:graphicData>
                </a:graphic>
              </wp:anchor>
            </w:drawing>
          </mc:Choice>
          <mc:Fallback>
            <w:pict>
              <v:group id="组合 9" o:spid="_x0000_s1026" o:spt="203" style="position:absolute;left:0pt;margin-left:1.25pt;margin-top:821.7pt;height:21.45pt;width:595.25pt;z-index:251652096;mso-width-relative:page;mso-height-relative:page;" coordorigin="1483,16692" coordsize="11905,429203"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">
                <o:lock v:ext="edit" aspectratio="f"/>
                <v:rect id="矩形 6" o:spid="_x0000_s1026" o:spt="1" style="position:absolute;left:1483;top:16692;height:428;width:1125;v-text-anchor:middle;" fillcolor="#FDBC11" filled="t" stroked="f" coordsize="21600,21600" o:gfxdata="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p5O9ZvQAA&#10;ANoAAAAPAAAAAAAAAAEAIAAAACIAAABkcnMvZG93bnJldi54bWxQSwECFAAUAAAACACHTuJAMy8F&#10;njsAAAA5AAAAEAAAAAAAAAABACAAAAAMAQAAZHJzL3NoYXBleG1sLnhtbFBLBQYAAAAABgAGAFsB&#10;AAC2AwAAAAA=&#10;">
                  <v:fill on="t" focussize="0,0"/>
                  <v:stroke on="f" weight="1pt"/>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s7eDM7oAAADa&#10;AAAADwAAAGRycy9kb3ducmV2LnhtbEWPS4sCMRCE74L/IbSwN83ooshoFBSFPXjxAV6bSc8z6QyT&#10;OOq/3wgLeyyq6itqvX1ZI3rqfOVYwXSSgCDOnK64UHC7HsdLED4gazSOScGbPGw3w8EaU+2efKb+&#10;EgoRIexTVFCG0KZS+qwki37iWuLo5a6zGKLsCqk7fEa4NXKWJAtpseK4UGJL+5Ky5vKwCmZh+djV&#10;1f1tWlP3mM/zU3OQSn2NpskKRKBX+A//tX+0gm/4XIk3QG5+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zt4MzugAAANoA&#10;AAAPAAAAAAAAAAEAIAAAACIAAABkcnMvZG93bnJldi54bWxQSwECFAAUAAAACACHTuJAMy8FnjsA&#10;AAA5AAAAEAAAAAAAAAABACAAAAAJAQAAZHJzL3NoYXBleG1sLnhtbFBLBQYAAAAABgAGAFsBAACz&#10;AwAAAAA=&#10;">
                  <v:fill on="t" focussize="0,0"/>
                  <v:stroke on="f" weight="1pt"/>
                  <v:imagedata o:title=""/>
                  <o:lock v:ext="edit" aspectratio="f"/>
                </v:rect>
              </v:group>
            </w:pict>
          </mc:Fallback>
        </mc:AlternateContent>
      </w:r>
      <w:r>
        <mc:AlternateContent>
          <mc:Choice Requires="wpg">
            <w:drawing>
              <wp:anchor distT="0" distB="0" distL="114300" distR="114300" simplePos="0" relativeHeight="251657216" behindDoc="1" locked="0" layoutInCell="1" allowOverlap="1">
                <wp:simplePos x="0" y="0"/>
                <wp:positionH relativeFrom="column">
                  <wp:posOffset>-31750</wp:posOffset>
                </wp:positionH>
                <wp:positionV relativeFrom="paragraph">
                  <wp:posOffset>-42545</wp:posOffset>
                </wp:positionV>
                <wp:extent cx="7623175" cy="883920"/>
                <wp:effectExtent l="0" t="0" r="0" b="0"/>
                <wp:wrapNone/>
                <wp:docPr id="11" name="组合 12"/>
                <wp:cNvGraphicFramePr/>
                <a:graphic xmlns:a="http://schemas.openxmlformats.org/drawingml/2006/main">
                  <a:graphicData uri="http://schemas.microsoft.com/office/word/2010/wordprocessingGroup">
                    <wpg:wgp>
                      <wpg:cNvGrpSpPr/>
                      <wpg:grpSpPr>
                        <a:xfrm>
                          <a:off x="0" y="0"/>
                          <a:ext cx="7623175" cy="883920"/>
                          <a:chOff x="13622" y="-66719"/>
                          <a:chExt cx="12005" cy="1392046"/>
                        </a:xfrm>
                      </wpg:grpSpPr>
                      <wps:wsp>
                        <wps:cNvPr id="9" name="矩形 5"/>
                        <wps:cNvSpPr/>
                        <wps:spPr>
                          <a:xfrm>
                            <a:off x="13622" y="283"/>
                            <a:ext cx="12005" cy="6170"/>
                          </a:xfrm>
                          <a:prstGeom prst="rect">
                            <a:avLst/>
                          </a:prstGeom>
                          <a:solidFill>
                            <a:srgbClr val="FDBC11"/>
                          </a:solidFill>
                          <a:ln w="12700">
                            <a:noFill/>
                          </a:ln>
                        </wps:spPr>
                        <wps:bodyPr anchor="ctr" anchorCtr="0" upright="1"/>
                      </wps:wsp>
                      <wps:wsp>
                        <wps:cNvPr id="10" name="文本框 14"/>
                        <wps:cNvSpPr txBox="1"/>
                        <wps:spPr>
                          <a:xfrm>
                            <a:off x="17229" y="-66719"/>
                            <a:ext cx="8083" cy="1392046"/>
                          </a:xfrm>
                          <a:prstGeom prst="rect">
                            <a:avLst/>
                          </a:prstGeom>
                          <a:noFill/>
                          <a:ln>
                            <a:noFill/>
                          </a:ln>
                        </wps:spPr>
                        <wps:txbx>
                          <w:txbxContent>
                            <w:p>
                              <w:pPr>
                                <w:jc w:val="left"/>
                                <w:rPr>
                                  <w:color w:val="000000"/>
                                  <w:kern w:val="0"/>
                                  <w:sz w:val="92"/>
                                  <w:szCs w:val="92"/>
                                </w:rPr>
                              </w:pPr>
                              <w:r>
                                <w:rPr>
                                  <w:rFonts w:hint="eastAsia" w:ascii="思源黑体 HW Bold" w:hAnsi="思源黑体 HW Bold" w:eastAsia="思源黑体 HW Bold"/>
                                  <w:color w:val="000000"/>
                                  <w:kern w:val="24"/>
                                  <w:sz w:val="92"/>
                                  <w:szCs w:val="92"/>
                                </w:rPr>
                                <w:t>部门决算公开文本</w:t>
                              </w:r>
                            </w:p>
                          </w:txbxContent>
                        </wps:txbx>
                        <wps:bodyPr upright="1">
                          <a:spAutoFit/>
                        </wps:bodyPr>
                      </wps:wsp>
                    </wpg:wgp>
                  </a:graphicData>
                </a:graphic>
              </wp:anchor>
            </w:drawing>
          </mc:Choice>
          <mc:Fallback>
            <w:pict>
              <v:group id="组合 12" o:spid="_x0000_s1026" o:spt="203" style="position:absolute;left:0pt;margin-left:-2.5pt;margin-top:-3.35pt;height:69.6pt;width:600.25pt;z-index:-251659264;mso-width-relative:page;mso-height-relative:page;" coordorigin="13622,-66719" coordsize="12005,1392046" o:gfxdata="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">
                <o:lock v:ext="edit" aspectratio="f"/>
                <v:rect id="矩形 5" o:spid="_x0000_s1026" o:spt="1" style="position:absolute;left:13622;top:283;height:6170;width:12005;v-text-anchor:middle;" fillcolor="#FDBC11" filled="t" stroked="f" coordsize="21600,21600" o:gfxdata="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dAfSi8AAAA&#10;2gAAAA8AAAAAAAAAAQAgAAAAIgAAAGRycy9kb3ducmV2LnhtbFBLAQIUABQAAAAIAIdO4kAzLwWe&#10;OwAAADkAAAAQAAAAAAAAAAEAIAAAAAsBAABkcnMvc2hhcGV4bWwueG1sUEsFBgAAAAAGAAYAWwEA&#10;ALUDAAAAAA==&#10;">
                  <v:fill on="t" focussize="0,0"/>
                  <v:stroke on="f" weight="1pt"/>
                  <v:imagedata o:title=""/>
                  <o:lock v:ext="edit" aspectratio="f"/>
                </v:rect>
                <v:shape id="文本框 14" o:spid="_x0000_s1026" o:spt="202" type="#_x0000_t202" style="position:absolute;left:17229;top:-66719;height:1392046;width:8083;" filled="f" stroked="f" coordsize="21600,21600" o:gfxdata="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1bA0N7sAAADb&#10;AAAADwAAAAAAAAABACAAAAAiAAAAZHJzL2Rvd25yZXYueG1sUEsBAhQAFAAAAAgAh07iQDMvBZ47&#10;AAAAOQAAABAAAAAAAAAAAQAgAAAACgEAAGRycy9zaGFwZXhtbC54bWxQSwUGAAAAAAYABgBbAQAA&#10;tAMAAAAA&#10;">
                  <v:fill on="f" focussize="0,0"/>
                  <v:stroke on="f"/>
                  <v:imagedata o:title=""/>
                  <o:lock v:ext="edit" aspectratio="f"/>
                  <v:textbox style="mso-fit-shape-to-text:t;">
                    <w:txbxContent>
                      <w:p>
                        <w:pPr>
                          <w:jc w:val="left"/>
                          <w:rPr>
                            <w:color w:val="000000"/>
                            <w:kern w:val="0"/>
                            <w:sz w:val="92"/>
                            <w:szCs w:val="92"/>
                          </w:rPr>
                        </w:pPr>
                        <w:r>
                          <w:rPr>
                            <w:rFonts w:hint="eastAsia" w:ascii="思源黑体 HW Bold" w:hAnsi="思源黑体 HW Bold" w:eastAsia="思源黑体 HW Bold"/>
                            <w:color w:val="000000"/>
                            <w:kern w:val="24"/>
                            <w:sz w:val="92"/>
                            <w:szCs w:val="92"/>
                          </w:rPr>
                          <w:t>部门决算公开文本</w:t>
                        </w:r>
                      </w:p>
                    </w:txbxContent>
                  </v:textbox>
                </v:shape>
              </v:group>
            </w:pict>
          </mc:Fallback>
        </mc:AlternateContent>
      </w:r>
      <w:r>
        <mc:AlternateContent>
          <mc:Choice Requires="wps">
            <w:drawing>
              <wp:anchor distT="0" distB="0" distL="114300" distR="114300" simplePos="0" relativeHeight="25165312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5" name="矩形 11"/>
                <wp:cNvGraphicFramePr/>
                <a:graphic xmlns:a="http://schemas.openxmlformats.org/drawingml/2006/main">
                  <a:graphicData uri="http://schemas.microsoft.com/office/word/2010/wordprocessingShape">
                    <wps:wsp>
                      <wps:cNvSpPr/>
                      <wps:spPr>
                        <a:xfrm>
                          <a:off x="0" y="0"/>
                          <a:ext cx="4313555" cy="396875"/>
                        </a:xfrm>
                        <a:prstGeom prst="rect">
                          <a:avLst/>
                        </a:prstGeom>
                        <a:noFill/>
                        <a:ln>
                          <a:noFill/>
                        </a:ln>
                      </wps:spPr>
                      <wps:txbx>
                        <w:txbxContent>
                          <w:p/>
                        </w:txbxContent>
                      </wps:txbx>
                      <wps:bodyPr wrap="none" upright="1">
                        <a:spAutoFit/>
                      </wps:bodyPr>
                    </wps:wsp>
                  </a:graphicData>
                </a:graphic>
              </wp:anchor>
            </w:drawing>
          </mc:Choice>
          <mc:Fallback>
            <w:pict>
              <v:rect id="矩形 11" o:spid="_x0000_s1026" o:spt="1" style="position:absolute;left:0pt;margin-left:184.75pt;margin-top:286.6pt;height:31.25pt;width:339.65pt;mso-wrap-style:none;z-index:25165312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WZBfR2wAAAAwBAAAPAAAAAAAA&#10;AAEAIAAAACIAAABkcnMvZG93bnJldi54bWxQSwECFAAUAAAACACHTuJAFR7fIp0BAAAaAwAADgAA&#10;AAAAAAABACAAAAAqAQAAZHJzL2Uyb0RvYy54bWxQSwUGAAAAAAYABgBZAQAAOQU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sz w:val="48"/>
          <w:szCs w:val="48"/>
        </w:rPr>
      </w:pPr>
      <w:r>
        <w:rPr>
          <w:rFonts w:ascii="黑体" w:hAnsi="Times New Roman" w:eastAsia="黑体"/>
          <w:sz w:val="48"/>
          <w:szCs w:val="48"/>
        </w:rPr>
        <w:br w:type="page"/>
      </w:r>
    </w:p>
    <w:p>
      <w:pPr>
        <w:tabs>
          <w:tab w:val="left" w:pos="2728"/>
        </w:tabs>
        <w:rPr>
          <w:rFonts w:ascii="黑体" w:hAnsi="Times New Roman" w:eastAsia="黑体"/>
          <w:sz w:val="48"/>
          <w:szCs w:val="48"/>
        </w:rPr>
      </w:pPr>
      <w:r>
        <w:rPr>
          <w:rFonts w:ascii="黑体" w:hAnsi="Times New Roman" w:eastAsia="黑体"/>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ascii="黑体" w:hAnsi="黑体" w:eastAsia="黑体" w:cs="黑体"/>
          <w:b/>
          <w:bCs/>
          <w:sz w:val="72"/>
          <w:szCs w:val="96"/>
        </w:rPr>
        <w:t>2019</w:t>
      </w:r>
      <w:r>
        <w:rPr>
          <w:rFonts w:hint="eastAsia" w:ascii="黑体" w:hAnsi="黑体" w:eastAsia="黑体" w:cs="黑体"/>
          <w:b/>
          <w:bCs/>
          <w:sz w:val="72"/>
          <w:szCs w:val="96"/>
        </w:rPr>
        <w:t>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kern w:val="0"/>
          <w:sz w:val="44"/>
          <w:szCs w:val="44"/>
        </w:rPr>
      </w:pPr>
      <w:r>
        <w:rPr>
          <w:rFonts w:hint="eastAsia" w:ascii="楷体_GB2312" w:hAnsi="楷体_GB2312" w:eastAsia="楷体_GB2312" w:cs="楷体_GB2312"/>
          <w:color w:val="000000"/>
          <w:kern w:val="0"/>
          <w:sz w:val="44"/>
          <w:szCs w:val="44"/>
        </w:rPr>
        <w:t>石家庄市鹿泉区铜冶镇人民政府</w:t>
      </w:r>
    </w:p>
    <w:p>
      <w:pPr>
        <w:snapToGrid w:val="0"/>
        <w:jc w:val="center"/>
        <w:rPr>
          <w:rFonts w:ascii="楷体_GB2312" w:hAnsi="楷体_GB2312" w:eastAsia="楷体_GB2312" w:cs="楷体_GB2312"/>
          <w:color w:val="000000"/>
          <w:kern w:val="0"/>
          <w:sz w:val="44"/>
          <w:szCs w:val="44"/>
        </w:rPr>
        <w:sectPr>
          <w:headerReference r:id="rId8" w:type="first"/>
          <w:footerReference r:id="rId9" w:type="first"/>
          <w:headerReference r:id="rId7" w:type="default"/>
          <w:type w:val="continuous"/>
          <w:pgSz w:w="11906" w:h="16838"/>
          <w:pgMar w:top="2041" w:right="1531" w:bottom="2041" w:left="1531" w:header="851" w:footer="992" w:gutter="0"/>
          <w:pgBorders>
            <w:top w:val="none" w:sz="0" w:space="0"/>
            <w:left w:val="none" w:sz="0" w:space="0"/>
            <w:bottom w:val="none" w:sz="0" w:space="0"/>
            <w:right w:val="none" w:sz="0" w:space="0"/>
          </w:pgBorders>
          <w:cols w:space="0" w:num="1"/>
          <w:titlePg/>
          <w:docGrid w:type="lines" w:linePitch="312" w:charSpace="0"/>
        </w:sectPr>
      </w:pPr>
      <w:r>
        <w:rPr>
          <w:rFonts w:hint="eastAsia" w:ascii="楷体_GB2312" w:hAnsi="楷体_GB2312" w:eastAsia="楷体_GB2312" w:cs="楷体_GB2312"/>
          <w:color w:val="000000"/>
          <w:kern w:val="0"/>
          <w:sz w:val="44"/>
          <w:szCs w:val="44"/>
        </w:rPr>
        <w:t>二〇二〇年十一月</w:t>
      </w:r>
    </w:p>
    <w:p>
      <w:pPr>
        <w:tabs>
          <w:tab w:val="left" w:pos="2728"/>
        </w:tabs>
        <w:jc w:val="center"/>
        <w:rPr>
          <w:rFonts w:ascii="黑体" w:hAnsi="Times New Roman" w:eastAsia="黑体"/>
          <w:sz w:val="48"/>
          <w:szCs w:val="48"/>
        </w:rPr>
      </w:pPr>
    </w:p>
    <w:p>
      <w:pPr>
        <w:tabs>
          <w:tab w:val="left" w:pos="2728"/>
        </w:tabs>
        <w:jc w:val="center"/>
        <w:rPr>
          <w:rFonts w:ascii="黑体" w:hAnsi="Times New Roman" w:eastAsia="黑体"/>
          <w:sz w:val="48"/>
          <w:szCs w:val="48"/>
        </w:rPr>
      </w:pPr>
      <w:r>
        <w:rPr>
          <w:rFonts w:hint="eastAsia" w:ascii="黑体" w:hAnsi="Times New Roman" w:eastAsia="黑体"/>
          <w:sz w:val="48"/>
          <w:szCs w:val="48"/>
        </w:rPr>
        <w:t>目</w:t>
      </w:r>
      <w:r>
        <w:rPr>
          <w:rFonts w:ascii="黑体" w:hAnsi="Times New Roman" w:eastAsia="黑体"/>
          <w:sz w:val="48"/>
          <w:szCs w:val="48"/>
        </w:rPr>
        <w:t xml:space="preserve">    </w:t>
      </w:r>
      <w:r>
        <w:rPr>
          <w:rFonts w:hint="eastAsia" w:ascii="黑体" w:hAnsi="Times New Roman" w:eastAsia="黑体"/>
          <w:sz w:val="48"/>
          <w:szCs w:val="48"/>
        </w:rPr>
        <w:t>录</w:t>
      </w:r>
    </w:p>
    <w:p>
      <w:pPr>
        <w:widowControl/>
        <w:spacing w:after="160" w:line="580" w:lineRule="exact"/>
        <w:ind w:firstLine="640" w:firstLineChars="200"/>
        <w:rPr>
          <w:rFonts w:ascii="Times New Roman" w:hAnsi="Times New Roman" w:eastAsia="黑体"/>
          <w:sz w:val="32"/>
          <w:szCs w:val="32"/>
        </w:rPr>
      </w:pPr>
    </w:p>
    <w:p>
      <w:pPr>
        <w:widowControl/>
        <w:spacing w:after="160" w:line="580" w:lineRule="exact"/>
        <w:ind w:firstLine="640" w:firstLineChars="200"/>
        <w:rPr>
          <w:rFonts w:ascii="Times New Roman" w:hAnsi="Times New Roman" w:eastAsia="仿宋_GB2312"/>
          <w:sz w:val="24"/>
          <w:szCs w:val="32"/>
        </w:rPr>
      </w:pPr>
      <w:r>
        <w:rPr>
          <w:rFonts w:hint="eastAsia" w:ascii="Times New Roman" w:hAnsi="Times New Roman" w:eastAsia="黑体"/>
          <w:sz w:val="32"/>
          <w:szCs w:val="32"/>
        </w:rPr>
        <w:t>第一部分</w:t>
      </w:r>
      <w:r>
        <w:rPr>
          <w:rFonts w:ascii="Times New Roman" w:hAnsi="Times New Roman" w:eastAsia="黑体"/>
          <w:sz w:val="32"/>
          <w:szCs w:val="32"/>
        </w:rPr>
        <w:t xml:space="preserve">   </w:t>
      </w:r>
      <w:r>
        <w:rPr>
          <w:rFonts w:hint="eastAsia" w:ascii="Times New Roman" w:hAnsi="Times New Roman" w:eastAsia="黑体"/>
          <w:sz w:val="32"/>
          <w:szCs w:val="32"/>
        </w:rPr>
        <w:t>部门概况</w:t>
      </w:r>
    </w:p>
    <w:p>
      <w:pPr>
        <w:widowControl/>
        <w:spacing w:after="160" w:line="580" w:lineRule="exact"/>
        <w:ind w:firstLine="1273" w:firstLineChars="398"/>
        <w:rPr>
          <w:rFonts w:ascii="Times New Roman" w:hAnsi="Times New Roman" w:eastAsia="仿宋_GB2312"/>
          <w:sz w:val="32"/>
          <w:szCs w:val="32"/>
        </w:rPr>
      </w:pPr>
      <w:r>
        <w:rPr>
          <w:rFonts w:hint="eastAsia" w:ascii="Times New Roman" w:hAnsi="Times New Roman" w:eastAsia="仿宋_GB2312"/>
          <w:sz w:val="32"/>
          <w:szCs w:val="32"/>
        </w:rPr>
        <w:t>一、部门职责</w:t>
      </w:r>
    </w:p>
    <w:p>
      <w:pPr>
        <w:widowControl/>
        <w:spacing w:after="160" w:line="580" w:lineRule="exact"/>
        <w:ind w:firstLine="1273" w:firstLineChars="398"/>
        <w:rPr>
          <w:rFonts w:ascii="Times New Roman" w:hAnsi="Times New Roman" w:eastAsia="仿宋_GB2312"/>
          <w:sz w:val="32"/>
          <w:szCs w:val="32"/>
        </w:rPr>
      </w:pPr>
      <w:r>
        <w:rPr>
          <w:rFonts w:hint="eastAsia" w:ascii="Times New Roman" w:hAnsi="Times New Roman" w:eastAsia="仿宋_GB2312"/>
          <w:sz w:val="32"/>
          <w:szCs w:val="32"/>
        </w:rPr>
        <w:t>二、机构设置</w:t>
      </w:r>
    </w:p>
    <w:p>
      <w:pPr>
        <w:widowControl/>
        <w:spacing w:after="160" w:line="580" w:lineRule="exact"/>
        <w:ind w:firstLine="640" w:firstLineChars="200"/>
        <w:rPr>
          <w:rFonts w:ascii="Times New Roman" w:hAnsi="Times New Roman" w:eastAsia="黑体"/>
          <w:sz w:val="32"/>
          <w:szCs w:val="32"/>
        </w:rPr>
      </w:pPr>
      <w:r>
        <w:rPr>
          <w:rFonts w:hint="eastAsia" w:ascii="Times New Roman" w:hAnsi="Times New Roman" w:eastAsia="黑体"/>
          <w:sz w:val="32"/>
          <w:szCs w:val="32"/>
        </w:rPr>
        <w:t>第二部分</w:t>
      </w:r>
      <w:r>
        <w:rPr>
          <w:rFonts w:ascii="Times New Roman" w:hAnsi="Times New Roman" w:eastAsia="黑体"/>
          <w:sz w:val="32"/>
          <w:szCs w:val="32"/>
        </w:rPr>
        <w:t xml:space="preserve">   2019</w:t>
      </w:r>
      <w:r>
        <w:rPr>
          <w:rFonts w:hint="eastAsia" w:ascii="Times New Roman" w:hAnsi="Times New Roman" w:eastAsia="黑体"/>
          <w:sz w:val="32"/>
          <w:szCs w:val="32"/>
        </w:rPr>
        <w:t>年部门决算情况说明</w:t>
      </w:r>
    </w:p>
    <w:p>
      <w:pPr>
        <w:widowControl/>
        <w:spacing w:after="160" w:line="580" w:lineRule="exact"/>
        <w:ind w:left="640" w:firstLine="640" w:firstLineChars="200"/>
        <w:rPr>
          <w:rFonts w:ascii="Times New Roman" w:hAnsi="Times New Roman" w:eastAsia="仿宋_GB2312"/>
          <w:sz w:val="32"/>
          <w:szCs w:val="32"/>
        </w:rPr>
      </w:pPr>
      <w:r>
        <w:rPr>
          <w:rFonts w:hint="eastAsia" w:ascii="Times New Roman" w:hAnsi="Times New Roman" w:eastAsia="仿宋_GB2312"/>
          <w:sz w:val="32"/>
          <w:szCs w:val="32"/>
        </w:rPr>
        <w:t>一、收入支出决算总体情况说明</w:t>
      </w:r>
    </w:p>
    <w:p>
      <w:pPr>
        <w:widowControl/>
        <w:spacing w:after="160" w:line="580" w:lineRule="exact"/>
        <w:ind w:left="640" w:firstLine="640" w:firstLineChars="200"/>
        <w:rPr>
          <w:rFonts w:ascii="Times New Roman" w:hAnsi="Times New Roman" w:eastAsia="仿宋_GB2312"/>
          <w:sz w:val="32"/>
          <w:szCs w:val="32"/>
        </w:rPr>
      </w:pPr>
      <w:r>
        <w:rPr>
          <w:rFonts w:hint="eastAsia" w:ascii="Times New Roman" w:hAnsi="Times New Roman" w:eastAsia="仿宋_GB2312"/>
          <w:sz w:val="32"/>
          <w:szCs w:val="32"/>
        </w:rPr>
        <w:t>二、收入决算情况说明</w:t>
      </w:r>
    </w:p>
    <w:p>
      <w:pPr>
        <w:widowControl/>
        <w:spacing w:after="160" w:line="580" w:lineRule="exact"/>
        <w:ind w:left="640" w:firstLine="640" w:firstLineChars="200"/>
        <w:rPr>
          <w:rFonts w:ascii="Times New Roman" w:hAnsi="Times New Roman" w:eastAsia="仿宋_GB2312"/>
          <w:sz w:val="32"/>
          <w:szCs w:val="32"/>
        </w:rPr>
      </w:pPr>
      <w:r>
        <w:rPr>
          <w:rFonts w:hint="eastAsia" w:ascii="Times New Roman" w:hAnsi="Times New Roman" w:eastAsia="仿宋_GB2312"/>
          <w:sz w:val="32"/>
          <w:szCs w:val="32"/>
        </w:rPr>
        <w:t>三、支出决算情况说明</w:t>
      </w:r>
    </w:p>
    <w:p>
      <w:pPr>
        <w:widowControl/>
        <w:spacing w:after="160" w:line="580" w:lineRule="exact"/>
        <w:ind w:left="640" w:firstLine="640" w:firstLineChars="200"/>
        <w:rPr>
          <w:rFonts w:ascii="Times New Roman" w:hAnsi="Times New Roman" w:eastAsia="仿宋_GB2312"/>
          <w:sz w:val="32"/>
          <w:szCs w:val="32"/>
        </w:rPr>
      </w:pPr>
      <w:r>
        <w:rPr>
          <w:rFonts w:hint="eastAsia" w:ascii="Times New Roman" w:hAnsi="Times New Roman" w:eastAsia="仿宋_GB2312"/>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sz w:val="32"/>
          <w:szCs w:val="32"/>
        </w:rPr>
      </w:pPr>
      <w:r>
        <w:rPr>
          <w:rFonts w:hint="eastAsia" w:ascii="Times New Roman" w:hAnsi="Times New Roman" w:eastAsia="仿宋_GB2312"/>
          <w:sz w:val="32"/>
          <w:szCs w:val="32"/>
        </w:rPr>
        <w:t>五、一般公共预算</w:t>
      </w:r>
      <w:r>
        <w:rPr>
          <w:rFonts w:ascii="Times New Roman" w:hAnsi="Times New Roman" w:eastAsia="仿宋_GB2312"/>
          <w:sz w:val="32"/>
          <w:szCs w:val="32"/>
        </w:rPr>
        <w:t>“</w:t>
      </w:r>
      <w:r>
        <w:rPr>
          <w:rFonts w:hint="eastAsia" w:ascii="Times New Roman" w:hAnsi="Times New Roman" w:eastAsia="仿宋_GB2312"/>
          <w:sz w:val="32"/>
          <w:szCs w:val="32"/>
        </w:rPr>
        <w:t>三公</w:t>
      </w:r>
      <w:r>
        <w:rPr>
          <w:rFonts w:ascii="Times New Roman" w:hAnsi="Times New Roman" w:eastAsia="仿宋_GB2312"/>
          <w:sz w:val="32"/>
          <w:szCs w:val="32"/>
        </w:rPr>
        <w:t>”</w:t>
      </w:r>
      <w:r>
        <w:rPr>
          <w:rFonts w:hint="eastAsia" w:ascii="Times New Roman" w:hAnsi="Times New Roman" w:eastAsia="仿宋_GB2312"/>
          <w:sz w:val="32"/>
          <w:szCs w:val="32"/>
        </w:rPr>
        <w:t>经费支出决算情况说明</w:t>
      </w:r>
    </w:p>
    <w:p>
      <w:pPr>
        <w:widowControl/>
        <w:spacing w:after="160" w:line="580" w:lineRule="exact"/>
        <w:ind w:left="640" w:firstLine="640" w:firstLineChars="200"/>
        <w:rPr>
          <w:rFonts w:ascii="Times New Roman" w:hAnsi="Times New Roman" w:eastAsia="仿宋_GB2312"/>
          <w:sz w:val="32"/>
          <w:szCs w:val="32"/>
        </w:rPr>
      </w:pPr>
      <w:r>
        <w:rPr>
          <w:rFonts w:hint="eastAsia" w:ascii="Times New Roman" w:hAnsi="Times New Roman" w:eastAsia="仿宋_GB2312"/>
          <w:sz w:val="32"/>
          <w:szCs w:val="32"/>
        </w:rPr>
        <w:t>六、预算绩效情况说明</w:t>
      </w:r>
    </w:p>
    <w:p>
      <w:pPr>
        <w:widowControl/>
        <w:spacing w:after="160" w:line="580" w:lineRule="exact"/>
        <w:ind w:left="640" w:firstLine="640" w:firstLineChars="200"/>
        <w:rPr>
          <w:rFonts w:ascii="Times New Roman" w:hAnsi="Times New Roman" w:eastAsia="仿宋_GB2312"/>
          <w:sz w:val="32"/>
          <w:szCs w:val="32"/>
        </w:rPr>
      </w:pPr>
      <w:r>
        <w:rPr>
          <w:rFonts w:hint="eastAsia" w:ascii="Times New Roman" w:hAnsi="Times New Roman" w:eastAsia="仿宋_GB2312"/>
          <w:sz w:val="32"/>
          <w:szCs w:val="32"/>
        </w:rPr>
        <w:t>七、其他重要事项的说明</w:t>
      </w:r>
    </w:p>
    <w:p>
      <w:pPr>
        <w:widowControl/>
        <w:spacing w:after="160" w:line="580" w:lineRule="exact"/>
        <w:ind w:firstLine="640" w:firstLineChars="200"/>
        <w:rPr>
          <w:rFonts w:ascii="Times New Roman" w:hAnsi="Times New Roman" w:eastAsia="黑体"/>
          <w:sz w:val="32"/>
          <w:szCs w:val="32"/>
        </w:rPr>
      </w:pPr>
      <w:r>
        <w:rPr>
          <w:rFonts w:hint="eastAsia" w:ascii="Times New Roman" w:hAnsi="Times New Roman" w:eastAsia="黑体"/>
          <w:sz w:val="32"/>
          <w:szCs w:val="32"/>
        </w:rPr>
        <w:t>第三部分名词解释</w:t>
      </w:r>
    </w:p>
    <w:p>
      <w:pPr>
        <w:widowControl/>
        <w:spacing w:after="160" w:line="580" w:lineRule="exact"/>
        <w:ind w:firstLine="640" w:firstLineChars="200"/>
        <w:rPr>
          <w:rFonts w:ascii="Times New Roman" w:hAnsi="Times New Roman" w:eastAsia="仿宋_GB2312"/>
          <w:sz w:val="20"/>
          <w:szCs w:val="32"/>
        </w:rPr>
      </w:pPr>
      <w:r>
        <w:rPr>
          <w:rFonts w:hint="eastAsia" w:ascii="Times New Roman" w:hAnsi="Times New Roman" w:eastAsia="黑体"/>
          <w:sz w:val="32"/>
          <w:szCs w:val="32"/>
        </w:rPr>
        <w:t>第四部分</w:t>
      </w:r>
      <w:r>
        <w:rPr>
          <w:rFonts w:ascii="Times New Roman" w:hAnsi="Times New Roman" w:eastAsia="黑体"/>
          <w:sz w:val="32"/>
          <w:szCs w:val="32"/>
        </w:rPr>
        <w:t>2019</w:t>
      </w:r>
      <w:r>
        <w:rPr>
          <w:rFonts w:hint="eastAsia" w:ascii="Times New Roman" w:hAnsi="Times New Roman" w:eastAsia="黑体"/>
          <w:sz w:val="32"/>
          <w:szCs w:val="32"/>
        </w:rPr>
        <w:t>年度部门决算报表</w:t>
      </w:r>
    </w:p>
    <w:p>
      <w:pPr>
        <w:widowControl/>
        <w:spacing w:after="160" w:line="580" w:lineRule="exact"/>
        <w:ind w:firstLine="640" w:firstLineChars="200"/>
        <w:rPr>
          <w:rFonts w:ascii="Times New Roman" w:hAnsi="Times New Roman" w:eastAsia="黑体"/>
          <w:sz w:val="32"/>
          <w:szCs w:val="32"/>
        </w:rPr>
      </w:pPr>
    </w:p>
    <w:p>
      <w:pPr>
        <w:widowControl/>
        <w:spacing w:after="160" w:line="580" w:lineRule="exact"/>
        <w:ind w:firstLine="640" w:firstLineChars="200"/>
        <w:rPr>
          <w:rFonts w:ascii="Times New Roman" w:hAnsi="Times New Roman" w:eastAsia="黑体"/>
          <w:sz w:val="32"/>
          <w:szCs w:val="32"/>
        </w:rPr>
        <w:sectPr>
          <w:headerReference r:id="rId11" w:type="first"/>
          <w:footerReference r:id="rId13" w:type="first"/>
          <w:headerReference r:id="rId10" w:type="default"/>
          <w:footerReference r:id="rId12" w:type="default"/>
          <w:type w:val="continuous"/>
          <w:pgSz w:w="11906" w:h="16838"/>
          <w:pgMar w:top="2041" w:right="1531" w:bottom="2041" w:left="1531" w:header="851" w:footer="992" w:gutter="0"/>
          <w:pgBorders>
            <w:top w:val="none" w:sz="0" w:space="0"/>
            <w:left w:val="none" w:sz="0" w:space="0"/>
            <w:bottom w:val="none" w:sz="0" w:space="0"/>
            <w:right w:val="none" w:sz="0" w:space="0"/>
          </w:pgBorders>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mc:AlternateContent>
          <mc:Choice Requires="wps">
            <w:drawing>
              <wp:anchor distT="0" distB="0" distL="114300" distR="114300" simplePos="0" relativeHeight="251658240" behindDoc="0" locked="0" layoutInCell="1" allowOverlap="1">
                <wp:simplePos x="0" y="0"/>
                <wp:positionH relativeFrom="column">
                  <wp:posOffset>-1088390</wp:posOffset>
                </wp:positionH>
                <wp:positionV relativeFrom="paragraph">
                  <wp:posOffset>1024890</wp:posOffset>
                </wp:positionV>
                <wp:extent cx="7793355" cy="3341370"/>
                <wp:effectExtent l="0" t="0" r="0" b="0"/>
                <wp:wrapNone/>
                <wp:docPr id="12" name="文本框 16"/>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1270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sz w:val="96"/>
                                <w:szCs w:val="96"/>
                              </w:rPr>
                            </w:pPr>
                            <w:r>
                              <w:rPr>
                                <w:rFonts w:hint="eastAsia" w:ascii="黑体" w:hAnsi="黑体" w:eastAsia="黑体" w:cs="黑体"/>
                                <w:color w:val="000000"/>
                                <w:sz w:val="96"/>
                                <w:szCs w:val="96"/>
                              </w:rPr>
                              <w:t>第一部分</w:t>
                            </w:r>
                            <w:r>
                              <w:rPr>
                                <w:rFonts w:ascii="黑体" w:hAnsi="黑体" w:eastAsia="黑体" w:cs="黑体"/>
                                <w:color w:val="000000"/>
                                <w:sz w:val="96"/>
                                <w:szCs w:val="96"/>
                              </w:rPr>
                              <w:t xml:space="preserve">  </w:t>
                            </w:r>
                            <w:r>
                              <w:rPr>
                                <w:rFonts w:hint="eastAsia" w:ascii="黑体" w:hAnsi="黑体" w:eastAsia="黑体" w:cs="黑体"/>
                                <w:color w:val="000000"/>
                                <w:sz w:val="96"/>
                                <w:szCs w:val="96"/>
                              </w:rPr>
                              <w:t>部门概况</w:t>
                            </w:r>
                          </w:p>
                        </w:txbxContent>
                      </wps:txbx>
                      <wps:bodyPr anchor="ctr" anchorCtr="0" upright="1"/>
                    </wps:wsp>
                  </a:graphicData>
                </a:graphic>
              </wp:anchor>
            </w:drawing>
          </mc:Choice>
          <mc:Fallback>
            <w:pict>
              <v:shape id="文本框 16" o:spid="_x0000_s1026" o:spt="202" type="#_x0000_t202" style="position:absolute;left:0pt;margin-left:-85.7pt;margin-top:80.7pt;height:263.1pt;width:613.65pt;z-index:251658240;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H&#10;YTMp3AAAAA0BAAAPAAAAAAAAAAEAIAAAACIAAABkcnMvZG93bnJldi54bWxQSwECFAAUAAAACACH&#10;TuJA+z5zLCACAABQBAAADgAAAAAAAAABACAAAAArAQAAZHJzL2Uyb0RvYy54bWxQSwUGAAAAAAYA&#10;BgBZAQAAvQUAAAAA&#10;">
                <v:fill type="pattern" on="t" color2="#FFFFFF" focussize="0,0" r:id="rId17"/>
                <v:stroke weight="1pt" color="#FFD966" joinstyle="round"/>
                <v:imagedata o:title=""/>
                <o:lock v:ext="edit" aspectratio="f"/>
                <v:textbox>
                  <w:txbxContent>
                    <w:p>
                      <w:pPr>
                        <w:widowControl/>
                        <w:jc w:val="center"/>
                        <w:rPr>
                          <w:rFonts w:ascii="黑体" w:hAnsi="黑体" w:eastAsia="黑体" w:cs="黑体"/>
                          <w:color w:val="000000"/>
                          <w:sz w:val="96"/>
                          <w:szCs w:val="96"/>
                        </w:rPr>
                      </w:pPr>
                      <w:r>
                        <w:rPr>
                          <w:rFonts w:hint="eastAsia" w:ascii="黑体" w:hAnsi="黑体" w:eastAsia="黑体" w:cs="黑体"/>
                          <w:color w:val="000000"/>
                          <w:sz w:val="96"/>
                          <w:szCs w:val="96"/>
                        </w:rPr>
                        <w:t>第一部分</w:t>
                      </w:r>
                      <w:r>
                        <w:rPr>
                          <w:rFonts w:ascii="黑体" w:hAnsi="黑体" w:eastAsia="黑体" w:cs="黑体"/>
                          <w:color w:val="000000"/>
                          <w:sz w:val="96"/>
                          <w:szCs w:val="96"/>
                        </w:rPr>
                        <w:t xml:space="preserve">  </w:t>
                      </w:r>
                      <w:r>
                        <w:rPr>
                          <w:rFonts w:hint="eastAsia" w:ascii="黑体" w:hAnsi="黑体" w:eastAsia="黑体" w:cs="黑体"/>
                          <w:color w:val="000000"/>
                          <w:sz w:val="96"/>
                          <w:szCs w:val="96"/>
                        </w:rPr>
                        <w:t>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pStyle w:val="2"/>
        <w:spacing w:before="0" w:after="0" w:line="600" w:lineRule="exact"/>
        <w:ind w:firstLine="640" w:firstLineChars="200"/>
        <w:jc w:val="left"/>
        <w:rPr>
          <w:rFonts w:ascii="仿宋_GB2312" w:hAnsi="宋体" w:eastAsia="仿宋_GB2312"/>
          <w:b w:val="0"/>
          <w:bCs w:val="0"/>
          <w:color w:val="000000"/>
          <w:sz w:val="32"/>
          <w:szCs w:val="32"/>
        </w:rPr>
      </w:pPr>
      <w:r>
        <w:rPr>
          <w:rFonts w:hint="eastAsia" w:ascii="仿宋_GB2312" w:hAnsi="宋体" w:eastAsia="仿宋_GB2312"/>
          <w:b w:val="0"/>
          <w:bCs w:val="0"/>
          <w:color w:val="000000"/>
          <w:sz w:val="32"/>
          <w:szCs w:val="32"/>
        </w:rPr>
        <w:t>负责乡镇党委、政府各项工作的督导催办，处理机关日常事务，搞好文秘、档案管理、政务公开和机关后勤保障工作；负责相关党群单位的工作；抓好农村基层组织建设和民主政治建设。负责制定乡镇财政计划和经济发展规划；做好乡镇统计、财政、审计工作；负责社会治安综合治理和司法工作；做好宗教工作，打击邪教；调处矛盾纠纷；做好群众来信来访、社会稳定等工作。负责精神文明和新农村建设，改善农村环境；做好公益事业；防治大气污染；做好交通运输工作；负责危房改造工作，以及与各部门社会事务工作的指导服务和协调。</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w:t>
      </w:r>
      <w:r>
        <w:rPr>
          <w:rFonts w:ascii="仿宋_GB2312" w:hAnsi="Calibri" w:eastAsia="仿宋_GB2312" w:cs="ArialUnicodeMS"/>
          <w:kern w:val="0"/>
          <w:sz w:val="32"/>
          <w:szCs w:val="32"/>
        </w:rPr>
        <w:t xml:space="preserve">2019 </w:t>
      </w:r>
      <w:r>
        <w:rPr>
          <w:rFonts w:hint="eastAsia" w:ascii="仿宋_GB2312" w:hAnsi="Calibri" w:eastAsia="仿宋_GB2312" w:cs="ArialUnicodeMS"/>
          <w:kern w:val="0"/>
          <w:sz w:val="32"/>
          <w:szCs w:val="32"/>
        </w:rPr>
        <w:t>年度本部门决算汇编范围的独立核算单位（以下简称“单位”）共</w:t>
      </w:r>
      <w:r>
        <w:rPr>
          <w:rFonts w:ascii="仿宋_GB2312" w:hAnsi="Calibri" w:eastAsia="仿宋_GB2312" w:cs="ArialUnicodeMS"/>
          <w:kern w:val="0"/>
          <w:sz w:val="32"/>
          <w:szCs w:val="32"/>
        </w:rPr>
        <w:t>1</w:t>
      </w:r>
      <w:r>
        <w:rPr>
          <w:rFonts w:hint="eastAsia" w:ascii="仿宋_GB2312" w:hAnsi="Calibri" w:eastAsia="仿宋_GB2312" w:cs="ArialUnicodeMS"/>
          <w:kern w:val="0"/>
          <w:sz w:val="32"/>
          <w:szCs w:val="32"/>
        </w:rPr>
        <w:t>个，具体情况如下：</w:t>
      </w:r>
    </w:p>
    <w:tbl>
      <w:tblPr>
        <w:tblStyle w:val="7"/>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ascii="仿宋_GB2312" w:hAnsi="Calibri" w:eastAsia="仿宋_GB2312" w:cs="ArialUnicodeMS"/>
                <w:kern w:val="0"/>
                <w:sz w:val="28"/>
                <w:szCs w:val="28"/>
              </w:rPr>
              <w:t>1</w:t>
            </w:r>
          </w:p>
        </w:tc>
        <w:tc>
          <w:tcPr>
            <w:tcW w:w="3485" w:type="dxa"/>
          </w:tcPr>
          <w:p>
            <w:pPr>
              <w:spacing w:line="560" w:lineRule="exac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石家庄市鹿泉区铜冶镇人民政府</w:t>
            </w:r>
          </w:p>
        </w:tc>
        <w:tc>
          <w:tcPr>
            <w:tcW w:w="2445" w:type="dxa"/>
          </w:tcPr>
          <w:p>
            <w:pPr>
              <w:spacing w:line="560" w:lineRule="exact"/>
              <w:jc w:val="center"/>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行政单位</w:t>
            </w:r>
          </w:p>
        </w:tc>
        <w:tc>
          <w:tcPr>
            <w:tcW w:w="2665" w:type="dxa"/>
          </w:tcPr>
          <w:p>
            <w:pPr>
              <w:spacing w:line="560" w:lineRule="exact"/>
              <w:jc w:val="center"/>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财政性资金基本保证</w:t>
            </w:r>
          </w:p>
        </w:tc>
      </w:tr>
    </w:tbl>
    <w:p>
      <w:pPr>
        <w:widowControl/>
        <w:spacing w:after="160" w:line="580" w:lineRule="exact"/>
        <w:ind w:firstLine="640" w:firstLineChars="200"/>
        <w:rPr>
          <w:rFonts w:ascii="Times New Roman" w:hAnsi="Times New Roman" w:eastAsia="黑体"/>
          <w:sz w:val="32"/>
          <w:szCs w:val="32"/>
        </w:rPr>
      </w:pPr>
    </w:p>
    <w:p>
      <w:pPr>
        <w:widowControl/>
        <w:spacing w:after="160" w:line="580" w:lineRule="exact"/>
        <w:ind w:firstLine="640" w:firstLineChars="200"/>
        <w:rPr>
          <w:rFonts w:ascii="Times New Roman" w:hAnsi="Times New Roman" w:eastAsia="黑体"/>
          <w:sz w:val="32"/>
          <w:szCs w:val="32"/>
        </w:rPr>
      </w:pPr>
    </w:p>
    <w:p>
      <w:pPr>
        <w:widowControl/>
        <w:spacing w:after="160" w:line="580" w:lineRule="exact"/>
        <w:rPr>
          <w:rFonts w:ascii="Times New Roman" w:hAnsi="Times New Roman" w:eastAsia="黑体"/>
          <w:sz w:val="32"/>
          <w:szCs w:val="32"/>
        </w:rPr>
        <w:sectPr>
          <w:pgSz w:w="11906" w:h="16838"/>
          <w:pgMar w:top="2041" w:right="1531" w:bottom="2041" w:left="1531" w:header="851" w:footer="992" w:gutter="0"/>
          <w:pgBorders>
            <w:top w:val="none" w:sz="0" w:space="0"/>
            <w:left w:val="none" w:sz="0" w:space="0"/>
            <w:bottom w:val="none" w:sz="0" w:space="0"/>
            <w:right w:val="none" w:sz="0" w:space="0"/>
          </w:pgBorders>
          <w:pgNumType w:fmt="numberInDash" w:start="1"/>
          <w:cols w:space="0" w:num="1"/>
          <w:titlePg/>
          <w:docGrid w:type="lines" w:linePitch="312" w:charSpace="0"/>
        </w:sectPr>
      </w:pPr>
    </w:p>
    <w:p>
      <w:pPr>
        <w:widowControl/>
        <w:spacing w:after="160" w:line="580" w:lineRule="exact"/>
        <w:rPr>
          <w:rFonts w:ascii="Times New Roman" w:hAnsi="Times New Roman" w:eastAsia="黑体"/>
          <w:sz w:val="32"/>
          <w:szCs w:val="32"/>
        </w:rPr>
        <w:sectPr>
          <w:pgSz w:w="11906" w:h="16838"/>
          <w:pgMar w:top="2041" w:right="1531" w:bottom="2041" w:left="1531" w:header="851" w:footer="992" w:gutter="0"/>
          <w:pgBorders>
            <w:top w:val="none" w:sz="0" w:space="0"/>
            <w:left w:val="none" w:sz="0" w:space="0"/>
            <w:bottom w:val="none" w:sz="0" w:space="0"/>
            <w:right w:val="none" w:sz="0" w:space="0"/>
          </w:pgBorders>
          <w:pgNumType w:fmt="numberInDash" w:start="1"/>
          <w:cols w:space="0" w:num="1"/>
          <w:titlePg/>
          <w:docGrid w:type="lines" w:linePitch="312" w:charSpace="0"/>
        </w:sectPr>
      </w:pPr>
    </w:p>
    <w:p>
      <w:pPr>
        <w:widowControl/>
        <w:spacing w:after="160" w:line="580" w:lineRule="exact"/>
        <w:ind w:firstLine="420" w:firstLineChars="200"/>
        <w:rPr>
          <w:rFonts w:eastAsia="黑体"/>
          <w:sz w:val="32"/>
          <w:szCs w:val="32"/>
        </w:rPr>
      </w:pPr>
      <w:r>
        <mc:AlternateContent>
          <mc:Choice Requires="wps">
            <w:drawing>
              <wp:anchor distT="0" distB="0" distL="114300" distR="114300" simplePos="0" relativeHeight="251658240"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3" name="文本框 17"/>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txbx>
                        <w:txbxContent>
                          <w:p>
                            <w:pPr>
                              <w:widowControl/>
                              <w:jc w:val="center"/>
                              <w:rPr>
                                <w:rFonts w:ascii="黑体" w:hAnsi="黑体" w:eastAsia="黑体" w:cs="黑体"/>
                                <w:color w:val="000000"/>
                                <w:sz w:val="96"/>
                                <w:szCs w:val="96"/>
                              </w:rPr>
                            </w:pPr>
                          </w:p>
                          <w:p>
                            <w:pPr>
                              <w:widowControl/>
                              <w:jc w:val="center"/>
                              <w:rPr>
                                <w:rFonts w:ascii="黑体" w:hAnsi="黑体" w:eastAsia="黑体" w:cs="黑体"/>
                                <w:color w:val="000000"/>
                                <w:sz w:val="96"/>
                                <w:szCs w:val="96"/>
                              </w:rPr>
                            </w:pPr>
                          </w:p>
                        </w:txbxContent>
                      </wps:txbx>
                      <wps:bodyPr upright="1"/>
                    </wps:wsp>
                  </a:graphicData>
                </a:graphic>
              </wp:anchor>
            </w:drawing>
          </mc:Choice>
          <mc:Fallback>
            <w:pict>
              <v:shape id="文本框 17" o:spid="_x0000_s1026" o:spt="202" type="#_x0000_t202" style="position:absolute;left:0pt;margin-left:-85.7pt;margin-top:238.15pt;height:173.25pt;width:613.65pt;z-index:251658240;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">
                <v:fill on="f" focussize="0,0"/>
                <v:stroke on="f" weight="0.5pt"/>
                <v:imagedata o:title=""/>
                <o:lock v:ext="edit" aspectratio="f"/>
                <v:textbox>
                  <w:txbxContent>
                    <w:p>
                      <w:pPr>
                        <w:widowControl/>
                        <w:jc w:val="center"/>
                        <w:rPr>
                          <w:rFonts w:ascii="黑体" w:hAnsi="黑体" w:eastAsia="黑体" w:cs="黑体"/>
                          <w:color w:val="000000"/>
                          <w:sz w:val="96"/>
                          <w:szCs w:val="96"/>
                        </w:rPr>
                      </w:pPr>
                    </w:p>
                    <w:p>
                      <w:pPr>
                        <w:widowControl/>
                        <w:jc w:val="center"/>
                        <w:rPr>
                          <w:rFonts w:ascii="黑体" w:hAnsi="黑体" w:eastAsia="黑体" w:cs="黑体"/>
                          <w:color w:val="000000"/>
                          <w:sz w:val="96"/>
                          <w:szCs w:val="96"/>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mc:AlternateContent>
          <mc:Choice Requires="wps">
            <w:drawing>
              <wp:anchor distT="0" distB="0" distL="114300" distR="114300" simplePos="0" relativeHeight="251659264" behindDoc="0" locked="0" layoutInCell="1" allowOverlap="1">
                <wp:simplePos x="0" y="0"/>
                <wp:positionH relativeFrom="column">
                  <wp:posOffset>-1153160</wp:posOffset>
                </wp:positionH>
                <wp:positionV relativeFrom="paragraph">
                  <wp:posOffset>55245</wp:posOffset>
                </wp:positionV>
                <wp:extent cx="7793355" cy="3341370"/>
                <wp:effectExtent l="0" t="0" r="0" b="0"/>
                <wp:wrapNone/>
                <wp:docPr id="14" name="文本框 1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第二部分</w:t>
                            </w:r>
                            <w:r>
                              <w:rPr>
                                <w:rFonts w:ascii="黑体" w:hAnsi="黑体" w:eastAsia="黑体" w:cs="黑体"/>
                                <w:color w:val="000000"/>
                                <w:sz w:val="90"/>
                                <w:szCs w:val="90"/>
                              </w:rPr>
                              <w:t xml:space="preserve"> </w:t>
                            </w:r>
                          </w:p>
                          <w:p>
                            <w:pPr>
                              <w:widowControl/>
                              <w:jc w:val="center"/>
                              <w:rPr>
                                <w:rFonts w:ascii="黑体" w:hAnsi="黑体" w:eastAsia="黑体" w:cs="黑体"/>
                                <w:color w:val="000000"/>
                                <w:sz w:val="90"/>
                                <w:szCs w:val="90"/>
                              </w:rPr>
                            </w:pPr>
                            <w:r>
                              <w:rPr>
                                <w:rFonts w:ascii="黑体" w:hAnsi="黑体" w:eastAsia="黑体" w:cs="黑体"/>
                                <w:color w:val="000000"/>
                                <w:sz w:val="90"/>
                                <w:szCs w:val="90"/>
                              </w:rPr>
                              <w:t>2019</w:t>
                            </w:r>
                            <w:r>
                              <w:rPr>
                                <w:rFonts w:hint="eastAsia" w:ascii="黑体" w:hAnsi="黑体" w:eastAsia="黑体" w:cs="黑体"/>
                                <w:color w:val="000000"/>
                                <w:sz w:val="90"/>
                                <w:szCs w:val="90"/>
                              </w:rPr>
                              <w:t>年部门决算情况说明</w:t>
                            </w:r>
                          </w:p>
                          <w:p/>
                        </w:txbxContent>
                      </wps:txbx>
                      <wps:bodyPr anchor="ctr" anchorCtr="0" upright="1"/>
                    </wps:wsp>
                  </a:graphicData>
                </a:graphic>
              </wp:anchor>
            </w:drawing>
          </mc:Choice>
          <mc:Fallback>
            <w:pict>
              <v:shape id="文本框 18" o:spid="_x0000_s1026" o:spt="202" type="#_x0000_t202" style="position:absolute;left:0pt;margin-left:-90.8pt;margin-top:4.35pt;height:263.1pt;width:613.65pt;z-index:251659264;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P1B&#10;8+LaAAAACwEAAA8AAAAAAAAAAQAgAAAAIgAAAGRycy9kb3ducmV2LnhtbFBLAQIUABQAAAAIAIdO&#10;4kAQQP5FIQIAAE8EAAAOAAAAAAAAAAEAIAAAACkBAABkcnMvZTJvRG9jLnhtbFBLBQYAAAAABgAG&#10;AFkBAAC8BQAAAAA=&#10;">
                <v:fill type="pattern" on="t" color2="#FFFFFF" focussize="0,0" r:id="rId17"/>
                <v:stroke weight="0.5pt" color="#FFD966" joinstyle="round"/>
                <v:imagedata o:title=""/>
                <o:lock v:ext="edit" aspectratio="f"/>
                <v:textbox>
                  <w:txbxContent>
                    <w:p>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第二部分</w:t>
                      </w:r>
                      <w:r>
                        <w:rPr>
                          <w:rFonts w:ascii="黑体" w:hAnsi="黑体" w:eastAsia="黑体" w:cs="黑体"/>
                          <w:color w:val="000000"/>
                          <w:sz w:val="90"/>
                          <w:szCs w:val="90"/>
                        </w:rPr>
                        <w:t xml:space="preserve"> </w:t>
                      </w:r>
                    </w:p>
                    <w:p>
                      <w:pPr>
                        <w:widowControl/>
                        <w:jc w:val="center"/>
                        <w:rPr>
                          <w:rFonts w:ascii="黑体" w:hAnsi="黑体" w:eastAsia="黑体" w:cs="黑体"/>
                          <w:color w:val="000000"/>
                          <w:sz w:val="90"/>
                          <w:szCs w:val="90"/>
                        </w:rPr>
                      </w:pPr>
                      <w:r>
                        <w:rPr>
                          <w:rFonts w:ascii="黑体" w:hAnsi="黑体" w:eastAsia="黑体" w:cs="黑体"/>
                          <w:color w:val="000000"/>
                          <w:sz w:val="90"/>
                          <w:szCs w:val="90"/>
                        </w:rPr>
                        <w:t>2019</w:t>
                      </w:r>
                      <w:r>
                        <w:rPr>
                          <w:rFonts w:hint="eastAsia" w:ascii="黑体" w:hAnsi="黑体" w:eastAsia="黑体" w:cs="黑体"/>
                          <w:color w:val="000000"/>
                          <w:sz w:val="90"/>
                          <w:szCs w:val="90"/>
                        </w:rPr>
                        <w:t>年部门决算情况说明</w:t>
                      </w:r>
                    </w:p>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sz w:val="32"/>
          <w:szCs w:val="32"/>
        </w:rPr>
      </w:pPr>
      <w:r>
        <w:rPr>
          <w:rFonts w:hint="eastAsia" w:ascii="黑体" w:hAnsi="Calibri" w:eastAsia="黑体"/>
          <w:sz w:val="32"/>
          <w:szCs w:val="32"/>
        </w:rPr>
        <w:t>一、收入</w:t>
      </w:r>
      <w:r>
        <w:rPr>
          <w:rFonts w:hint="eastAsia" w:ascii="黑体" w:hAnsi="Cambria" w:eastAsia="黑体" w:cs="黑体"/>
          <w:kern w:val="0"/>
          <w:sz w:val="32"/>
          <w:szCs w:val="32"/>
        </w:rPr>
        <w:t>支出</w:t>
      </w:r>
      <w:r>
        <w:rPr>
          <w:rFonts w:hint="eastAsia" w:ascii="黑体" w:hAnsi="Calibri" w:eastAsia="黑体"/>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年度收支总计（含结转和结余）</w:t>
      </w:r>
      <w:r>
        <w:rPr>
          <w:rFonts w:ascii="仿宋_GB2312" w:hAnsi="Times New Roman" w:eastAsia="仿宋_GB2312" w:cs="DengXian-Regular"/>
          <w:sz w:val="32"/>
          <w:szCs w:val="32"/>
        </w:rPr>
        <w:t>19562.51</w:t>
      </w:r>
      <w:r>
        <w:rPr>
          <w:rFonts w:hint="eastAsia" w:ascii="仿宋_GB2312" w:hAnsi="Times New Roman" w:eastAsia="仿宋_GB2312" w:cs="DengXian-Regular"/>
          <w:sz w:val="32"/>
          <w:szCs w:val="32"/>
        </w:rPr>
        <w:t>万元。与</w:t>
      </w:r>
      <w:r>
        <w:rPr>
          <w:rFonts w:ascii="仿宋_GB2312" w:hAnsi="Times New Roman" w:eastAsia="仿宋_GB2312" w:cs="DengXian-Regular"/>
          <w:sz w:val="32"/>
          <w:szCs w:val="32"/>
        </w:rPr>
        <w:t>2018</w:t>
      </w:r>
      <w:r>
        <w:rPr>
          <w:rFonts w:hint="eastAsia" w:ascii="仿宋_GB2312" w:hAnsi="Times New Roman" w:eastAsia="仿宋_GB2312" w:cs="DengXian-Regular"/>
          <w:sz w:val="32"/>
          <w:szCs w:val="32"/>
        </w:rPr>
        <w:t>年度决算相比，收支各增加</w:t>
      </w:r>
      <w:r>
        <w:rPr>
          <w:rFonts w:ascii="仿宋_GB2312" w:hAnsi="Times New Roman" w:eastAsia="仿宋_GB2312" w:cs="DengXian-Regular"/>
          <w:sz w:val="32"/>
          <w:szCs w:val="32"/>
        </w:rPr>
        <w:t>6087.58</w:t>
      </w:r>
      <w:r>
        <w:rPr>
          <w:rFonts w:hint="eastAsia" w:ascii="仿宋_GB2312" w:hAnsi="Times New Roman" w:eastAsia="仿宋_GB2312" w:cs="DengXian-Regular"/>
          <w:sz w:val="32"/>
          <w:szCs w:val="32"/>
        </w:rPr>
        <w:t>万元，增长</w:t>
      </w:r>
      <w:r>
        <w:rPr>
          <w:rFonts w:ascii="仿宋_GB2312" w:hAnsi="Times New Roman" w:eastAsia="仿宋_GB2312" w:cs="DengXian-Regular"/>
          <w:sz w:val="32"/>
          <w:szCs w:val="32"/>
        </w:rPr>
        <w:t>45.18%</w:t>
      </w:r>
      <w:r>
        <w:rPr>
          <w:rFonts w:hint="eastAsia" w:ascii="仿宋_GB2312" w:hAnsi="Times New Roman" w:eastAsia="仿宋_GB2312" w:cs="DengXian-Regular"/>
          <w:sz w:val="32"/>
          <w:szCs w:val="32"/>
        </w:rPr>
        <w:t>，主要原因是税收增多。</w:t>
      </w:r>
    </w:p>
    <w:p>
      <w:pPr>
        <w:keepNext/>
        <w:keepLines/>
        <w:snapToGrid w:val="0"/>
        <w:spacing w:line="580" w:lineRule="exact"/>
        <w:ind w:firstLine="640" w:firstLineChars="200"/>
        <w:outlineLvl w:val="1"/>
        <w:rPr>
          <w:rFonts w:ascii="黑体" w:hAnsi="Calibri" w:eastAsia="黑体"/>
          <w:sz w:val="32"/>
          <w:szCs w:val="32"/>
        </w:rPr>
      </w:pPr>
      <w:r>
        <w:rPr>
          <w:rFonts w:hint="eastAsia" w:ascii="黑体" w:hAnsi="Calibri" w:eastAsia="黑体"/>
          <w:sz w:val="32"/>
          <w:szCs w:val="32"/>
        </w:rPr>
        <w:t>二、收入决算情况说明</w:t>
      </w:r>
    </w:p>
    <w:p>
      <w:pPr>
        <w:adjustRightInd w:val="0"/>
        <w:snapToGrid w:val="0"/>
        <w:spacing w:line="580" w:lineRule="exact"/>
        <w:ind w:firstLine="420" w:firstLineChars="200"/>
        <w:rPr>
          <w:rFonts w:ascii="仿宋_GB2312" w:hAnsi="Times New Roman" w:eastAsia="仿宋_GB2312" w:cs="DengXian-Regular"/>
          <w:sz w:val="32"/>
          <w:szCs w:val="32"/>
        </w:rPr>
      </w:pPr>
      <w:r>
        <w:drawing>
          <wp:anchor distT="0" distB="0" distL="114300" distR="114300" simplePos="0" relativeHeight="251665408" behindDoc="0" locked="0" layoutInCell="1" allowOverlap="1">
            <wp:simplePos x="0" y="0"/>
            <wp:positionH relativeFrom="column">
              <wp:posOffset>714375</wp:posOffset>
            </wp:positionH>
            <wp:positionV relativeFrom="paragraph">
              <wp:posOffset>1183640</wp:posOffset>
            </wp:positionV>
            <wp:extent cx="4267200" cy="2990850"/>
            <wp:effectExtent l="0" t="0" r="0" b="0"/>
            <wp:wrapNone/>
            <wp:docPr id="24" name="图片 3"/>
            <wp:cNvGraphicFramePr/>
            <a:graphic xmlns:a="http://schemas.openxmlformats.org/drawingml/2006/main">
              <a:graphicData uri="http://schemas.openxmlformats.org/drawingml/2006/picture">
                <pic:pic xmlns:pic="http://schemas.openxmlformats.org/drawingml/2006/picture">
                  <pic:nvPicPr>
                    <pic:cNvPr id="24" name="图片 3"/>
                    <pic:cNvPicPr/>
                  </pic:nvPicPr>
                  <pic:blipFill>
                    <a:blip r:embed="rId18">
                      <a:clrChange>
                        <a:clrFrom>
                          <a:srgbClr val="D9D9D9"/>
                        </a:clrFrom>
                        <a:clrTo>
                          <a:srgbClr val="D9D9D9">
                            <a:alpha val="0"/>
                          </a:srgbClr>
                        </a:clrTo>
                      </a:clrChange>
                    </a:blip>
                    <a:stretch>
                      <a:fillRect/>
                    </a:stretch>
                  </pic:blipFill>
                  <pic:spPr>
                    <a:xfrm>
                      <a:off x="0" y="0"/>
                      <a:ext cx="4267200" cy="2990850"/>
                    </a:xfrm>
                    <a:prstGeom prst="rect">
                      <a:avLst/>
                    </a:prstGeom>
                    <a:noFill/>
                    <a:ln>
                      <a:noFill/>
                    </a:ln>
                  </pic:spPr>
                </pic:pic>
              </a:graphicData>
            </a:graphic>
          </wp:anchor>
        </w:drawing>
      </w: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年度本年收入合计</w:t>
      </w:r>
      <w:r>
        <w:rPr>
          <w:rFonts w:ascii="仿宋_GB2312" w:hAnsi="Times New Roman" w:eastAsia="仿宋_GB2312" w:cs="DengXian-Regular"/>
          <w:sz w:val="32"/>
          <w:szCs w:val="32"/>
        </w:rPr>
        <w:t>19562.51</w:t>
      </w:r>
      <w:r>
        <w:rPr>
          <w:rFonts w:hint="eastAsia" w:ascii="仿宋_GB2312" w:hAnsi="Times New Roman" w:eastAsia="仿宋_GB2312" w:cs="DengXian-Regular"/>
          <w:sz w:val="32"/>
          <w:szCs w:val="32"/>
        </w:rPr>
        <w:t>万元，其中：财政拨款收入</w:t>
      </w:r>
      <w:r>
        <w:rPr>
          <w:rFonts w:ascii="仿宋_GB2312" w:hAnsi="Times New Roman" w:eastAsia="仿宋_GB2312" w:cs="DengXian-Regular"/>
          <w:sz w:val="32"/>
          <w:szCs w:val="32"/>
        </w:rPr>
        <w:t>17630.70</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90.12%</w:t>
      </w:r>
      <w:r>
        <w:rPr>
          <w:rFonts w:hint="eastAsia" w:ascii="仿宋_GB2312" w:hAnsi="Times New Roman" w:eastAsia="仿宋_GB2312" w:cs="DengXian-Regular"/>
          <w:sz w:val="32"/>
          <w:szCs w:val="32"/>
        </w:rPr>
        <w:t>；</w:t>
      </w:r>
      <w:r>
        <w:rPr>
          <w:rFonts w:hint="eastAsia" w:ascii="仿宋_GB2312" w:hAnsi="宋体" w:eastAsia="仿宋_GB2312" w:cs="宋体"/>
          <w:color w:val="000000"/>
          <w:kern w:val="0"/>
          <w:sz w:val="32"/>
          <w:szCs w:val="32"/>
        </w:rPr>
        <w:t>政府性基金预算财政拨款收入</w:t>
      </w:r>
      <w:r>
        <w:rPr>
          <w:rFonts w:ascii="仿宋_GB2312" w:hAnsi="宋体" w:eastAsia="仿宋_GB2312" w:cs="宋体"/>
          <w:color w:val="000000"/>
          <w:kern w:val="0"/>
          <w:sz w:val="32"/>
          <w:szCs w:val="32"/>
        </w:rPr>
        <w:t>5</w:t>
      </w:r>
      <w:r>
        <w:rPr>
          <w:rFonts w:hint="eastAsia" w:ascii="仿宋_GB2312" w:hAnsi="宋体" w:eastAsia="仿宋_GB2312" w:cs="宋体"/>
          <w:color w:val="000000"/>
          <w:kern w:val="0"/>
          <w:sz w:val="32"/>
          <w:szCs w:val="32"/>
        </w:rPr>
        <w:t>万元，占</w:t>
      </w:r>
      <w:r>
        <w:rPr>
          <w:rFonts w:ascii="仿宋_GB2312" w:hAnsi="宋体" w:eastAsia="仿宋_GB2312" w:cs="宋体"/>
          <w:color w:val="000000"/>
          <w:kern w:val="0"/>
          <w:sz w:val="32"/>
          <w:szCs w:val="32"/>
        </w:rPr>
        <w:t>0.03%</w:t>
      </w:r>
      <w:r>
        <w:rPr>
          <w:rFonts w:hint="eastAsia" w:ascii="仿宋_GB2312" w:hAnsi="Times New Roman" w:eastAsia="仿宋_GB2312" w:cs="DengXian-Regular"/>
          <w:sz w:val="32"/>
          <w:szCs w:val="32"/>
        </w:rPr>
        <w:t>；其他收入</w:t>
      </w:r>
      <w:r>
        <w:rPr>
          <w:rFonts w:ascii="仿宋_GB2312" w:hAnsi="Times New Roman" w:eastAsia="仿宋_GB2312" w:cs="DengXian-Regular"/>
          <w:sz w:val="32"/>
          <w:szCs w:val="32"/>
        </w:rPr>
        <w:t>1926.81</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9.85%</w:t>
      </w:r>
      <w:r>
        <w:rPr>
          <w:rFonts w:hint="eastAsia" w:ascii="仿宋_GB2312" w:hAnsi="Times New Roman" w:eastAsia="仿宋_GB2312" w:cs="DengXian-Regular"/>
          <w:sz w:val="32"/>
          <w:szCs w:val="32"/>
        </w:rPr>
        <w:t>。如图所示：</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keepNext/>
        <w:keepLines/>
        <w:snapToGrid w:val="0"/>
        <w:spacing w:line="580" w:lineRule="exact"/>
        <w:ind w:firstLine="643" w:firstLineChars="200"/>
        <w:outlineLvl w:val="1"/>
        <w:rPr>
          <w:rFonts w:ascii="黑体" w:hAnsi="Calibri" w:eastAsia="黑体"/>
          <w:b/>
          <w:bCs/>
          <w:sz w:val="32"/>
          <w:szCs w:val="32"/>
        </w:rPr>
      </w:pPr>
    </w:p>
    <w:p>
      <w:pPr>
        <w:keepNext/>
        <w:keepLines/>
        <w:snapToGrid w:val="0"/>
        <w:spacing w:line="580" w:lineRule="exact"/>
        <w:ind w:firstLine="643" w:firstLineChars="200"/>
        <w:outlineLvl w:val="1"/>
        <w:rPr>
          <w:rFonts w:ascii="黑体" w:hAnsi="Calibri" w:eastAsia="黑体"/>
          <w:b/>
          <w:bCs/>
          <w:sz w:val="32"/>
          <w:szCs w:val="32"/>
        </w:rPr>
      </w:pPr>
    </w:p>
    <w:p>
      <w:pPr>
        <w:keepNext/>
        <w:keepLines/>
        <w:snapToGrid w:val="0"/>
        <w:spacing w:line="580" w:lineRule="exact"/>
        <w:ind w:firstLine="643" w:firstLineChars="200"/>
        <w:outlineLvl w:val="1"/>
        <w:rPr>
          <w:rFonts w:ascii="黑体" w:hAnsi="Calibri" w:eastAsia="黑体"/>
          <w:b/>
          <w:bCs/>
          <w:sz w:val="32"/>
          <w:szCs w:val="32"/>
        </w:rPr>
      </w:pPr>
    </w:p>
    <w:p>
      <w:pPr>
        <w:keepNext/>
        <w:keepLines/>
        <w:snapToGrid w:val="0"/>
        <w:spacing w:line="580" w:lineRule="exact"/>
        <w:ind w:firstLine="643" w:firstLineChars="200"/>
        <w:outlineLvl w:val="1"/>
        <w:rPr>
          <w:rFonts w:ascii="黑体" w:hAnsi="Calibri" w:eastAsia="黑体"/>
          <w:b/>
          <w:bCs/>
          <w:sz w:val="32"/>
          <w:szCs w:val="32"/>
        </w:rPr>
      </w:pPr>
    </w:p>
    <w:p>
      <w:pPr>
        <w:keepNext/>
        <w:keepLines/>
        <w:snapToGrid w:val="0"/>
        <w:spacing w:line="580" w:lineRule="exact"/>
        <w:ind w:firstLine="643" w:firstLineChars="200"/>
        <w:outlineLvl w:val="1"/>
        <w:rPr>
          <w:rFonts w:ascii="黑体" w:hAnsi="Calibri" w:eastAsia="黑体"/>
          <w:b/>
          <w:bCs/>
          <w:sz w:val="32"/>
          <w:szCs w:val="32"/>
        </w:rPr>
      </w:pPr>
    </w:p>
    <w:p>
      <w:pPr>
        <w:keepNext/>
        <w:keepLines/>
        <w:snapToGrid w:val="0"/>
        <w:spacing w:line="580" w:lineRule="exact"/>
        <w:ind w:firstLine="643" w:firstLineChars="200"/>
        <w:outlineLvl w:val="1"/>
        <w:rPr>
          <w:rFonts w:ascii="黑体" w:hAnsi="Calibri" w:eastAsia="黑体"/>
          <w:b/>
          <w:bCs/>
          <w:sz w:val="32"/>
          <w:szCs w:val="32"/>
        </w:rPr>
      </w:pPr>
    </w:p>
    <w:p>
      <w:pPr>
        <w:keepNext/>
        <w:keepLines/>
        <w:snapToGrid w:val="0"/>
        <w:spacing w:line="580" w:lineRule="exact"/>
        <w:ind w:firstLine="640" w:firstLineChars="200"/>
        <w:outlineLvl w:val="1"/>
        <w:rPr>
          <w:rFonts w:ascii="黑体" w:hAnsi="Calibri" w:eastAsia="黑体"/>
          <w:sz w:val="32"/>
          <w:szCs w:val="32"/>
        </w:rPr>
      </w:pPr>
      <w:r>
        <w:rPr>
          <w:rFonts w:hint="eastAsia" w:ascii="黑体" w:hAnsi="Calibri" w:eastAsia="黑体"/>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年度本年支出合计</w:t>
      </w:r>
      <w:r>
        <w:rPr>
          <w:rFonts w:ascii="仿宋_GB2312" w:hAnsi="Times New Roman" w:eastAsia="仿宋_GB2312" w:cs="DengXian-Regular"/>
          <w:sz w:val="32"/>
          <w:szCs w:val="32"/>
        </w:rPr>
        <w:t>19562.51</w:t>
      </w:r>
      <w:r>
        <w:rPr>
          <w:rFonts w:hint="eastAsia" w:ascii="仿宋_GB2312" w:hAnsi="Times New Roman" w:eastAsia="仿宋_GB2312" w:cs="DengXian-Regular"/>
          <w:sz w:val="32"/>
          <w:szCs w:val="32"/>
        </w:rPr>
        <w:t>万元，其中：基本支出</w:t>
      </w:r>
      <w:r>
        <w:rPr>
          <w:rFonts w:ascii="仿宋_GB2312" w:hAnsi="Times New Roman" w:eastAsia="仿宋_GB2312" w:cs="DengXian-Regular"/>
          <w:sz w:val="32"/>
          <w:szCs w:val="32"/>
        </w:rPr>
        <w:t>1632.99</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8.35%</w:t>
      </w:r>
      <w:r>
        <w:rPr>
          <w:rFonts w:hint="eastAsia" w:ascii="仿宋_GB2312" w:hAnsi="Times New Roman" w:eastAsia="仿宋_GB2312" w:cs="DengXian-Regular"/>
          <w:sz w:val="32"/>
          <w:szCs w:val="32"/>
        </w:rPr>
        <w:t>；项目支出</w:t>
      </w:r>
      <w:r>
        <w:rPr>
          <w:rFonts w:ascii="仿宋_GB2312" w:hAnsi="Times New Roman" w:eastAsia="仿宋_GB2312" w:cs="DengXian-Regular"/>
          <w:sz w:val="32"/>
          <w:szCs w:val="32"/>
        </w:rPr>
        <w:t>14929.52</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91.65%</w:t>
      </w:r>
      <w:r>
        <w:rPr>
          <w:rFonts w:hint="eastAsia" w:ascii="仿宋_GB2312" w:hAnsi="Times New Roman" w:eastAsia="仿宋_GB2312" w:cs="DengXian-Regular"/>
          <w:sz w:val="32"/>
          <w:szCs w:val="32"/>
        </w:rPr>
        <w:t>。如图所示：</w:t>
      </w:r>
    </w:p>
    <w:p>
      <w:pPr>
        <w:adjustRightInd w:val="0"/>
        <w:snapToGrid w:val="0"/>
        <w:spacing w:line="580" w:lineRule="exact"/>
        <w:ind w:firstLine="1260" w:firstLineChars="600"/>
        <w:rPr>
          <w:rFonts w:ascii="仿宋_GB2312" w:hAnsi="Times New Roman" w:eastAsia="仿宋_GB2312" w:cs="DengXian-Regular"/>
          <w:sz w:val="32"/>
          <w:szCs w:val="32"/>
        </w:rPr>
      </w:pPr>
      <w:r>
        <w:drawing>
          <wp:anchor distT="0" distB="0" distL="114300" distR="114300" simplePos="0" relativeHeight="251666432" behindDoc="0" locked="0" layoutInCell="1" allowOverlap="1">
            <wp:simplePos x="0" y="0"/>
            <wp:positionH relativeFrom="column">
              <wp:posOffset>342900</wp:posOffset>
            </wp:positionH>
            <wp:positionV relativeFrom="paragraph">
              <wp:posOffset>50165</wp:posOffset>
            </wp:positionV>
            <wp:extent cx="4572000" cy="2743200"/>
            <wp:effectExtent l="0" t="0" r="0" b="0"/>
            <wp:wrapNone/>
            <wp:docPr id="25"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3" w:firstLineChars="200"/>
        <w:outlineLvl w:val="1"/>
        <w:rPr>
          <w:rFonts w:ascii="黑体" w:hAnsi="Calibri" w:eastAsia="黑体"/>
          <w:b/>
          <w:bCs/>
          <w:sz w:val="32"/>
          <w:szCs w:val="32"/>
        </w:rPr>
      </w:pPr>
    </w:p>
    <w:p>
      <w:pPr>
        <w:keepNext/>
        <w:keepLines/>
        <w:snapToGrid w:val="0"/>
        <w:spacing w:line="580" w:lineRule="exact"/>
        <w:ind w:firstLine="643" w:firstLineChars="200"/>
        <w:outlineLvl w:val="1"/>
        <w:rPr>
          <w:rFonts w:ascii="黑体" w:hAnsi="Calibri" w:eastAsia="黑体"/>
          <w:b/>
          <w:bCs/>
          <w:sz w:val="32"/>
          <w:szCs w:val="32"/>
        </w:rPr>
      </w:pPr>
    </w:p>
    <w:p>
      <w:pPr>
        <w:keepNext/>
        <w:keepLines/>
        <w:snapToGrid w:val="0"/>
        <w:spacing w:line="580" w:lineRule="exact"/>
        <w:ind w:firstLine="643" w:firstLineChars="200"/>
        <w:outlineLvl w:val="1"/>
        <w:rPr>
          <w:rFonts w:ascii="黑体" w:hAnsi="Calibri" w:eastAsia="黑体"/>
          <w:b/>
          <w:bCs/>
          <w:sz w:val="32"/>
          <w:szCs w:val="32"/>
        </w:rPr>
      </w:pPr>
    </w:p>
    <w:p>
      <w:pPr>
        <w:keepNext/>
        <w:keepLines/>
        <w:snapToGrid w:val="0"/>
        <w:spacing w:line="580" w:lineRule="exact"/>
        <w:ind w:firstLine="643" w:firstLineChars="200"/>
        <w:outlineLvl w:val="1"/>
        <w:rPr>
          <w:rFonts w:ascii="黑体" w:hAnsi="Calibri" w:eastAsia="黑体"/>
          <w:b/>
          <w:bCs/>
          <w:sz w:val="32"/>
          <w:szCs w:val="32"/>
        </w:rPr>
      </w:pPr>
    </w:p>
    <w:p>
      <w:pPr>
        <w:keepNext/>
        <w:keepLines/>
        <w:snapToGrid w:val="0"/>
        <w:spacing w:line="580" w:lineRule="exact"/>
        <w:ind w:firstLine="640" w:firstLineChars="200"/>
        <w:outlineLvl w:val="1"/>
        <w:rPr>
          <w:rFonts w:hint="eastAsia" w:ascii="黑体" w:hAnsi="Calibri" w:eastAsia="黑体"/>
          <w:sz w:val="32"/>
          <w:szCs w:val="32"/>
        </w:rPr>
      </w:pPr>
    </w:p>
    <w:p>
      <w:pPr>
        <w:keepNext/>
        <w:keepLines/>
        <w:snapToGrid w:val="0"/>
        <w:spacing w:line="580" w:lineRule="exact"/>
        <w:ind w:firstLine="640" w:firstLineChars="200"/>
        <w:outlineLvl w:val="1"/>
        <w:rPr>
          <w:rFonts w:hint="eastAsia" w:ascii="黑体" w:hAnsi="Calibri" w:eastAsia="黑体"/>
          <w:sz w:val="32"/>
          <w:szCs w:val="32"/>
        </w:rPr>
      </w:pPr>
    </w:p>
    <w:p>
      <w:pPr>
        <w:keepNext/>
        <w:keepLines/>
        <w:snapToGrid w:val="0"/>
        <w:spacing w:line="580" w:lineRule="exact"/>
        <w:ind w:firstLine="640" w:firstLineChars="200"/>
        <w:outlineLvl w:val="1"/>
        <w:rPr>
          <w:rFonts w:hint="eastAsia" w:ascii="黑体" w:hAnsi="Calibri" w:eastAsia="黑体"/>
          <w:sz w:val="32"/>
          <w:szCs w:val="32"/>
        </w:rPr>
      </w:pPr>
    </w:p>
    <w:p>
      <w:pPr>
        <w:keepNext/>
        <w:keepLines/>
        <w:snapToGrid w:val="0"/>
        <w:spacing w:line="580" w:lineRule="exact"/>
        <w:ind w:firstLine="640" w:firstLineChars="200"/>
        <w:outlineLvl w:val="1"/>
        <w:rPr>
          <w:rFonts w:ascii="黑体" w:hAnsi="Calibri" w:eastAsia="黑体"/>
          <w:sz w:val="32"/>
          <w:szCs w:val="32"/>
        </w:rPr>
      </w:pPr>
      <w:r>
        <w:rPr>
          <w:rFonts w:hint="eastAsia" w:ascii="黑体" w:hAnsi="Calibri" w:eastAsia="黑体"/>
          <w:sz w:val="32"/>
          <w:szCs w:val="32"/>
        </w:rPr>
        <w:t>四、</w:t>
      </w:r>
      <w:r>
        <w:rPr>
          <w:rFonts w:hint="eastAsia" w:ascii="黑体" w:hAnsi="Cambria" w:eastAsia="黑体" w:cs="黑体"/>
          <w:kern w:val="0"/>
          <w:sz w:val="32"/>
          <w:szCs w:val="32"/>
        </w:rPr>
        <w:t>财政</w:t>
      </w:r>
      <w:r>
        <w:rPr>
          <w:rFonts w:hint="eastAsia" w:ascii="黑体" w:hAnsi="Calibri" w:eastAsia="黑体"/>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w:t>
      </w:r>
      <w:r>
        <w:rPr>
          <w:rFonts w:ascii="楷体_GB2312" w:hAnsi="Times New Roman" w:eastAsia="楷体_GB2312" w:cs="DengXian-Bold"/>
          <w:b/>
          <w:bCs/>
          <w:sz w:val="32"/>
          <w:szCs w:val="32"/>
        </w:rPr>
        <w:t xml:space="preserve">2018 </w:t>
      </w:r>
      <w:r>
        <w:rPr>
          <w:rFonts w:hint="eastAsia" w:ascii="楷体_GB2312" w:hAnsi="Times New Roman" w:eastAsia="楷体_GB2312" w:cs="DengXian-Bold"/>
          <w:b/>
          <w:bCs/>
          <w:sz w:val="32"/>
          <w:szCs w:val="32"/>
        </w:rPr>
        <w:t>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年度财政拨款本年收入</w:t>
      </w:r>
      <w:r>
        <w:rPr>
          <w:rFonts w:ascii="仿宋_GB2312" w:hAnsi="Times New Roman" w:eastAsia="仿宋_GB2312" w:cs="DengXian-Regular"/>
          <w:sz w:val="32"/>
          <w:szCs w:val="32"/>
        </w:rPr>
        <w:t>17635.70</w:t>
      </w:r>
      <w:r>
        <w:rPr>
          <w:rFonts w:hint="eastAsia" w:ascii="仿宋_GB2312" w:hAnsi="Times New Roman" w:eastAsia="仿宋_GB2312" w:cs="DengXian-Regular"/>
          <w:sz w:val="32"/>
          <w:szCs w:val="32"/>
        </w:rPr>
        <w:t>万元</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比</w:t>
      </w:r>
      <w:r>
        <w:rPr>
          <w:rFonts w:ascii="仿宋_GB2312" w:hAnsi="Times New Roman" w:eastAsia="仿宋_GB2312" w:cs="DengXian-Regular"/>
          <w:sz w:val="32"/>
          <w:szCs w:val="32"/>
        </w:rPr>
        <w:t>2018</w:t>
      </w:r>
      <w:r>
        <w:rPr>
          <w:rFonts w:hint="eastAsia" w:ascii="仿宋_GB2312" w:hAnsi="Times New Roman" w:eastAsia="仿宋_GB2312" w:cs="DengXian-Regular"/>
          <w:sz w:val="32"/>
          <w:szCs w:val="32"/>
        </w:rPr>
        <w:t>年度增加</w:t>
      </w:r>
      <w:r>
        <w:rPr>
          <w:rFonts w:ascii="仿宋_GB2312" w:hAnsi="Times New Roman" w:eastAsia="仿宋_GB2312" w:cs="DengXian-Regular"/>
          <w:sz w:val="32"/>
          <w:szCs w:val="32"/>
        </w:rPr>
        <w:t>4155.77</w:t>
      </w:r>
      <w:r>
        <w:rPr>
          <w:rFonts w:hint="eastAsia" w:ascii="仿宋_GB2312" w:hAnsi="Times New Roman" w:eastAsia="仿宋_GB2312" w:cs="DengXian-Regular"/>
          <w:sz w:val="32"/>
          <w:szCs w:val="32"/>
        </w:rPr>
        <w:t>万元，增长</w:t>
      </w:r>
      <w:r>
        <w:rPr>
          <w:rFonts w:ascii="仿宋_GB2312" w:hAnsi="Times New Roman" w:eastAsia="仿宋_GB2312" w:cs="DengXian-Regular"/>
          <w:sz w:val="32"/>
          <w:szCs w:val="32"/>
        </w:rPr>
        <w:t>30.88%</w:t>
      </w:r>
      <w:r>
        <w:rPr>
          <w:rFonts w:hint="eastAsia" w:ascii="仿宋_GB2312" w:hAnsi="Times New Roman" w:eastAsia="仿宋_GB2312" w:cs="DengXian-Regular"/>
          <w:sz w:val="32"/>
          <w:szCs w:val="32"/>
        </w:rPr>
        <w:t>，主要是税收增多，财政拨款收入增多；本年支出</w:t>
      </w:r>
      <w:r>
        <w:rPr>
          <w:rFonts w:ascii="仿宋_GB2312" w:hAnsi="Times New Roman" w:eastAsia="仿宋_GB2312" w:cs="DengXian-Regular"/>
          <w:sz w:val="32"/>
          <w:szCs w:val="32"/>
        </w:rPr>
        <w:t>17635.70</w:t>
      </w:r>
      <w:r>
        <w:rPr>
          <w:rFonts w:hint="eastAsia" w:ascii="仿宋_GB2312" w:hAnsi="Times New Roman" w:eastAsia="仿宋_GB2312" w:cs="DengXian-Regular"/>
          <w:sz w:val="32"/>
          <w:szCs w:val="32"/>
        </w:rPr>
        <w:t>万元，增加</w:t>
      </w:r>
      <w:r>
        <w:rPr>
          <w:rFonts w:ascii="仿宋_GB2312" w:hAnsi="Times New Roman" w:eastAsia="仿宋_GB2312" w:cs="DengXian-Regular"/>
          <w:sz w:val="32"/>
          <w:szCs w:val="32"/>
        </w:rPr>
        <w:t>4155.77</w:t>
      </w:r>
      <w:r>
        <w:rPr>
          <w:rFonts w:hint="eastAsia" w:ascii="仿宋_GB2312" w:hAnsi="Times New Roman" w:eastAsia="仿宋_GB2312" w:cs="DengXian-Regular"/>
          <w:sz w:val="32"/>
          <w:szCs w:val="32"/>
        </w:rPr>
        <w:t>万元，增长</w:t>
      </w:r>
      <w:r>
        <w:rPr>
          <w:rFonts w:ascii="仿宋_GB2312" w:hAnsi="Times New Roman" w:eastAsia="仿宋_GB2312" w:cs="DengXian-Regular"/>
          <w:sz w:val="32"/>
          <w:szCs w:val="32"/>
        </w:rPr>
        <w:t>30.88x%</w:t>
      </w:r>
      <w:r>
        <w:rPr>
          <w:rFonts w:hint="eastAsia" w:ascii="仿宋_GB2312" w:hAnsi="Times New Roman" w:eastAsia="仿宋_GB2312" w:cs="DengXian-Regular"/>
          <w:sz w:val="32"/>
          <w:szCs w:val="32"/>
        </w:rPr>
        <w:t>，主要是项目增多，财政拨款支出增多。具体情况如下：</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w:t>
      </w:r>
      <w:r>
        <w:rPr>
          <w:rFonts w:ascii="仿宋_GB2312" w:hAnsi="Times New Roman" w:eastAsia="仿宋_GB2312" w:cs="DengXian-Regular"/>
          <w:sz w:val="32"/>
          <w:szCs w:val="32"/>
        </w:rPr>
        <w:t>17630.70</w:t>
      </w:r>
      <w:r>
        <w:rPr>
          <w:rFonts w:hint="eastAsia" w:ascii="仿宋_GB2312" w:hAnsi="Times New Roman" w:eastAsia="仿宋_GB2312" w:cs="DengXian-Regular"/>
          <w:sz w:val="32"/>
          <w:szCs w:val="32"/>
        </w:rPr>
        <w:t>万元，比上年增加</w:t>
      </w:r>
      <w:r>
        <w:rPr>
          <w:rFonts w:ascii="仿宋_GB2312" w:hAnsi="Times New Roman" w:eastAsia="仿宋_GB2312" w:cs="DengXian-Regular"/>
          <w:sz w:val="32"/>
          <w:szCs w:val="32"/>
        </w:rPr>
        <w:t>6065.18</w:t>
      </w:r>
      <w:r>
        <w:rPr>
          <w:rFonts w:hint="eastAsia" w:ascii="仿宋_GB2312" w:hAnsi="Times New Roman" w:eastAsia="仿宋_GB2312" w:cs="DengXian-Regular"/>
          <w:sz w:val="32"/>
          <w:szCs w:val="32"/>
        </w:rPr>
        <w:t>万元；主要是税收增多，一般公共预算财政拨款收入增多；本年支出</w:t>
      </w:r>
      <w:r>
        <w:rPr>
          <w:rFonts w:ascii="仿宋_GB2312" w:hAnsi="Times New Roman" w:eastAsia="仿宋_GB2312" w:cs="DengXian-Regular"/>
          <w:sz w:val="32"/>
          <w:szCs w:val="32"/>
        </w:rPr>
        <w:t>17630.70</w:t>
      </w:r>
      <w:r>
        <w:rPr>
          <w:rFonts w:hint="eastAsia" w:ascii="仿宋_GB2312" w:hAnsi="Times New Roman" w:eastAsia="仿宋_GB2312" w:cs="DengXian-Regular"/>
          <w:sz w:val="32"/>
          <w:szCs w:val="32"/>
        </w:rPr>
        <w:t>万元，比上年增加</w:t>
      </w:r>
      <w:r>
        <w:rPr>
          <w:rFonts w:ascii="仿宋_GB2312" w:hAnsi="Times New Roman" w:eastAsia="仿宋_GB2312" w:cs="DengXian-Regular"/>
          <w:sz w:val="32"/>
          <w:szCs w:val="32"/>
        </w:rPr>
        <w:t>6065.18</w:t>
      </w:r>
      <w:r>
        <w:rPr>
          <w:rFonts w:hint="eastAsia" w:ascii="仿宋_GB2312" w:hAnsi="Times New Roman" w:eastAsia="仿宋_GB2312" w:cs="DengXian-Regular"/>
          <w:sz w:val="32"/>
          <w:szCs w:val="32"/>
        </w:rPr>
        <w:t>万元，增长</w:t>
      </w:r>
      <w:r>
        <w:rPr>
          <w:rFonts w:ascii="仿宋_GB2312" w:hAnsi="Times New Roman" w:eastAsia="仿宋_GB2312" w:cs="DengXian-Regular"/>
          <w:sz w:val="32"/>
          <w:szCs w:val="32"/>
        </w:rPr>
        <w:t>52.44%</w:t>
      </w:r>
      <w:r>
        <w:rPr>
          <w:rFonts w:hint="eastAsia" w:ascii="仿宋_GB2312" w:hAnsi="Times New Roman" w:eastAsia="仿宋_GB2312" w:cs="DengXian-Regular"/>
          <w:sz w:val="32"/>
          <w:szCs w:val="32"/>
        </w:rPr>
        <w:t>，主要是项目增多，一般公共预算财政拨款支出增多。</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w:t>
      </w:r>
      <w:r>
        <w:rPr>
          <w:rFonts w:ascii="仿宋_GB2312" w:hAnsi="Times New Roman" w:eastAsia="仿宋_GB2312" w:cs="DengXian-Regular"/>
          <w:sz w:val="32"/>
          <w:szCs w:val="32"/>
        </w:rPr>
        <w:t>5</w:t>
      </w:r>
      <w:r>
        <w:rPr>
          <w:rFonts w:hint="eastAsia" w:ascii="仿宋_GB2312" w:hAnsi="Times New Roman" w:eastAsia="仿宋_GB2312" w:cs="DengXian-Regular"/>
          <w:sz w:val="32"/>
          <w:szCs w:val="32"/>
        </w:rPr>
        <w:t>万元，比上年减少</w:t>
      </w:r>
      <w:r>
        <w:rPr>
          <w:rFonts w:ascii="仿宋_GB2312" w:hAnsi="Times New Roman" w:eastAsia="仿宋_GB2312" w:cs="DengXian-Regular"/>
          <w:sz w:val="32"/>
          <w:szCs w:val="32"/>
        </w:rPr>
        <w:t>1795</w:t>
      </w:r>
      <w:r>
        <w:rPr>
          <w:rFonts w:hint="eastAsia" w:ascii="仿宋_GB2312" w:hAnsi="Times New Roman" w:eastAsia="仿宋_GB2312" w:cs="DengXian-Regular"/>
          <w:sz w:val="32"/>
          <w:szCs w:val="32"/>
        </w:rPr>
        <w:t>万元，降低</w:t>
      </w:r>
      <w:r>
        <w:rPr>
          <w:rFonts w:ascii="仿宋_GB2312" w:hAnsi="Times New Roman" w:eastAsia="仿宋_GB2312" w:cs="DengXian-Regular"/>
          <w:sz w:val="32"/>
          <w:szCs w:val="32"/>
        </w:rPr>
        <w:t>99.72%</w:t>
      </w:r>
      <w:r>
        <w:rPr>
          <w:rFonts w:hint="eastAsia" w:ascii="仿宋_GB2312" w:hAnsi="Times New Roman" w:eastAsia="仿宋_GB2312" w:cs="DengXian-Regular"/>
          <w:sz w:val="32"/>
          <w:szCs w:val="32"/>
        </w:rPr>
        <w:t>，主要原因是政府性基金项目减少。</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本年支出</w:t>
      </w:r>
      <w:r>
        <w:rPr>
          <w:rFonts w:ascii="仿宋_GB2312" w:hAnsi="Times New Roman" w:eastAsia="仿宋_GB2312" w:cs="DengXian-Regular"/>
          <w:sz w:val="32"/>
          <w:szCs w:val="32"/>
        </w:rPr>
        <w:t>17635.70</w:t>
      </w:r>
      <w:r>
        <w:rPr>
          <w:rFonts w:hint="eastAsia" w:ascii="仿宋_GB2312" w:hAnsi="Times New Roman" w:eastAsia="仿宋_GB2312" w:cs="DengXian-Regular"/>
          <w:sz w:val="32"/>
          <w:szCs w:val="32"/>
        </w:rPr>
        <w:t>万元，比上年增加</w:t>
      </w:r>
      <w:r>
        <w:rPr>
          <w:rFonts w:ascii="仿宋_GB2312" w:hAnsi="Times New Roman" w:eastAsia="仿宋_GB2312" w:cs="DengXian-Regular"/>
          <w:sz w:val="32"/>
          <w:szCs w:val="32"/>
        </w:rPr>
        <w:t>4155.77</w:t>
      </w:r>
      <w:r>
        <w:rPr>
          <w:rFonts w:hint="eastAsia" w:ascii="仿宋_GB2312" w:hAnsi="Times New Roman" w:eastAsia="仿宋_GB2312" w:cs="DengXian-Regular"/>
          <w:sz w:val="32"/>
          <w:szCs w:val="32"/>
        </w:rPr>
        <w:t>万元，增长</w:t>
      </w:r>
      <w:r>
        <w:rPr>
          <w:rFonts w:ascii="仿宋_GB2312" w:hAnsi="Times New Roman" w:eastAsia="仿宋_GB2312" w:cs="DengXian-Regular"/>
          <w:sz w:val="32"/>
          <w:szCs w:val="32"/>
        </w:rPr>
        <w:t>30.88%</w:t>
      </w:r>
      <w:r>
        <w:rPr>
          <w:rFonts w:hint="eastAsia" w:ascii="仿宋_GB2312" w:hAnsi="Times New Roman" w:eastAsia="仿宋_GB2312" w:cs="DengXian-Regular"/>
          <w:sz w:val="32"/>
          <w:szCs w:val="32"/>
        </w:rPr>
        <w:t>，主要是项目增多，财政拨款支出增多。</w:t>
      </w:r>
    </w:p>
    <w:p>
      <w:pPr>
        <w:adjustRightInd w:val="0"/>
        <w:snapToGrid w:val="0"/>
        <w:spacing w:line="580" w:lineRule="exact"/>
        <w:ind w:firstLine="420" w:firstLineChars="200"/>
        <w:rPr>
          <w:rFonts w:hint="eastAsia" w:ascii="仿宋_GB2312" w:hAnsi="Times New Roman" w:eastAsia="仿宋_GB2312" w:cs="DengXian-Regular"/>
          <w:sz w:val="32"/>
          <w:szCs w:val="32"/>
          <w:highlight w:val="yellow"/>
        </w:rPr>
      </w:pPr>
      <w:r>
        <w:drawing>
          <wp:anchor distT="0" distB="0" distL="114300" distR="114300" simplePos="0" relativeHeight="251667456" behindDoc="0" locked="0" layoutInCell="1" allowOverlap="1">
            <wp:simplePos x="0" y="0"/>
            <wp:positionH relativeFrom="column">
              <wp:posOffset>723900</wp:posOffset>
            </wp:positionH>
            <wp:positionV relativeFrom="paragraph">
              <wp:posOffset>139065</wp:posOffset>
            </wp:positionV>
            <wp:extent cx="4572000" cy="3753485"/>
            <wp:effectExtent l="0" t="0" r="0" b="0"/>
            <wp:wrapNone/>
            <wp:docPr id="26"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rPr>
          <w:rFonts w:hint="eastAsia" w:ascii="仿宋_GB2312" w:hAnsi="Times New Roman" w:eastAsia="仿宋_GB2312" w:cs="DengXian-Regular"/>
          <w:sz w:val="32"/>
          <w:szCs w:val="32"/>
          <w:highlight w:val="yellow"/>
        </w:rPr>
      </w:pPr>
    </w:p>
    <w:p>
      <w:pPr>
        <w:adjustRightInd w:val="0"/>
        <w:snapToGrid w:val="0"/>
        <w:spacing w:line="580" w:lineRule="exact"/>
        <w:ind w:firstLine="1680" w:firstLineChars="600"/>
        <w:rPr>
          <w:rFonts w:hint="default" w:ascii="仿宋_GB2312" w:hAnsi="Times New Roman" w:eastAsia="仿宋_GB2312" w:cs="DengXian-Regular"/>
          <w:sz w:val="28"/>
          <w:szCs w:val="28"/>
          <w:highlight w:val="none"/>
          <w:lang w:val="en-US" w:eastAsia="zh-CN"/>
        </w:rPr>
      </w:pPr>
      <w:r>
        <w:rPr>
          <w:rFonts w:hint="eastAsia" w:ascii="仿宋_GB2312" w:hAnsi="Times New Roman" w:eastAsia="仿宋_GB2312" w:cs="DengXian-Regular"/>
          <w:sz w:val="28"/>
          <w:szCs w:val="28"/>
          <w:highlight w:val="none"/>
          <w:lang w:val="en-US" w:eastAsia="zh-CN"/>
        </w:rPr>
        <w:t>图3：财政拨款收入与上年决算对比图</w:t>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420" w:firstLineChars="200"/>
        <w:rPr>
          <w:rFonts w:hint="eastAsia" w:ascii="仿宋_GB2312" w:hAnsi="Times New Roman" w:eastAsia="仿宋_GB2312" w:cs="DengXian-Regular"/>
          <w:sz w:val="32"/>
          <w:szCs w:val="32"/>
          <w:highlight w:val="yellow"/>
        </w:rPr>
      </w:pPr>
      <w:r>
        <w:drawing>
          <wp:anchor distT="0" distB="0" distL="114300" distR="114300" simplePos="0" relativeHeight="251668480" behindDoc="0" locked="0" layoutInCell="1" allowOverlap="1">
            <wp:simplePos x="0" y="0"/>
            <wp:positionH relativeFrom="column">
              <wp:posOffset>1000125</wp:posOffset>
            </wp:positionH>
            <wp:positionV relativeFrom="paragraph">
              <wp:posOffset>-172085</wp:posOffset>
            </wp:positionV>
            <wp:extent cx="4572000" cy="3352800"/>
            <wp:effectExtent l="0" t="0" r="0" b="0"/>
            <wp:wrapNone/>
            <wp:docPr id="2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2240" w:firstLineChars="800"/>
        <w:rPr>
          <w:rFonts w:hint="default" w:ascii="仿宋_GB2312" w:hAnsi="Times New Roman" w:eastAsia="仿宋_GB2312" w:cs="DengXian-Regular"/>
          <w:sz w:val="28"/>
          <w:szCs w:val="28"/>
          <w:highlight w:val="none"/>
          <w:lang w:val="en-US" w:eastAsia="zh-CN"/>
        </w:rPr>
      </w:pPr>
      <w:r>
        <w:rPr>
          <w:rFonts w:hint="eastAsia" w:ascii="仿宋_GB2312" w:hAnsi="Times New Roman" w:eastAsia="仿宋_GB2312" w:cs="DengXian-Regular"/>
          <w:sz w:val="28"/>
          <w:szCs w:val="28"/>
          <w:highlight w:val="none"/>
          <w:lang w:eastAsia="zh-CN"/>
        </w:rPr>
        <w:t>图</w:t>
      </w:r>
      <w:r>
        <w:rPr>
          <w:rFonts w:hint="eastAsia" w:ascii="仿宋_GB2312" w:hAnsi="Times New Roman" w:eastAsia="仿宋_GB2312" w:cs="DengXian-Regular"/>
          <w:sz w:val="28"/>
          <w:szCs w:val="28"/>
          <w:highlight w:val="none"/>
          <w:lang w:val="en-US" w:eastAsia="zh-CN"/>
        </w:rPr>
        <w:t>4：财政拨款支出与上年决算对比图</w:t>
      </w: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年度财政拨款本年收入</w:t>
      </w:r>
      <w:r>
        <w:rPr>
          <w:rFonts w:ascii="仿宋_GB2312" w:hAnsi="Times New Roman" w:eastAsia="仿宋_GB2312" w:cs="DengXian-Regular"/>
          <w:sz w:val="32"/>
          <w:szCs w:val="32"/>
        </w:rPr>
        <w:t>17</w:t>
      </w:r>
      <w:r>
        <w:rPr>
          <w:rFonts w:hint="eastAsia" w:ascii="仿宋_GB2312" w:hAnsi="Times New Roman" w:eastAsia="仿宋_GB2312" w:cs="DengXian-Regular"/>
          <w:sz w:val="32"/>
          <w:szCs w:val="32"/>
          <w:lang w:val="en-US" w:eastAsia="zh-CN"/>
        </w:rPr>
        <w:t>63</w:t>
      </w:r>
      <w:r>
        <w:rPr>
          <w:rFonts w:ascii="仿宋_GB2312" w:hAnsi="Times New Roman" w:eastAsia="仿宋_GB2312" w:cs="DengXian-Regular"/>
          <w:sz w:val="32"/>
          <w:szCs w:val="32"/>
        </w:rPr>
        <w:t>5.70</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120.92</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（如图</w:t>
      </w:r>
      <w:r>
        <w:rPr>
          <w:rFonts w:ascii="仿宋_GB2312" w:hAnsi="Times New Roman" w:eastAsia="仿宋_GB2312" w:cs="DengXian-Regular"/>
          <w:sz w:val="32"/>
          <w:szCs w:val="32"/>
        </w:rPr>
        <w:t>4</w:t>
      </w:r>
      <w:r>
        <w:rPr>
          <w:rFonts w:hint="eastAsia" w:ascii="仿宋_GB2312" w:hAnsi="Times New Roman" w:eastAsia="仿宋_GB2312" w:cs="DengXian-Regular"/>
          <w:sz w:val="32"/>
          <w:szCs w:val="32"/>
        </w:rPr>
        <w:t>）</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3051.49</w:t>
      </w:r>
      <w:r>
        <w:rPr>
          <w:rFonts w:hint="eastAsia" w:ascii="仿宋_GB2312" w:hAnsi="Times New Roman" w:eastAsia="仿宋_GB2312" w:cs="DengXian-Regular"/>
          <w:sz w:val="32"/>
          <w:szCs w:val="32"/>
        </w:rPr>
        <w:t>万元，决算数大于预算数主要原因是税收增多；本年支出</w:t>
      </w:r>
      <w:r>
        <w:rPr>
          <w:rFonts w:ascii="仿宋_GB2312" w:hAnsi="Times New Roman" w:eastAsia="仿宋_GB2312" w:cs="DengXian-Regular"/>
          <w:sz w:val="32"/>
          <w:szCs w:val="32"/>
        </w:rPr>
        <w:t>17635.70</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120.92</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3051.49</w:t>
      </w:r>
      <w:r>
        <w:rPr>
          <w:rFonts w:hint="eastAsia" w:ascii="仿宋_GB2312" w:hAnsi="Times New Roman" w:eastAsia="仿宋_GB2312" w:cs="DengXian-Regular"/>
          <w:sz w:val="32"/>
          <w:szCs w:val="32"/>
        </w:rPr>
        <w:t>万元，决算数大于预算数主要原因是主要是项目增多，财政拨款支出增多。具体情况如下：</w:t>
      </w:r>
    </w:p>
    <w:p>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一般公共预算财政拨款本年收入完成年初预算</w:t>
      </w:r>
      <w:r>
        <w:rPr>
          <w:rFonts w:hint="eastAsia" w:ascii="仿宋_GB2312" w:hAnsi="Times New Roman" w:eastAsia="仿宋_GB2312" w:cs="DengXian-Regular"/>
          <w:sz w:val="32"/>
          <w:szCs w:val="32"/>
          <w:lang w:val="en-US" w:eastAsia="zh-CN"/>
        </w:rPr>
        <w:t>123.72</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，比年初预算增加</w:t>
      </w:r>
      <w:r>
        <w:rPr>
          <w:rFonts w:ascii="仿宋_GB2312" w:hAnsi="Times New Roman" w:eastAsia="仿宋_GB2312" w:cs="DengXian-Regular"/>
          <w:sz w:val="32"/>
          <w:szCs w:val="32"/>
        </w:rPr>
        <w:t>3380.2</w:t>
      </w:r>
      <w:r>
        <w:rPr>
          <w:rFonts w:hint="eastAsia" w:ascii="仿宋_GB2312" w:hAnsi="Times New Roman" w:eastAsia="仿宋_GB2312" w:cs="DengXian-Regular"/>
          <w:sz w:val="32"/>
          <w:szCs w:val="32"/>
          <w:lang w:val="en-US" w:eastAsia="zh-CN"/>
        </w:rPr>
        <w:t>5</w:t>
      </w:r>
      <w:r>
        <w:rPr>
          <w:rFonts w:hint="eastAsia" w:ascii="仿宋_GB2312" w:hAnsi="Times New Roman" w:eastAsia="仿宋_GB2312" w:cs="DengXian-Regular"/>
          <w:sz w:val="32"/>
          <w:szCs w:val="32"/>
        </w:rPr>
        <w:t>万元，主要是税收增多；支出完成年初预算</w:t>
      </w:r>
      <w:r>
        <w:rPr>
          <w:rFonts w:ascii="仿宋_GB2312" w:hAnsi="Times New Roman" w:eastAsia="仿宋_GB2312" w:cs="DengXian-Regular"/>
          <w:sz w:val="32"/>
          <w:szCs w:val="32"/>
        </w:rPr>
        <w:t>123.72%</w:t>
      </w:r>
      <w:r>
        <w:rPr>
          <w:rFonts w:hint="eastAsia" w:ascii="仿宋_GB2312" w:hAnsi="Times New Roman" w:eastAsia="仿宋_GB2312" w:cs="DengXian-Regular"/>
          <w:sz w:val="32"/>
          <w:szCs w:val="32"/>
        </w:rPr>
        <w:t>，比年初预算增加</w:t>
      </w:r>
      <w:r>
        <w:rPr>
          <w:rFonts w:ascii="仿宋_GB2312" w:hAnsi="Times New Roman" w:eastAsia="仿宋_GB2312" w:cs="DengXian-Regular"/>
          <w:sz w:val="32"/>
          <w:szCs w:val="32"/>
        </w:rPr>
        <w:t>3380.2</w:t>
      </w:r>
      <w:r>
        <w:rPr>
          <w:rFonts w:hint="eastAsia" w:ascii="仿宋_GB2312" w:hAnsi="Times New Roman" w:eastAsia="仿宋_GB2312" w:cs="DengXian-Regular"/>
          <w:sz w:val="32"/>
          <w:szCs w:val="32"/>
          <w:lang w:val="en-US" w:eastAsia="zh-CN"/>
        </w:rPr>
        <w:t>5</w:t>
      </w:r>
      <w:r>
        <w:rPr>
          <w:rFonts w:hint="eastAsia" w:ascii="仿宋_GB2312" w:hAnsi="Times New Roman" w:eastAsia="仿宋_GB2312" w:cs="DengXian-Regular"/>
          <w:sz w:val="32"/>
          <w:szCs w:val="32"/>
        </w:rPr>
        <w:t>万元，主要是项目增多，一般公共预算财政拨款支出增多。</w:t>
      </w:r>
    </w:p>
    <w:p>
      <w:pPr>
        <w:numPr>
          <w:ilvl w:val="0"/>
          <w:numId w:val="0"/>
        </w:num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政府性基金预算财政拨款本年收入完成年初预算</w:t>
      </w:r>
      <w:r>
        <w:rPr>
          <w:rFonts w:ascii="仿宋_GB2312" w:hAnsi="Times New Roman" w:eastAsia="仿宋_GB2312" w:cs="DengXian-Regular"/>
          <w:sz w:val="32"/>
          <w:szCs w:val="32"/>
        </w:rPr>
        <w:t>1.50%</w:t>
      </w:r>
      <w:r>
        <w:rPr>
          <w:rFonts w:hint="eastAsia" w:ascii="仿宋_GB2312" w:hAnsi="Times New Roman" w:eastAsia="仿宋_GB2312" w:cs="DengXian-Regular"/>
          <w:sz w:val="32"/>
          <w:szCs w:val="32"/>
        </w:rPr>
        <w:t>，比年初预算减少</w:t>
      </w:r>
      <w:r>
        <w:rPr>
          <w:rFonts w:ascii="仿宋_GB2312" w:hAnsi="Times New Roman" w:eastAsia="仿宋_GB2312" w:cs="DengXian-Regular"/>
          <w:sz w:val="32"/>
          <w:szCs w:val="32"/>
        </w:rPr>
        <w:t xml:space="preserve"> 328.76</w:t>
      </w:r>
      <w:r>
        <w:rPr>
          <w:rFonts w:hint="eastAsia" w:ascii="仿宋_GB2312" w:hAnsi="Times New Roman" w:eastAsia="仿宋_GB2312" w:cs="DengXian-Regular"/>
          <w:sz w:val="32"/>
          <w:szCs w:val="32"/>
        </w:rPr>
        <w:t>万元，主要是年初政府性基金项目资金未拨付；支出完成年初预算</w:t>
      </w:r>
      <w:r>
        <w:rPr>
          <w:rFonts w:ascii="仿宋_GB2312" w:hAnsi="Times New Roman" w:eastAsia="仿宋_GB2312" w:cs="DengXian-Regular"/>
          <w:sz w:val="32"/>
          <w:szCs w:val="32"/>
        </w:rPr>
        <w:t>1.50%</w:t>
      </w:r>
      <w:r>
        <w:rPr>
          <w:rFonts w:hint="eastAsia" w:ascii="仿宋_GB2312" w:hAnsi="Times New Roman" w:eastAsia="仿宋_GB2312" w:cs="DengXian-Regular"/>
          <w:sz w:val="32"/>
          <w:szCs w:val="32"/>
        </w:rPr>
        <w:t>，比年初预算减少</w:t>
      </w:r>
      <w:r>
        <w:rPr>
          <w:rFonts w:ascii="仿宋_GB2312" w:hAnsi="Times New Roman" w:eastAsia="仿宋_GB2312" w:cs="DengXian-Regular"/>
          <w:sz w:val="32"/>
          <w:szCs w:val="32"/>
        </w:rPr>
        <w:t>328.76</w:t>
      </w:r>
      <w:r>
        <w:rPr>
          <w:rFonts w:hint="eastAsia" w:ascii="仿宋_GB2312" w:hAnsi="Times New Roman" w:eastAsia="仿宋_GB2312" w:cs="DengXian-Regular"/>
          <w:sz w:val="32"/>
          <w:szCs w:val="32"/>
        </w:rPr>
        <w:t>万元，主要是年初政府性基金项目资金未拨付。</w:t>
      </w:r>
    </w:p>
    <w:p>
      <w:pPr>
        <w:adjustRightInd w:val="0"/>
        <w:snapToGrid w:val="0"/>
        <w:spacing w:line="580" w:lineRule="exact"/>
        <w:ind w:firstLine="420" w:firstLineChars="200"/>
        <w:rPr>
          <w:rFonts w:hint="eastAsia" w:ascii="仿宋_GB2312" w:hAnsi="Times New Roman" w:eastAsia="仿宋_GB2312" w:cs="DengXian-Regular"/>
          <w:sz w:val="32"/>
          <w:szCs w:val="32"/>
          <w:highlight w:val="yellow"/>
        </w:rPr>
      </w:pPr>
      <w:r>
        <w:drawing>
          <wp:anchor distT="0" distB="0" distL="114300" distR="114300" simplePos="0" relativeHeight="251669504" behindDoc="0" locked="0" layoutInCell="1" allowOverlap="1">
            <wp:simplePos x="0" y="0"/>
            <wp:positionH relativeFrom="column">
              <wp:posOffset>714375</wp:posOffset>
            </wp:positionH>
            <wp:positionV relativeFrom="paragraph">
              <wp:posOffset>148590</wp:posOffset>
            </wp:positionV>
            <wp:extent cx="4572000" cy="2895600"/>
            <wp:effectExtent l="0" t="0" r="0" b="0"/>
            <wp:wrapNone/>
            <wp:docPr id="28"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2240" w:firstLineChars="800"/>
        <w:rPr>
          <w:rFonts w:hint="eastAsia" w:ascii="仿宋_GB2312" w:hAnsi="Times New Roman" w:eastAsia="仿宋_GB2312" w:cs="DengXian-Regular"/>
          <w:sz w:val="28"/>
          <w:szCs w:val="28"/>
          <w:highlight w:val="none"/>
          <w:lang w:val="en-US" w:eastAsia="zh-CN"/>
        </w:rPr>
      </w:pPr>
      <w:r>
        <w:rPr>
          <w:rFonts w:hint="eastAsia" w:ascii="仿宋_GB2312" w:hAnsi="Times New Roman" w:eastAsia="仿宋_GB2312" w:cs="DengXian-Regular"/>
          <w:sz w:val="28"/>
          <w:szCs w:val="28"/>
          <w:highlight w:val="none"/>
          <w:lang w:eastAsia="zh-CN"/>
        </w:rPr>
        <w:t>图</w:t>
      </w:r>
      <w:r>
        <w:rPr>
          <w:rFonts w:hint="eastAsia" w:ascii="仿宋_GB2312" w:hAnsi="Times New Roman" w:eastAsia="仿宋_GB2312" w:cs="DengXian-Regular"/>
          <w:sz w:val="28"/>
          <w:szCs w:val="28"/>
          <w:highlight w:val="none"/>
          <w:lang w:val="en-US" w:eastAsia="zh-CN"/>
        </w:rPr>
        <w:t>5：财政拨款预算和决算对比图</w:t>
      </w:r>
    </w:p>
    <w:p>
      <w:pPr>
        <w:adjustRightInd w:val="0"/>
        <w:snapToGrid w:val="0"/>
        <w:spacing w:line="580" w:lineRule="exact"/>
        <w:ind w:firstLine="2240" w:firstLineChars="800"/>
        <w:rPr>
          <w:rFonts w:hint="eastAsia" w:ascii="仿宋_GB2312" w:hAnsi="Times New Roman" w:eastAsia="仿宋_GB2312" w:cs="DengXian-Regular"/>
          <w:sz w:val="28"/>
          <w:szCs w:val="28"/>
          <w:highlight w:val="none"/>
          <w:lang w:val="en-US" w:eastAsia="zh-CN"/>
        </w:rPr>
      </w:pPr>
    </w:p>
    <w:p>
      <w:pPr>
        <w:numPr>
          <w:ilvl w:val="0"/>
          <w:numId w:val="3"/>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420" w:firstLineChars="200"/>
        <w:rPr>
          <w:rFonts w:ascii="黑体" w:hAnsi="Calibri" w:eastAsia="黑体"/>
          <w:sz w:val="32"/>
          <w:szCs w:val="32"/>
        </w:rPr>
      </w:pPr>
      <w:r>
        <mc:AlternateContent>
          <mc:Choice Requires="wpg">
            <w:drawing>
              <wp:anchor distT="0" distB="0" distL="114300" distR="114300" simplePos="0" relativeHeight="251663360" behindDoc="1" locked="0" layoutInCell="1" allowOverlap="1">
                <wp:simplePos x="0" y="0"/>
                <wp:positionH relativeFrom="column">
                  <wp:posOffset>1075055</wp:posOffset>
                </wp:positionH>
                <wp:positionV relativeFrom="paragraph">
                  <wp:posOffset>3757930</wp:posOffset>
                </wp:positionV>
                <wp:extent cx="3576320" cy="2209165"/>
                <wp:effectExtent l="0" t="0" r="0" b="0"/>
                <wp:wrapNone/>
                <wp:docPr id="20" name="组合 19"/>
                <wp:cNvGraphicFramePr/>
                <a:graphic xmlns:a="http://schemas.openxmlformats.org/drawingml/2006/main">
                  <a:graphicData uri="http://schemas.microsoft.com/office/word/2010/wordprocessingGroup">
                    <wpg:wgp>
                      <wpg:cNvGrpSpPr/>
                      <wpg:grpSpPr>
                        <a:xfrm>
                          <a:off x="0" y="0"/>
                          <a:ext cx="3576320" cy="2209165"/>
                          <a:chOff x="6921" y="180284"/>
                          <a:chExt cx="5065" cy="3465"/>
                        </a:xfrm>
                      </wpg:grpSpPr>
                      <pic:pic xmlns:pic="http://schemas.openxmlformats.org/drawingml/2006/picture">
                        <pic:nvPicPr>
                          <pic:cNvPr id="18" name="图片 1"/>
                          <pic:cNvPicPr>
                            <a:picLocks noChangeAspect="1"/>
                          </pic:cNvPicPr>
                        </pic:nvPicPr>
                        <pic:blipFill>
                          <a:blip r:embed="rId23"/>
                          <a:srcRect l="3252" t="2274" r="1859" b="7961"/>
                          <a:stretch>
                            <a:fillRect/>
                          </a:stretch>
                        </pic:blipFill>
                        <pic:spPr>
                          <a:xfrm>
                            <a:off x="7157" y="180284"/>
                            <a:ext cx="4586" cy="2988"/>
                          </a:xfrm>
                          <a:prstGeom prst="rect">
                            <a:avLst/>
                          </a:prstGeom>
                          <a:noFill/>
                          <a:ln>
                            <a:noFill/>
                          </a:ln>
                        </pic:spPr>
                      </pic:pic>
                      <wps:wsp>
                        <wps:cNvPr id="19" name="文本框 32"/>
                        <wps:cNvSpPr txBox="1"/>
                        <wps:spPr>
                          <a:xfrm>
                            <a:off x="6921" y="183134"/>
                            <a:ext cx="5065" cy="615"/>
                          </a:xfrm>
                          <a:prstGeom prst="rect">
                            <a:avLst/>
                          </a:prstGeom>
                          <a:solidFill>
                            <a:srgbClr val="FFFFFF"/>
                          </a:solidFill>
                          <a:ln w="6350">
                            <a:noFill/>
                          </a:ln>
                        </wps:spPr>
                        <wps:txb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ascii="仿宋_GB2312" w:hAnsi="Times New Roman" w:eastAsia="仿宋_GB2312" w:cs="DengXian-Regular"/>
                                  <w:sz w:val="28"/>
                                  <w:szCs w:val="28"/>
                                </w:rPr>
                                <w:t>X</w:t>
                              </w:r>
                              <w:r>
                                <w:rPr>
                                  <w:rFonts w:hint="eastAsia" w:ascii="仿宋_GB2312" w:hAnsi="Times New Roman" w:eastAsia="仿宋_GB2312" w:cs="DengXian-Regular"/>
                                  <w:sz w:val="28"/>
                                  <w:szCs w:val="28"/>
                                </w:rPr>
                                <w:t>：财政拨款支出决算结构（按功能分类）</w:t>
                              </w:r>
                            </w:p>
                            <w:p>
                              <w:pPr>
                                <w:spacing w:after="160" w:line="480" w:lineRule="auto"/>
                                <w:rPr>
                                  <w:rFonts w:ascii="Times New Roman" w:hAnsi="Times New Roman" w:eastAsia="宋体"/>
                                  <w:sz w:val="20"/>
                                </w:rPr>
                              </w:pPr>
                            </w:p>
                          </w:txbxContent>
                        </wps:txbx>
                        <wps:bodyPr upright="1"/>
                      </wps:wsp>
                    </wpg:wgp>
                  </a:graphicData>
                </a:graphic>
              </wp:anchor>
            </w:drawing>
          </mc:Choice>
          <mc:Fallback>
            <w:pict>
              <v:group id="组合 19" o:spid="_x0000_s1026" o:spt="203" style="position:absolute;left:0pt;margin-left:84.65pt;margin-top:295.9pt;height:173.95pt;width:281.6pt;z-index:-251653120;mso-width-relative:page;mso-height-relative:page;" coordorigin="6921,180284" coordsize="5065,3465" o:gfxdata="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">
                <o:lock v:ext="edit" aspectratio="f"/>
                <v:shape id="图片 1" o:spid="_x0000_s1026" o:spt="75" type="#_x0000_t75" style="position:absolute;left:7157;top:180284;height:2988;width:4586;" filled="f" o:preferrelative="t" stroked="f" coordsize="21600,21600" o:gfxdata="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2pmScugAAANsA&#10;AAAPAAAAAAAAAAEAIAAAACIAAABkcnMvZG93bnJldi54bWxQSwECFAAUAAAACACHTuJAMy8FnjsA&#10;AAA5AAAAEAAAAAAAAAABACAAAAAJAQAAZHJzL3NoYXBleG1sLnhtbFBLBQYAAAAABgAGAFsBAACz&#10;AwAAAAA=&#10;">
                  <v:fill on="f" focussize="0,0"/>
                  <v:stroke on="f"/>
                  <v:imagedata r:id="rId23" cropleft="2131f" croptop="1490f" cropright="1218f" cropbottom="5217f" o:title=""/>
                  <o:lock v:ext="edit" aspectratio="t"/>
                </v:shape>
                <v:shape id="文本框 32" o:spid="_x0000_s1026" o:spt="202" type="#_x0000_t202" style="position:absolute;left:6921;top:183134;height:615;width:5065;" fillcolor="#FFFFFF" filled="t" stroked="f" coordsize="21600,21600" o:gfxdata="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6ooDK7UAAADbAAAADwAA&#10;AAAAAAABACAAAAAiAAAAZHJzL2Rvd25yZXYueG1sUEsBAhQAFAAAAAgAh07iQDMvBZ47AAAAOQAA&#10;ABAAAAAAAAAAAQAgAAAABAEAAGRycy9zaGFwZXhtbC54bWxQSwUGAAAAAAYABgBbAQAArgMAAAAA&#10;">
                  <v:fill on="t" focussize="0,0"/>
                  <v:stroke on="f" weight="0.5pt"/>
                  <v:imagedata o:title=""/>
                  <o:lock v:ext="edit" aspectratio="f"/>
                  <v:textbo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ascii="仿宋_GB2312" w:hAnsi="Times New Roman" w:eastAsia="仿宋_GB2312" w:cs="DengXian-Regular"/>
                            <w:sz w:val="28"/>
                            <w:szCs w:val="28"/>
                          </w:rPr>
                          <w:t>X</w:t>
                        </w:r>
                        <w:r>
                          <w:rPr>
                            <w:rFonts w:hint="eastAsia" w:ascii="仿宋_GB2312" w:hAnsi="Times New Roman" w:eastAsia="仿宋_GB2312" w:cs="DengXian-Regular"/>
                            <w:sz w:val="28"/>
                            <w:szCs w:val="28"/>
                          </w:rPr>
                          <w:t>：财政拨款支出决算结构（按功能分类）</w:t>
                        </w:r>
                      </w:p>
                      <w:p>
                        <w:pPr>
                          <w:spacing w:after="160" w:line="480" w:lineRule="auto"/>
                          <w:rPr>
                            <w:rFonts w:ascii="Times New Roman" w:hAnsi="Times New Roman" w:eastAsia="宋体"/>
                            <w:sz w:val="20"/>
                          </w:rPr>
                        </w:pPr>
                      </w:p>
                    </w:txbxContent>
                  </v:textbox>
                </v:shape>
              </v:group>
            </w:pict>
          </mc:Fallback>
        </mc:AlternateContent>
      </w:r>
      <w:r>
        <w:rPr>
          <w:rFonts w:ascii="仿宋_GB2312" w:hAnsi="Times New Roman" w:eastAsia="仿宋_GB2312" w:cs="DengXian-Regular"/>
          <w:sz w:val="32"/>
          <w:szCs w:val="32"/>
        </w:rPr>
        <w:t xml:space="preserve">2019 </w:t>
      </w:r>
      <w:r>
        <w:rPr>
          <w:rFonts w:hint="eastAsia" w:ascii="仿宋_GB2312" w:hAnsi="Times New Roman" w:eastAsia="仿宋_GB2312" w:cs="DengXian-Regular"/>
          <w:sz w:val="32"/>
          <w:szCs w:val="32"/>
        </w:rPr>
        <w:t>年度财政拨款支出</w:t>
      </w:r>
      <w:r>
        <w:rPr>
          <w:rFonts w:ascii="仿宋_GB2312" w:hAnsi="Times New Roman" w:eastAsia="仿宋_GB2312" w:cs="DengXian-Regular"/>
          <w:sz w:val="32"/>
          <w:szCs w:val="32"/>
        </w:rPr>
        <w:t>17635.70</w:t>
      </w:r>
      <w:r>
        <w:rPr>
          <w:rFonts w:hint="eastAsia" w:ascii="仿宋_GB2312" w:hAnsi="Times New Roman" w:eastAsia="仿宋_GB2312" w:cs="DengXian-Regular"/>
          <w:sz w:val="32"/>
          <w:szCs w:val="32"/>
        </w:rPr>
        <w:t>万元，主要用于以下方面一般公共服务（类）支出</w:t>
      </w:r>
      <w:r>
        <w:rPr>
          <w:rFonts w:ascii="仿宋_GB2312" w:hAnsi="Times New Roman" w:eastAsia="仿宋_GB2312" w:cs="DengXian-Regular"/>
          <w:sz w:val="32"/>
          <w:szCs w:val="32"/>
        </w:rPr>
        <w:t>1381.29</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7.83%</w:t>
      </w:r>
      <w:r>
        <w:rPr>
          <w:rFonts w:hint="eastAsia" w:ascii="仿宋_GB2312" w:hAnsi="Times New Roman" w:eastAsia="仿宋_GB2312" w:cs="DengXian-Regular"/>
          <w:sz w:val="32"/>
          <w:szCs w:val="32"/>
        </w:rPr>
        <w:t>；公共安全（类）支出</w:t>
      </w:r>
      <w:r>
        <w:rPr>
          <w:rFonts w:ascii="仿宋_GB2312" w:hAnsi="Times New Roman" w:eastAsia="仿宋_GB2312" w:cs="DengXian-Regular"/>
          <w:sz w:val="32"/>
          <w:szCs w:val="32"/>
        </w:rPr>
        <w:t>340.58</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1.93%</w:t>
      </w:r>
      <w:r>
        <w:rPr>
          <w:rFonts w:hint="eastAsia" w:ascii="仿宋_GB2312" w:hAnsi="Times New Roman" w:eastAsia="仿宋_GB2312" w:cs="DengXian-Regular"/>
          <w:sz w:val="32"/>
          <w:szCs w:val="32"/>
        </w:rPr>
        <w:t>；教育（类）支出</w:t>
      </w:r>
      <w:r>
        <w:rPr>
          <w:rFonts w:ascii="仿宋_GB2312" w:hAnsi="Times New Roman" w:eastAsia="仿宋_GB2312" w:cs="DengXian-Regular"/>
          <w:sz w:val="32"/>
          <w:szCs w:val="32"/>
        </w:rPr>
        <w:t>586.56</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3.33%</w:t>
      </w:r>
      <w:r>
        <w:rPr>
          <w:rFonts w:hint="eastAsia" w:ascii="仿宋_GB2312" w:hAnsi="Times New Roman" w:eastAsia="仿宋_GB2312" w:cs="DengXian-Regular"/>
          <w:sz w:val="32"/>
          <w:szCs w:val="32"/>
        </w:rPr>
        <w:t>；文化旅游体育与传媒（类）支出</w:t>
      </w:r>
      <w:r>
        <w:rPr>
          <w:rFonts w:ascii="仿宋_GB2312" w:hAnsi="Times New Roman" w:eastAsia="仿宋_GB2312" w:cs="DengXian-Regular"/>
          <w:sz w:val="32"/>
          <w:szCs w:val="32"/>
        </w:rPr>
        <w:t>104.77</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 xml:space="preserve"> 0.59%</w:t>
      </w:r>
      <w:r>
        <w:rPr>
          <w:rFonts w:hint="eastAsia" w:ascii="仿宋_GB2312" w:hAnsi="Times New Roman" w:eastAsia="仿宋_GB2312" w:cs="DengXian-Regular"/>
          <w:sz w:val="32"/>
          <w:szCs w:val="32"/>
        </w:rPr>
        <w:t>；社会保障和就业（类）支出</w:t>
      </w:r>
      <w:r>
        <w:rPr>
          <w:rFonts w:ascii="仿宋_GB2312" w:hAnsi="Times New Roman" w:eastAsia="仿宋_GB2312" w:cs="DengXian-Regular"/>
          <w:sz w:val="32"/>
          <w:szCs w:val="32"/>
        </w:rPr>
        <w:t xml:space="preserve"> 77.82</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0.44%</w:t>
      </w:r>
      <w:r>
        <w:rPr>
          <w:rFonts w:hint="eastAsia" w:ascii="仿宋_GB2312" w:hAnsi="Times New Roman" w:eastAsia="仿宋_GB2312" w:cs="DengXian-Regular"/>
          <w:sz w:val="32"/>
          <w:szCs w:val="32"/>
        </w:rPr>
        <w:t>；卫生健康（类）支出</w:t>
      </w:r>
      <w:r>
        <w:rPr>
          <w:rFonts w:ascii="仿宋_GB2312" w:hAnsi="Times New Roman" w:eastAsia="仿宋_GB2312" w:cs="DengXian-Regular"/>
          <w:sz w:val="32"/>
          <w:szCs w:val="32"/>
        </w:rPr>
        <w:t>259.04</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 xml:space="preserve"> 1.47%;</w:t>
      </w:r>
      <w:r>
        <w:rPr>
          <w:rFonts w:hint="eastAsia" w:ascii="仿宋_GB2312" w:hAnsi="Times New Roman" w:eastAsia="仿宋_GB2312" w:cs="DengXian-Regular"/>
          <w:sz w:val="32"/>
          <w:szCs w:val="32"/>
        </w:rPr>
        <w:t>节能环保（类）支出</w:t>
      </w:r>
      <w:r>
        <w:rPr>
          <w:rFonts w:ascii="仿宋_GB2312" w:hAnsi="Times New Roman" w:eastAsia="仿宋_GB2312" w:cs="DengXian-Regular"/>
          <w:sz w:val="32"/>
          <w:szCs w:val="32"/>
        </w:rPr>
        <w:t>52.20</w:t>
      </w:r>
      <w:r>
        <w:rPr>
          <w:rFonts w:hint="eastAsia" w:ascii="仿宋_GB2312" w:hAnsi="Times New Roman" w:eastAsia="仿宋_GB2312" w:cs="DengXian-Regular"/>
          <w:sz w:val="32"/>
          <w:szCs w:val="32"/>
        </w:rPr>
        <w:t>万元，</w:t>
      </w:r>
      <w:r>
        <w:drawing>
          <wp:anchor distT="0" distB="0" distL="114300" distR="114300" simplePos="0" relativeHeight="251670528" behindDoc="0" locked="0" layoutInCell="1" allowOverlap="1">
            <wp:simplePos x="0" y="0"/>
            <wp:positionH relativeFrom="column">
              <wp:posOffset>533400</wp:posOffset>
            </wp:positionH>
            <wp:positionV relativeFrom="paragraph">
              <wp:posOffset>1424940</wp:posOffset>
            </wp:positionV>
            <wp:extent cx="4552950" cy="3867150"/>
            <wp:effectExtent l="0" t="0" r="0" b="0"/>
            <wp:wrapNone/>
            <wp:docPr id="2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anchor>
        </w:drawing>
      </w:r>
      <w:r>
        <w:rPr>
          <w:rFonts w:hint="eastAsia" w:ascii="仿宋_GB2312" w:hAnsi="Times New Roman" w:eastAsia="仿宋_GB2312" w:cs="DengXian-Regular"/>
          <w:sz w:val="32"/>
          <w:szCs w:val="32"/>
        </w:rPr>
        <w:t>占</w:t>
      </w:r>
      <w:r>
        <w:rPr>
          <w:rFonts w:ascii="仿宋_GB2312" w:hAnsi="Times New Roman" w:eastAsia="仿宋_GB2312" w:cs="DengXian-Regular"/>
          <w:sz w:val="32"/>
          <w:szCs w:val="32"/>
        </w:rPr>
        <w:t>0.30%</w:t>
      </w:r>
      <w:r>
        <w:rPr>
          <w:rFonts w:hint="eastAsia" w:ascii="仿宋_GB2312" w:hAnsi="Times New Roman" w:eastAsia="仿宋_GB2312" w:cs="DengXian-Regular"/>
          <w:sz w:val="32"/>
          <w:szCs w:val="32"/>
        </w:rPr>
        <w:t>；城乡社区（类）支出</w:t>
      </w:r>
      <w:r>
        <w:rPr>
          <w:rFonts w:ascii="仿宋_GB2312" w:hAnsi="Times New Roman" w:eastAsia="仿宋_GB2312" w:cs="DengXian-Regular"/>
          <w:sz w:val="32"/>
          <w:szCs w:val="32"/>
        </w:rPr>
        <w:t>10644.80</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60.36%</w:t>
      </w:r>
      <w:r>
        <w:rPr>
          <w:rFonts w:hint="eastAsia" w:ascii="仿宋_GB2312" w:hAnsi="Times New Roman" w:eastAsia="仿宋_GB2312" w:cs="DengXian-Regular"/>
          <w:sz w:val="32"/>
          <w:szCs w:val="32"/>
        </w:rPr>
        <w:t>；农林水（类）支出</w:t>
      </w:r>
      <w:r>
        <w:rPr>
          <w:rFonts w:ascii="仿宋_GB2312" w:hAnsi="Times New Roman" w:eastAsia="仿宋_GB2312" w:cs="DengXian-Regular"/>
          <w:sz w:val="32"/>
          <w:szCs w:val="32"/>
        </w:rPr>
        <w:t>3547.64</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20.12%</w:t>
      </w:r>
      <w:r>
        <w:rPr>
          <w:rFonts w:hint="eastAsia" w:ascii="仿宋_GB2312" w:hAnsi="Times New Roman" w:eastAsia="仿宋_GB2312" w:cs="DengXian-Regular"/>
          <w:sz w:val="32"/>
          <w:szCs w:val="32"/>
        </w:rPr>
        <w:t>；交通运输（类）支出</w:t>
      </w:r>
      <w:r>
        <w:rPr>
          <w:rFonts w:ascii="仿宋_GB2312" w:hAnsi="Times New Roman" w:eastAsia="仿宋_GB2312" w:cs="DengXian-Regular"/>
          <w:sz w:val="32"/>
          <w:szCs w:val="32"/>
        </w:rPr>
        <w:t>633</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3.58%</w:t>
      </w:r>
      <w:r>
        <w:rPr>
          <w:rFonts w:hint="eastAsia" w:ascii="仿宋_GB2312" w:hAnsi="Times New Roman" w:eastAsia="仿宋_GB2312" w:cs="DengXian-Regular"/>
          <w:sz w:val="32"/>
          <w:szCs w:val="32"/>
        </w:rPr>
        <w:t>；灾害防治及应急管理（类）支出</w:t>
      </w:r>
      <w:r>
        <w:rPr>
          <w:rFonts w:ascii="仿宋_GB2312" w:hAnsi="Times New Roman" w:eastAsia="仿宋_GB2312" w:cs="DengXian-Regular"/>
          <w:sz w:val="32"/>
          <w:szCs w:val="32"/>
        </w:rPr>
        <w:t>8</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0.05%</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sz w:val="32"/>
          <w:szCs w:val="32"/>
        </w:rPr>
      </w:pPr>
    </w:p>
    <w:p>
      <w:pPr>
        <w:keepNext/>
        <w:keepLines/>
        <w:snapToGrid w:val="0"/>
        <w:spacing w:line="580" w:lineRule="exact"/>
        <w:ind w:firstLine="640" w:firstLineChars="200"/>
        <w:outlineLvl w:val="1"/>
        <w:rPr>
          <w:rFonts w:ascii="黑体" w:hAnsi="Calibri" w:eastAsia="黑体"/>
          <w:sz w:val="32"/>
          <w:szCs w:val="32"/>
        </w:rPr>
      </w:pPr>
    </w:p>
    <w:p>
      <w:pPr>
        <w:keepNext/>
        <w:keepLines/>
        <w:snapToGrid w:val="0"/>
        <w:spacing w:line="580" w:lineRule="exact"/>
        <w:ind w:firstLine="640" w:firstLineChars="200"/>
        <w:outlineLvl w:val="1"/>
        <w:rPr>
          <w:rFonts w:ascii="黑体" w:hAnsi="Calibri" w:eastAsia="黑体"/>
          <w:sz w:val="32"/>
          <w:szCs w:val="32"/>
        </w:rPr>
      </w:pPr>
    </w:p>
    <w:p>
      <w:pPr>
        <w:keepNext/>
        <w:keepLines/>
        <w:snapToGrid w:val="0"/>
        <w:spacing w:line="580" w:lineRule="exact"/>
        <w:outlineLvl w:val="1"/>
        <w:rPr>
          <w:rFonts w:ascii="黑体" w:hAnsi="Calibri" w:eastAsia="黑体"/>
          <w:sz w:val="32"/>
          <w:szCs w:val="32"/>
        </w:rPr>
      </w:pPr>
    </w:p>
    <w:p>
      <w:pPr>
        <w:keepNext/>
        <w:keepLines/>
        <w:snapToGrid w:val="0"/>
        <w:spacing w:line="580" w:lineRule="exact"/>
        <w:ind w:firstLine="640" w:firstLineChars="200"/>
        <w:outlineLvl w:val="1"/>
        <w:rPr>
          <w:rFonts w:ascii="黑体" w:hAnsi="Calibri" w:eastAsia="黑体"/>
          <w:sz w:val="32"/>
          <w:szCs w:val="32"/>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Borders>
            <w:top w:val="none" w:sz="0" w:space="0"/>
            <w:left w:val="none" w:sz="0" w:space="0"/>
            <w:bottom w:val="none" w:sz="0" w:space="0"/>
            <w:right w:val="none" w:sz="0" w:space="0"/>
          </w:pgBorders>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p>
    <w:p>
      <w:pPr>
        <w:adjustRightInd w:val="0"/>
        <w:snapToGrid w:val="0"/>
        <w:spacing w:line="580" w:lineRule="exact"/>
        <w:ind w:left="420" w:leftChars="200"/>
        <w:rPr>
          <w:rFonts w:hint="eastAsia" w:ascii="楷体_GB2312" w:hAnsi="Times New Roman" w:eastAsia="楷体_GB2312" w:cs="DengXian-Bold"/>
          <w:b/>
          <w:bCs/>
          <w:sz w:val="32"/>
          <w:szCs w:val="32"/>
        </w:rPr>
      </w:pPr>
    </w:p>
    <w:p>
      <w:pPr>
        <w:adjustRightInd w:val="0"/>
        <w:snapToGrid w:val="0"/>
        <w:spacing w:line="580" w:lineRule="exact"/>
        <w:ind w:left="420" w:leftChars="200"/>
        <w:rPr>
          <w:rFonts w:hint="eastAsia" w:ascii="楷体_GB2312" w:hAnsi="Times New Roman" w:eastAsia="楷体_GB2312" w:cs="DengXian-Bold"/>
          <w:b/>
          <w:bCs/>
          <w:sz w:val="32"/>
          <w:szCs w:val="32"/>
        </w:rPr>
      </w:pPr>
    </w:p>
    <w:p>
      <w:pPr>
        <w:adjustRightInd w:val="0"/>
        <w:snapToGrid w:val="0"/>
        <w:spacing w:line="580" w:lineRule="exact"/>
        <w:ind w:left="420" w:leftChars="200"/>
        <w:rPr>
          <w:rFonts w:hint="eastAsia" w:ascii="楷体_GB2312" w:hAnsi="Times New Roman" w:eastAsia="楷体_GB2312" w:cs="DengXian-Bold"/>
          <w:b/>
          <w:bCs/>
          <w:sz w:val="32"/>
          <w:szCs w:val="32"/>
        </w:rPr>
      </w:pPr>
    </w:p>
    <w:p>
      <w:pPr>
        <w:adjustRightInd w:val="0"/>
        <w:snapToGrid w:val="0"/>
        <w:spacing w:line="580" w:lineRule="exact"/>
        <w:ind w:left="420" w:leftChars="200"/>
        <w:jc w:val="center"/>
        <w:rPr>
          <w:rFonts w:hint="eastAsia" w:ascii="仿宋_GB2312" w:hAnsi="仿宋_GB2312" w:eastAsia="仿宋_GB2312" w:cs="仿宋_GB2312"/>
          <w:b w:val="0"/>
          <w:bCs w:val="0"/>
          <w:sz w:val="28"/>
          <w:szCs w:val="28"/>
          <w:lang w:val="en-US" w:eastAsia="zh-CN"/>
        </w:rPr>
      </w:pPr>
      <w:r>
        <w:rPr>
          <w:rFonts w:hint="eastAsia" w:ascii="仿宋_GB2312" w:hAnsi="仿宋_GB2312" w:eastAsia="仿宋_GB2312" w:cs="仿宋_GB2312"/>
          <w:b w:val="0"/>
          <w:bCs w:val="0"/>
          <w:sz w:val="28"/>
          <w:szCs w:val="28"/>
          <w:lang w:eastAsia="zh-CN"/>
        </w:rPr>
        <w:t>图</w:t>
      </w:r>
      <w:r>
        <w:rPr>
          <w:rFonts w:hint="eastAsia" w:ascii="仿宋_GB2312" w:hAnsi="仿宋_GB2312" w:eastAsia="仿宋_GB2312" w:cs="仿宋_GB2312"/>
          <w:b w:val="0"/>
          <w:bCs w:val="0"/>
          <w:sz w:val="28"/>
          <w:szCs w:val="28"/>
          <w:lang w:val="en-US" w:eastAsia="zh-CN"/>
        </w:rPr>
        <w:t>6：财政拨款支出决算结构（按功能分类）</w:t>
      </w: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ascii="仿宋_GB2312" w:hAnsi="Times New Roman" w:eastAsia="仿宋_GB2312" w:cs="DengXian-Regular"/>
          <w:sz w:val="32"/>
          <w:szCs w:val="32"/>
        </w:rPr>
        <w:t xml:space="preserve">2019 </w:t>
      </w:r>
      <w:r>
        <w:rPr>
          <w:rFonts w:hint="eastAsia" w:ascii="仿宋_GB2312" w:hAnsi="Times New Roman" w:eastAsia="仿宋_GB2312" w:cs="DengXian-Regular"/>
          <w:sz w:val="32"/>
          <w:szCs w:val="32"/>
        </w:rPr>
        <w:t>年度财政拨款基本支出</w:t>
      </w:r>
      <w:r>
        <w:rPr>
          <w:rFonts w:ascii="仿宋_GB2312" w:hAnsi="Times New Roman" w:eastAsia="仿宋_GB2312" w:cs="DengXian-Regular"/>
          <w:sz w:val="32"/>
          <w:szCs w:val="32"/>
        </w:rPr>
        <w:t>1632.99</w:t>
      </w:r>
      <w:r>
        <w:rPr>
          <w:rFonts w:hint="eastAsia" w:ascii="仿宋_GB2312" w:hAnsi="Times New Roman" w:eastAsia="仿宋_GB2312" w:cs="DengXian-Regular"/>
          <w:sz w:val="32"/>
          <w:szCs w:val="32"/>
        </w:rPr>
        <w:t>万元，其中：人员经费</w:t>
      </w:r>
      <w:r>
        <w:rPr>
          <w:rFonts w:ascii="仿宋_GB2312" w:hAnsi="Times New Roman" w:eastAsia="仿宋_GB2312" w:cs="DengXian-Regular"/>
          <w:sz w:val="32"/>
          <w:szCs w:val="32"/>
        </w:rPr>
        <w:t>1438.28</w:t>
      </w:r>
      <w:r>
        <w:rPr>
          <w:rFonts w:hint="eastAsia" w:ascii="仿宋_GB2312" w:hAnsi="Times New Roman" w:eastAsia="仿宋_GB2312" w:cs="DengXian-Regular"/>
          <w:sz w:val="32"/>
          <w:szCs w:val="32"/>
        </w:rPr>
        <w:t>万元，主要包括基本工资、津贴补贴、奖金、绩效工资、机关事业单位基本养老保险缴费、职工基本医疗保险缴费、住房公积金、其他社会保障缴费、其他工资福利支出、离休费、退休费、抚恤金、生活补助、医疗费补助、奖励金、其他对个人和家庭的补助支出；公用经费</w:t>
      </w:r>
      <w:r>
        <w:rPr>
          <w:rFonts w:ascii="仿宋_GB2312" w:hAnsi="Times New Roman" w:eastAsia="仿宋_GB2312" w:cs="DengXian-Regular"/>
          <w:sz w:val="32"/>
          <w:szCs w:val="32"/>
        </w:rPr>
        <w:t xml:space="preserve"> 194.71</w:t>
      </w:r>
      <w:r>
        <w:rPr>
          <w:rFonts w:hint="eastAsia" w:ascii="仿宋_GB2312" w:hAnsi="Times New Roman" w:eastAsia="仿宋_GB2312" w:cs="DengXian-Regular"/>
          <w:sz w:val="32"/>
          <w:szCs w:val="32"/>
        </w:rPr>
        <w:t>万元，主要包括办公费、电费、邮电费、取暖费、差旅费、维修（护）费、租赁费、培训费、工会经费、福利费、公务用车运行维护费。</w:t>
      </w:r>
    </w:p>
    <w:p>
      <w:pPr>
        <w:keepNext/>
        <w:keepLines/>
        <w:snapToGrid w:val="0"/>
        <w:spacing w:line="580" w:lineRule="exact"/>
        <w:ind w:firstLine="640" w:firstLineChars="200"/>
        <w:outlineLvl w:val="1"/>
        <w:rPr>
          <w:rFonts w:ascii="黑体" w:hAnsi="Calibri" w:eastAsia="黑体"/>
          <w:sz w:val="32"/>
          <w:szCs w:val="32"/>
        </w:rPr>
      </w:pPr>
      <w:r>
        <w:rPr>
          <w:rFonts w:hint="eastAsia" w:ascii="黑体" w:hAnsi="Calibri" w:eastAsia="黑体"/>
          <w:sz w:val="32"/>
          <w:szCs w:val="32"/>
        </w:rPr>
        <w:t>五、一般公共预算“三公”</w:t>
      </w:r>
      <w:r>
        <w:rPr>
          <w:rFonts w:ascii="黑体" w:hAnsi="Calibri" w:eastAsia="黑体"/>
          <w:sz w:val="32"/>
          <w:szCs w:val="32"/>
        </w:rPr>
        <w:t xml:space="preserve"> </w:t>
      </w:r>
      <w:r>
        <w:rPr>
          <w:rFonts w:hint="eastAsia" w:ascii="黑体" w:hAnsi="Calibri" w:eastAsia="黑体"/>
          <w:sz w:val="32"/>
          <w:szCs w:val="32"/>
        </w:rPr>
        <w:t>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年度“三公”经费支出共计</w:t>
      </w:r>
      <w:r>
        <w:rPr>
          <w:rFonts w:ascii="仿宋_GB2312" w:hAnsi="Times New Roman" w:eastAsia="仿宋_GB2312" w:cs="DengXian-Regular"/>
          <w:sz w:val="32"/>
          <w:szCs w:val="32"/>
        </w:rPr>
        <w:t>7.95</w:t>
      </w:r>
      <w:r>
        <w:rPr>
          <w:rFonts w:hint="eastAsia" w:ascii="仿宋_GB2312" w:hAnsi="Times New Roman" w:eastAsia="仿宋_GB2312" w:cs="DengXian-Regular"/>
          <w:sz w:val="32"/>
          <w:szCs w:val="32"/>
        </w:rPr>
        <w:t>万元，完成预算的</w:t>
      </w:r>
      <w:r>
        <w:rPr>
          <w:rFonts w:ascii="仿宋_GB2312" w:hAnsi="Times New Roman" w:eastAsia="仿宋_GB2312" w:cs="DengXian-Regular"/>
          <w:sz w:val="32"/>
          <w:szCs w:val="32"/>
        </w:rPr>
        <w:t>98.15%,</w:t>
      </w:r>
      <w:r>
        <w:rPr>
          <w:rFonts w:hint="eastAsia" w:ascii="仿宋_GB2312" w:hAnsi="Times New Roman" w:eastAsia="仿宋_GB2312" w:cs="DengXian-Regular"/>
          <w:sz w:val="32"/>
          <w:szCs w:val="32"/>
        </w:rPr>
        <w:t>较预算减少</w:t>
      </w:r>
      <w:r>
        <w:rPr>
          <w:rFonts w:ascii="仿宋_GB2312" w:hAnsi="Times New Roman" w:eastAsia="仿宋_GB2312" w:cs="DengXian-Regular"/>
          <w:sz w:val="32"/>
          <w:szCs w:val="32"/>
        </w:rPr>
        <w:t>0.15</w:t>
      </w:r>
      <w:r>
        <w:rPr>
          <w:rFonts w:hint="eastAsia" w:ascii="仿宋_GB2312" w:hAnsi="Times New Roman" w:eastAsia="仿宋_GB2312" w:cs="DengXian-Regular"/>
          <w:sz w:val="32"/>
          <w:szCs w:val="32"/>
        </w:rPr>
        <w:t>万元，降低</w:t>
      </w:r>
      <w:r>
        <w:rPr>
          <w:rFonts w:ascii="仿宋_GB2312" w:hAnsi="Times New Roman" w:eastAsia="仿宋_GB2312" w:cs="DengXian-Regular"/>
          <w:sz w:val="32"/>
          <w:szCs w:val="32"/>
        </w:rPr>
        <w:t>1.85%</w:t>
      </w:r>
      <w:r>
        <w:rPr>
          <w:rFonts w:hint="eastAsia" w:ascii="仿宋_GB2312" w:hAnsi="Times New Roman" w:eastAsia="仿宋_GB2312" w:cs="DengXian-Regular"/>
          <w:sz w:val="32"/>
          <w:szCs w:val="32"/>
        </w:rPr>
        <w:t>，主要是严格控制“三公”经费；较</w:t>
      </w:r>
      <w:r>
        <w:rPr>
          <w:rFonts w:ascii="仿宋_GB2312" w:hAnsi="Times New Roman" w:eastAsia="仿宋_GB2312" w:cs="DengXian-Regular"/>
          <w:sz w:val="32"/>
          <w:szCs w:val="32"/>
        </w:rPr>
        <w:t>2018</w:t>
      </w:r>
      <w:r>
        <w:rPr>
          <w:rFonts w:hint="eastAsia" w:ascii="仿宋_GB2312" w:hAnsi="Times New Roman" w:eastAsia="仿宋_GB2312" w:cs="DengXian-Regular"/>
          <w:sz w:val="32"/>
          <w:szCs w:val="32"/>
        </w:rPr>
        <w:t>年度减少</w:t>
      </w:r>
      <w:r>
        <w:rPr>
          <w:rFonts w:ascii="仿宋_GB2312" w:hAnsi="Times New Roman" w:eastAsia="仿宋_GB2312" w:cs="DengXian-Regular"/>
          <w:sz w:val="32"/>
          <w:szCs w:val="32"/>
        </w:rPr>
        <w:t>0.14</w:t>
      </w:r>
      <w:r>
        <w:rPr>
          <w:rFonts w:hint="eastAsia" w:ascii="仿宋_GB2312" w:hAnsi="Times New Roman" w:eastAsia="仿宋_GB2312" w:cs="DengXian-Regular"/>
          <w:sz w:val="32"/>
          <w:szCs w:val="32"/>
        </w:rPr>
        <w:t>万元，降低</w:t>
      </w:r>
      <w:r>
        <w:rPr>
          <w:rFonts w:ascii="仿宋_GB2312" w:hAnsi="Times New Roman" w:eastAsia="仿宋_GB2312" w:cs="DengXian-Regular"/>
          <w:sz w:val="32"/>
          <w:szCs w:val="32"/>
        </w:rPr>
        <w:t>1.73%</w:t>
      </w:r>
      <w:r>
        <w:rPr>
          <w:rFonts w:hint="eastAsia" w:ascii="仿宋_GB2312" w:hAnsi="Times New Roman" w:eastAsia="仿宋_GB2312" w:cs="DengXian-Regular"/>
          <w:sz w:val="32"/>
          <w:szCs w:val="32"/>
        </w:rPr>
        <w:t>，主要是严格控制“三公”经费。具体情况如下：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w:t>
      </w:r>
      <w:r>
        <w:rPr>
          <w:rFonts w:ascii="楷体_GB2312" w:hAnsi="Times New Roman" w:eastAsia="楷体_GB2312" w:cs="DengXian-Bold"/>
          <w:b/>
          <w:bCs/>
          <w:sz w:val="32"/>
          <w:szCs w:val="32"/>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年度未发生“因公出国（境）”经费支出。</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ascii="楷体_GB2312" w:hAnsi="Times New Roman" w:eastAsia="楷体_GB2312" w:cs="DengXian-Bold"/>
          <w:b/>
          <w:bCs/>
          <w:sz w:val="32"/>
          <w:szCs w:val="32"/>
        </w:rPr>
        <w:t>7.95</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年度公务用车购置及运行维护费较预算减少</w:t>
      </w:r>
      <w:r>
        <w:rPr>
          <w:rFonts w:ascii="仿宋_GB2312" w:hAnsi="Times New Roman" w:eastAsia="仿宋_GB2312" w:cs="DengXian-Regular"/>
          <w:sz w:val="32"/>
          <w:szCs w:val="32"/>
        </w:rPr>
        <w:t>0.15</w:t>
      </w:r>
      <w:r>
        <w:rPr>
          <w:rFonts w:hint="eastAsia" w:ascii="仿宋_GB2312" w:hAnsi="Times New Roman" w:eastAsia="仿宋_GB2312" w:cs="DengXian-Regular"/>
          <w:sz w:val="32"/>
          <w:szCs w:val="32"/>
        </w:rPr>
        <w:t>万元，降低</w:t>
      </w:r>
      <w:r>
        <w:rPr>
          <w:rFonts w:ascii="仿宋_GB2312" w:hAnsi="Times New Roman" w:eastAsia="仿宋_GB2312" w:cs="DengXian-Regular"/>
          <w:sz w:val="32"/>
          <w:szCs w:val="32"/>
        </w:rPr>
        <w:t>1.85%,</w:t>
      </w:r>
      <w:r>
        <w:rPr>
          <w:rFonts w:hint="eastAsia" w:ascii="仿宋_GB2312" w:hAnsi="Times New Roman" w:eastAsia="仿宋_GB2312" w:cs="DengXian-Regular"/>
          <w:sz w:val="32"/>
          <w:szCs w:val="32"/>
        </w:rPr>
        <w:t>主要是严格控制“三公”经费；较上年减少</w:t>
      </w:r>
      <w:r>
        <w:rPr>
          <w:rFonts w:ascii="仿宋_GB2312" w:hAnsi="Times New Roman" w:eastAsia="仿宋_GB2312" w:cs="DengXian-Regular"/>
          <w:sz w:val="32"/>
          <w:szCs w:val="32"/>
        </w:rPr>
        <w:t>0.14</w:t>
      </w:r>
      <w:r>
        <w:rPr>
          <w:rFonts w:hint="eastAsia" w:ascii="仿宋_GB2312" w:hAnsi="Times New Roman" w:eastAsia="仿宋_GB2312" w:cs="DengXian-Regular"/>
          <w:sz w:val="32"/>
          <w:szCs w:val="32"/>
        </w:rPr>
        <w:t>万元，降低</w:t>
      </w:r>
      <w:r>
        <w:rPr>
          <w:rFonts w:ascii="仿宋_GB2312" w:hAnsi="Times New Roman" w:eastAsia="仿宋_GB2312" w:cs="DengXian-Regular"/>
          <w:sz w:val="32"/>
          <w:szCs w:val="32"/>
        </w:rPr>
        <w:t>1.73%,</w:t>
      </w:r>
      <w:r>
        <w:rPr>
          <w:rFonts w:hint="eastAsia" w:ascii="仿宋_GB2312" w:hAnsi="Times New Roman" w:eastAsia="仿宋_GB2312" w:cs="DengXian-Regular"/>
          <w:sz w:val="32"/>
          <w:szCs w:val="32"/>
        </w:rPr>
        <w:t>主要是严格控制“三公”经费。</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color w:val="000000"/>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年度未发生公务用车购置经费支出。</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年度单位公务用车保有量</w:t>
      </w:r>
      <w:r>
        <w:rPr>
          <w:rFonts w:ascii="仿宋_GB2312" w:hAnsi="Times New Roman" w:eastAsia="仿宋_GB2312" w:cs="DengXian-Regular"/>
          <w:sz w:val="32"/>
          <w:szCs w:val="32"/>
        </w:rPr>
        <w:t>3</w:t>
      </w:r>
      <w:r>
        <w:rPr>
          <w:rFonts w:hint="eastAsia" w:ascii="仿宋_GB2312" w:hAnsi="Times New Roman" w:eastAsia="仿宋_GB2312" w:cs="DengXian-Regular"/>
          <w:sz w:val="32"/>
          <w:szCs w:val="32"/>
        </w:rPr>
        <w:t>辆。公车运行维护费支出较预算减少</w:t>
      </w:r>
      <w:r>
        <w:rPr>
          <w:rFonts w:ascii="仿宋_GB2312" w:hAnsi="Times New Roman" w:eastAsia="仿宋_GB2312" w:cs="DengXian-Regular"/>
          <w:sz w:val="32"/>
          <w:szCs w:val="32"/>
        </w:rPr>
        <w:t>0.15</w:t>
      </w:r>
      <w:r>
        <w:rPr>
          <w:rFonts w:hint="eastAsia" w:ascii="仿宋_GB2312" w:hAnsi="Times New Roman" w:eastAsia="仿宋_GB2312" w:cs="DengXian-Regular"/>
          <w:sz w:val="32"/>
          <w:szCs w:val="32"/>
        </w:rPr>
        <w:t>万元，降低</w:t>
      </w:r>
      <w:r>
        <w:rPr>
          <w:rFonts w:ascii="仿宋_GB2312" w:hAnsi="Times New Roman" w:eastAsia="仿宋_GB2312" w:cs="DengXian-Regular"/>
          <w:sz w:val="32"/>
          <w:szCs w:val="32"/>
        </w:rPr>
        <w:t>1.85%,</w:t>
      </w:r>
      <w:r>
        <w:rPr>
          <w:rFonts w:hint="eastAsia" w:ascii="仿宋_GB2312" w:hAnsi="Times New Roman" w:eastAsia="仿宋_GB2312" w:cs="DengXian-Regular"/>
          <w:sz w:val="32"/>
          <w:szCs w:val="32"/>
        </w:rPr>
        <w:t>主要是严格控制“三公”经费；较上年减少</w:t>
      </w:r>
      <w:r>
        <w:rPr>
          <w:rFonts w:ascii="仿宋_GB2312" w:hAnsi="Times New Roman" w:eastAsia="仿宋_GB2312" w:cs="DengXian-Regular"/>
          <w:sz w:val="32"/>
          <w:szCs w:val="32"/>
        </w:rPr>
        <w:t>0.14</w:t>
      </w:r>
      <w:r>
        <w:rPr>
          <w:rFonts w:hint="eastAsia" w:ascii="仿宋_GB2312" w:hAnsi="Times New Roman" w:eastAsia="仿宋_GB2312" w:cs="DengXian-Regular"/>
          <w:sz w:val="32"/>
          <w:szCs w:val="32"/>
        </w:rPr>
        <w:t>万元，降低</w:t>
      </w:r>
      <w:r>
        <w:rPr>
          <w:rFonts w:ascii="仿宋_GB2312" w:hAnsi="Times New Roman" w:eastAsia="仿宋_GB2312" w:cs="DengXian-Regular"/>
          <w:sz w:val="32"/>
          <w:szCs w:val="32"/>
        </w:rPr>
        <w:t>1.73%,</w:t>
      </w:r>
      <w:r>
        <w:rPr>
          <w:rFonts w:hint="eastAsia" w:ascii="仿宋_GB2312" w:hAnsi="Times New Roman" w:eastAsia="仿宋_GB2312" w:cs="DengXian-Regular"/>
          <w:sz w:val="32"/>
          <w:szCs w:val="32"/>
        </w:rPr>
        <w:t>主要是严格控制“三公”经费。</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w:t>
      </w:r>
      <w:r>
        <w:rPr>
          <w:rFonts w:ascii="楷体_GB2312" w:hAnsi="Times New Roman" w:eastAsia="楷体_GB2312" w:cs="DengXian-Bold"/>
          <w:b/>
          <w:bCs/>
          <w:sz w:val="32"/>
          <w:szCs w:val="32"/>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年度未发生公务接待经费支出。</w:t>
      </w:r>
    </w:p>
    <w:p>
      <w:pPr>
        <w:adjustRightInd w:val="0"/>
        <w:snapToGrid w:val="0"/>
        <w:spacing w:line="580" w:lineRule="exact"/>
        <w:ind w:firstLine="640" w:firstLineChars="200"/>
        <w:rPr>
          <w:rFonts w:ascii="黑体" w:hAnsi="Times New Roman" w:eastAsia="黑体"/>
          <w:sz w:val="32"/>
          <w:szCs w:val="40"/>
        </w:rPr>
      </w:pPr>
      <w:r>
        <w:rPr>
          <w:rFonts w:hint="eastAsia" w:ascii="黑体" w:hAnsi="Times New Roman" w:eastAsia="黑体"/>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ascii="仿宋_GB2312" w:hAnsi="仿宋_GB2312" w:eastAsia="仿宋_GB2312" w:cs="仿宋_GB2312"/>
          <w:b/>
          <w:bCs/>
          <w:sz w:val="32"/>
          <w:szCs w:val="32"/>
        </w:rPr>
        <w:t xml:space="preserve">1. </w:t>
      </w:r>
      <w:r>
        <w:rPr>
          <w:rFonts w:hint="eastAsia" w:ascii="仿宋_GB2312" w:hAnsi="仿宋_GB2312" w:eastAsia="仿宋_GB2312" w:cs="仿宋_GB2312"/>
          <w:b/>
          <w:bCs/>
          <w:sz w:val="32"/>
          <w:szCs w:val="32"/>
        </w:rPr>
        <w:t>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w:t>
      </w:r>
      <w:r>
        <w:rPr>
          <w:rFonts w:ascii="仿宋_GB2312" w:hAnsi="仿宋_GB2312" w:eastAsia="仿宋_GB2312" w:cs="仿宋_GB2312"/>
          <w:sz w:val="32"/>
          <w:szCs w:val="32"/>
        </w:rPr>
        <w:t>2019</w:t>
      </w:r>
      <w:r>
        <w:rPr>
          <w:rFonts w:hint="eastAsia" w:ascii="仿宋_GB2312" w:hAnsi="仿宋_GB2312" w:eastAsia="仿宋_GB2312" w:cs="仿宋_GB2312"/>
          <w:sz w:val="32"/>
          <w:szCs w:val="32"/>
        </w:rPr>
        <w:t>年度一般公共预算项目支出全面开展绩效自评，其中，一级项目</w:t>
      </w:r>
      <w:r>
        <w:rPr>
          <w:rFonts w:ascii="仿宋_GB2312" w:hAnsi="仿宋_GB2312" w:eastAsia="仿宋_GB2312" w:cs="仿宋_GB2312"/>
          <w:sz w:val="32"/>
          <w:szCs w:val="32"/>
        </w:rPr>
        <w:t>5</w:t>
      </w:r>
      <w:r>
        <w:rPr>
          <w:rFonts w:hint="eastAsia" w:ascii="仿宋_GB2312" w:hAnsi="仿宋_GB2312" w:eastAsia="仿宋_GB2312" w:cs="仿宋_GB2312"/>
          <w:sz w:val="32"/>
          <w:szCs w:val="32"/>
        </w:rPr>
        <w:t>个，共涉及资金</w:t>
      </w:r>
      <w:r>
        <w:rPr>
          <w:rFonts w:ascii="仿宋_GB2312" w:hAnsi="仿宋_GB2312" w:eastAsia="仿宋_GB2312" w:cs="仿宋_GB2312"/>
          <w:sz w:val="32"/>
          <w:szCs w:val="32"/>
        </w:rPr>
        <w:t>557.915</w:t>
      </w:r>
      <w:r>
        <w:rPr>
          <w:rFonts w:hint="eastAsia" w:ascii="仿宋_GB2312" w:hAnsi="仿宋_GB2312" w:eastAsia="仿宋_GB2312" w:cs="仿宋_GB2312"/>
          <w:sz w:val="32"/>
          <w:szCs w:val="32"/>
        </w:rPr>
        <w:t>万元，占一般公共预算项目支出总额的</w:t>
      </w:r>
      <w:r>
        <w:rPr>
          <w:rFonts w:ascii="仿宋_GB2312" w:hAnsi="仿宋_GB2312" w:eastAsia="仿宋_GB2312" w:cs="仿宋_GB2312"/>
          <w:sz w:val="32"/>
          <w:szCs w:val="32"/>
        </w:rPr>
        <w:t>3.16%</w:t>
      </w:r>
      <w:r>
        <w:rPr>
          <w:rFonts w:hint="eastAsia" w:ascii="仿宋_GB2312" w:hAnsi="仿宋_GB2312" w:eastAsia="仿宋_GB2312" w:cs="仿宋_GB2312"/>
          <w:sz w:val="32"/>
          <w:szCs w:val="32"/>
        </w:rPr>
        <w:t>。组织对</w:t>
      </w:r>
      <w:r>
        <w:rPr>
          <w:rFonts w:ascii="仿宋_GB2312" w:hAnsi="仿宋_GB2312" w:eastAsia="仿宋_GB2312" w:cs="仿宋_GB2312"/>
          <w:sz w:val="32"/>
          <w:szCs w:val="32"/>
        </w:rPr>
        <w:t>2019</w:t>
      </w:r>
      <w:r>
        <w:rPr>
          <w:rFonts w:hint="eastAsia" w:ascii="仿宋_GB2312" w:hAnsi="仿宋_GB2312" w:eastAsia="仿宋_GB2312" w:cs="仿宋_GB2312"/>
          <w:sz w:val="32"/>
          <w:szCs w:val="32"/>
        </w:rPr>
        <w:t>年度“创卫攻坚环境大整治行动资金”、“春季防火专项资金”“龙凤湖经费资金”等</w:t>
      </w:r>
      <w:r>
        <w:rPr>
          <w:rFonts w:ascii="仿宋_GB2312" w:hAnsi="仿宋_GB2312" w:eastAsia="仿宋_GB2312" w:cs="仿宋_GB2312"/>
          <w:sz w:val="32"/>
          <w:szCs w:val="32"/>
        </w:rPr>
        <w:t>5</w:t>
      </w:r>
      <w:r>
        <w:rPr>
          <w:rFonts w:hint="eastAsia" w:ascii="仿宋_GB2312" w:hAnsi="仿宋_GB2312" w:eastAsia="仿宋_GB2312" w:cs="仿宋_GB2312"/>
          <w:sz w:val="32"/>
          <w:szCs w:val="32"/>
        </w:rPr>
        <w:t>个预算项目支出开展绩效自评，共涉及资金</w:t>
      </w:r>
      <w:r>
        <w:rPr>
          <w:rFonts w:ascii="仿宋_GB2312" w:hAnsi="仿宋_GB2312" w:eastAsia="仿宋_GB2312" w:cs="仿宋_GB2312"/>
          <w:sz w:val="32"/>
          <w:szCs w:val="32"/>
        </w:rPr>
        <w:t>557.915</w:t>
      </w:r>
      <w:r>
        <w:rPr>
          <w:rFonts w:hint="eastAsia" w:ascii="仿宋_GB2312" w:hAnsi="仿宋_GB2312" w:eastAsia="仿宋_GB2312" w:cs="仿宋_GB2312"/>
          <w:sz w:val="32"/>
          <w:szCs w:val="32"/>
        </w:rPr>
        <w:t>万元。组织对</w:t>
      </w:r>
      <w:r>
        <w:rPr>
          <w:rFonts w:ascii="仿宋_GB2312" w:hAnsi="仿宋_GB2312" w:eastAsia="仿宋_GB2312" w:cs="仿宋_GB2312"/>
          <w:sz w:val="32"/>
          <w:szCs w:val="32"/>
        </w:rPr>
        <w:t>2019</w:t>
      </w:r>
      <w:r>
        <w:rPr>
          <w:rFonts w:hint="eastAsia" w:ascii="仿宋_GB2312" w:hAnsi="仿宋_GB2312" w:eastAsia="仿宋_GB2312" w:cs="仿宋_GB2312"/>
          <w:sz w:val="32"/>
          <w:szCs w:val="32"/>
        </w:rPr>
        <w:t>年度“创卫攻坚环境大整治行动资金”、“春季防火专项资金”“龙凤湖经费资金”等</w:t>
      </w:r>
      <w:r>
        <w:rPr>
          <w:rFonts w:ascii="仿宋_GB2312" w:hAnsi="仿宋_GB2312" w:eastAsia="仿宋_GB2312" w:cs="仿宋_GB2312"/>
          <w:sz w:val="32"/>
          <w:szCs w:val="32"/>
        </w:rPr>
        <w:t>5</w:t>
      </w:r>
      <w:r>
        <w:rPr>
          <w:rFonts w:hint="eastAsia" w:ascii="仿宋_GB2312" w:hAnsi="仿宋_GB2312" w:eastAsia="仿宋_GB2312" w:cs="仿宋_GB2312"/>
          <w:sz w:val="32"/>
          <w:szCs w:val="32"/>
        </w:rPr>
        <w:t>个预算项目支出开展了部门评价，涉及一般公共预算支出</w:t>
      </w:r>
      <w:r>
        <w:rPr>
          <w:rFonts w:ascii="仿宋_GB2312" w:hAnsi="仿宋_GB2312" w:eastAsia="仿宋_GB2312" w:cs="仿宋_GB2312"/>
          <w:sz w:val="32"/>
          <w:szCs w:val="32"/>
        </w:rPr>
        <w:t>557.915</w:t>
      </w:r>
      <w:r>
        <w:rPr>
          <w:rFonts w:hint="eastAsia" w:ascii="仿宋_GB2312" w:hAnsi="仿宋_GB2312" w:eastAsia="仿宋_GB2312" w:cs="仿宋_GB2312"/>
          <w:sz w:val="32"/>
          <w:szCs w:val="32"/>
        </w:rPr>
        <w:t>万元。从评价情况来看，通过全面评价</w:t>
      </w:r>
      <w:r>
        <w:rPr>
          <w:rFonts w:ascii="仿宋_GB2312" w:hAnsi="仿宋_GB2312" w:eastAsia="仿宋_GB2312" w:cs="仿宋_GB2312"/>
          <w:sz w:val="32"/>
          <w:szCs w:val="32"/>
        </w:rPr>
        <w:t>2019</w:t>
      </w:r>
      <w:r>
        <w:rPr>
          <w:rFonts w:hint="eastAsia" w:ascii="仿宋_GB2312" w:hAnsi="仿宋_GB2312" w:eastAsia="仿宋_GB2312" w:cs="仿宋_GB2312"/>
          <w:sz w:val="32"/>
          <w:szCs w:val="32"/>
        </w:rPr>
        <w:t>年度</w:t>
      </w:r>
      <w:r>
        <w:rPr>
          <w:rFonts w:ascii="仿宋_GB2312" w:hAnsi="仿宋_GB2312" w:eastAsia="仿宋_GB2312" w:cs="仿宋_GB2312"/>
          <w:sz w:val="32"/>
          <w:szCs w:val="32"/>
        </w:rPr>
        <w:t>5</w:t>
      </w:r>
      <w:r>
        <w:rPr>
          <w:rFonts w:hint="eastAsia" w:ascii="仿宋_GB2312" w:hAnsi="仿宋_GB2312" w:eastAsia="仿宋_GB2312" w:cs="仿宋_GB2312"/>
          <w:sz w:val="32"/>
          <w:szCs w:val="32"/>
        </w:rPr>
        <w:t>个项目资金，形式真实、准确、清晰的绩效评价结论，为后期强化预算绩效管理提供重要依据，各级项目执行情况和项目绩效情况，本部门</w:t>
      </w:r>
      <w:r>
        <w:rPr>
          <w:rFonts w:ascii="仿宋_GB2312" w:hAnsi="仿宋_GB2312" w:eastAsia="仿宋_GB2312" w:cs="仿宋_GB2312"/>
          <w:sz w:val="32"/>
          <w:szCs w:val="32"/>
        </w:rPr>
        <w:t>5</w:t>
      </w:r>
      <w:r>
        <w:rPr>
          <w:rFonts w:hint="eastAsia" w:ascii="仿宋_GB2312" w:hAnsi="仿宋_GB2312" w:eastAsia="仿宋_GB2312" w:cs="仿宋_GB2312"/>
          <w:sz w:val="32"/>
          <w:szCs w:val="32"/>
        </w:rPr>
        <w:t>个项目绩效等级均为优秀。。</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ascii="仿宋_GB2312" w:hAnsi="仿宋_GB2312" w:eastAsia="仿宋_GB2312" w:cs="仿宋_GB2312"/>
          <w:b/>
          <w:bCs/>
          <w:sz w:val="32"/>
          <w:szCs w:val="32"/>
        </w:rPr>
        <w:t xml:space="preserve">2. </w:t>
      </w:r>
      <w:r>
        <w:rPr>
          <w:rFonts w:hint="eastAsia" w:ascii="仿宋_GB2312" w:hAnsi="仿宋_GB2312" w:eastAsia="仿宋_GB2312" w:cs="仿宋_GB2312"/>
          <w:b/>
          <w:bCs/>
          <w:sz w:val="32"/>
          <w:szCs w:val="32"/>
        </w:rPr>
        <w:t>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本部门在今年部门决算公开中反映“创卫攻坚环境大整治行动资金”、“春季防火专项资金”“龙凤湖经费资金”等</w:t>
      </w:r>
      <w:r>
        <w:rPr>
          <w:rFonts w:ascii="仿宋_GB2312" w:hAnsi="仿宋_GB2312" w:eastAsia="仿宋_GB2312" w:cs="仿宋_GB2312"/>
          <w:sz w:val="32"/>
          <w:szCs w:val="32"/>
        </w:rPr>
        <w:t>5</w:t>
      </w:r>
      <w:r>
        <w:rPr>
          <w:rFonts w:hint="eastAsia" w:ascii="仿宋_GB2312" w:hAnsi="仿宋_GB2312" w:eastAsia="仿宋_GB2312" w:cs="仿宋_GB2312"/>
          <w:sz w:val="32"/>
          <w:szCs w:val="32"/>
        </w:rPr>
        <w:t>个预算项目绩效自评结果。</w:t>
      </w:r>
    </w:p>
    <w:p>
      <w:pPr>
        <w:numPr>
          <w:ilvl w:val="0"/>
          <w:numId w:val="4"/>
        </w:numPr>
        <w:adjustRightInd w:val="0"/>
        <w:snapToGrid w:val="0"/>
        <w:spacing w:line="580" w:lineRule="exact"/>
        <w:ind w:firstLine="537" w:firstLineChars="168"/>
        <w:rPr>
          <w:rFonts w:ascii="仿宋_GB2312" w:hAnsi="仿宋_GB2312" w:eastAsia="仿宋_GB2312" w:cs="仿宋_GB2312"/>
          <w:sz w:val="32"/>
          <w:szCs w:val="32"/>
        </w:rPr>
      </w:pPr>
      <w:r>
        <w:rPr>
          <w:rFonts w:hint="eastAsia" w:ascii="仿宋_GB2312" w:hAnsi="仿宋_GB2312" w:eastAsia="仿宋_GB2312" w:cs="仿宋_GB2312"/>
          <w:sz w:val="32"/>
          <w:szCs w:val="32"/>
        </w:rPr>
        <w:t>创卫攻坚环境卫生大整治行动项目自评综述：根据年初设定的绩效目标，创卫攻坚环境卫生大整治行动项目绩效自评得分为</w:t>
      </w:r>
      <w:r>
        <w:rPr>
          <w:rFonts w:ascii="仿宋_GB2312" w:hAnsi="仿宋_GB2312" w:eastAsia="仿宋_GB2312" w:cs="仿宋_GB2312"/>
          <w:sz w:val="32"/>
          <w:szCs w:val="32"/>
        </w:rPr>
        <w:t>92</w:t>
      </w:r>
      <w:r>
        <w:rPr>
          <w:rFonts w:hint="eastAsia" w:ascii="仿宋_GB2312" w:hAnsi="仿宋_GB2312" w:eastAsia="仿宋_GB2312" w:cs="仿宋_GB2312"/>
          <w:sz w:val="32"/>
          <w:szCs w:val="32"/>
        </w:rPr>
        <w:t>分。全年预算数为</w:t>
      </w:r>
      <w:r>
        <w:rPr>
          <w:rFonts w:ascii="仿宋_GB2312" w:hAnsi="仿宋_GB2312" w:eastAsia="仿宋_GB2312" w:cs="仿宋_GB2312"/>
          <w:sz w:val="32"/>
          <w:szCs w:val="32"/>
        </w:rPr>
        <w:t>50</w:t>
      </w:r>
      <w:r>
        <w:rPr>
          <w:rFonts w:hint="eastAsia" w:ascii="仿宋_GB2312" w:hAnsi="仿宋_GB2312" w:eastAsia="仿宋_GB2312" w:cs="仿宋_GB2312"/>
          <w:sz w:val="32"/>
          <w:szCs w:val="32"/>
        </w:rPr>
        <w:t>万元，执行数为</w:t>
      </w:r>
      <w:r>
        <w:rPr>
          <w:rFonts w:ascii="仿宋_GB2312" w:hAnsi="仿宋_GB2312" w:eastAsia="仿宋_GB2312" w:cs="仿宋_GB2312"/>
          <w:sz w:val="32"/>
          <w:szCs w:val="32"/>
        </w:rPr>
        <w:t>50</w:t>
      </w:r>
      <w:r>
        <w:rPr>
          <w:rFonts w:hint="eastAsia" w:ascii="仿宋_GB2312" w:hAnsi="仿宋_GB2312" w:eastAsia="仿宋_GB2312" w:cs="仿宋_GB2312"/>
          <w:sz w:val="32"/>
          <w:szCs w:val="32"/>
        </w:rPr>
        <w:t>万元，完成预算的</w:t>
      </w:r>
      <w:r>
        <w:rPr>
          <w:rFonts w:ascii="仿宋_GB2312" w:hAnsi="仿宋_GB2312" w:eastAsia="仿宋_GB2312" w:cs="仿宋_GB2312"/>
          <w:sz w:val="32"/>
          <w:szCs w:val="32"/>
        </w:rPr>
        <w:t>100%</w:t>
      </w:r>
      <w:r>
        <w:rPr>
          <w:rFonts w:hint="eastAsia" w:ascii="仿宋_GB2312" w:hAnsi="仿宋_GB2312" w:eastAsia="仿宋_GB2312" w:cs="仿宋_GB2312"/>
          <w:sz w:val="32"/>
          <w:szCs w:val="32"/>
        </w:rPr>
        <w:t>。项目绩效目标完成情况：该项目对辖区内创建范围内的村庄、村边、居民区、沿路沿线环境卫生进行了集中清理和综合整治，树立了我镇形象。</w:t>
      </w:r>
    </w:p>
    <w:p>
      <w:pPr>
        <w:numPr>
          <w:ilvl w:val="0"/>
          <w:numId w:val="4"/>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创卫攻坚环境卫生大整治行动项目绩效自评综述：根据项目执行情况和项目绩效情况，给出总得分，指标体系设定满分</w:t>
      </w:r>
      <w:r>
        <w:rPr>
          <w:rFonts w:ascii="仿宋_GB2312" w:hAnsi="仿宋_GB2312" w:eastAsia="仿宋_GB2312" w:cs="仿宋_GB2312"/>
          <w:sz w:val="32"/>
          <w:szCs w:val="32"/>
        </w:rPr>
        <w:t>100</w:t>
      </w:r>
      <w:r>
        <w:rPr>
          <w:rFonts w:hint="eastAsia" w:ascii="仿宋_GB2312" w:hAnsi="仿宋_GB2312" w:eastAsia="仿宋_GB2312" w:cs="仿宋_GB2312"/>
          <w:sz w:val="32"/>
          <w:szCs w:val="32"/>
        </w:rPr>
        <w:t>分，得出综合评价结论和项目综合绩效评价等级。项目综合绩效评价分为</w:t>
      </w:r>
      <w:r>
        <w:rPr>
          <w:rFonts w:ascii="仿宋_GB2312" w:hAnsi="仿宋_GB2312" w:eastAsia="仿宋_GB2312" w:cs="仿宋_GB2312"/>
          <w:sz w:val="32"/>
          <w:szCs w:val="32"/>
        </w:rPr>
        <w:t>4</w:t>
      </w:r>
      <w:r>
        <w:rPr>
          <w:rFonts w:hint="eastAsia" w:ascii="仿宋_GB2312" w:hAnsi="仿宋_GB2312" w:eastAsia="仿宋_GB2312" w:cs="仿宋_GB2312"/>
          <w:sz w:val="32"/>
          <w:szCs w:val="32"/>
        </w:rPr>
        <w:t>个等级：得分≥</w:t>
      </w:r>
      <w:r>
        <w:rPr>
          <w:rFonts w:ascii="仿宋_GB2312" w:hAnsi="仿宋_GB2312" w:eastAsia="仿宋_GB2312" w:cs="仿宋_GB2312"/>
          <w:sz w:val="32"/>
          <w:szCs w:val="32"/>
        </w:rPr>
        <w:t>85</w:t>
      </w:r>
      <w:r>
        <w:rPr>
          <w:rFonts w:hint="eastAsia" w:ascii="仿宋_GB2312" w:hAnsi="仿宋_GB2312" w:eastAsia="仿宋_GB2312" w:cs="仿宋_GB2312"/>
          <w:sz w:val="32"/>
          <w:szCs w:val="32"/>
        </w:rPr>
        <w:t>分为优秀；</w:t>
      </w:r>
      <w:r>
        <w:rPr>
          <w:rFonts w:ascii="仿宋_GB2312" w:hAnsi="仿宋_GB2312" w:eastAsia="仿宋_GB2312" w:cs="仿宋_GB2312"/>
          <w:sz w:val="32"/>
          <w:szCs w:val="32"/>
        </w:rPr>
        <w:t>75</w:t>
      </w:r>
      <w:r>
        <w:rPr>
          <w:rFonts w:hint="eastAsia" w:ascii="仿宋_GB2312" w:hAnsi="仿宋_GB2312" w:eastAsia="仿宋_GB2312" w:cs="仿宋_GB2312"/>
          <w:sz w:val="32"/>
          <w:szCs w:val="32"/>
        </w:rPr>
        <w:t>分≤得分＜</w:t>
      </w:r>
      <w:r>
        <w:rPr>
          <w:rFonts w:ascii="仿宋_GB2312" w:hAnsi="仿宋_GB2312" w:eastAsia="仿宋_GB2312" w:cs="仿宋_GB2312"/>
          <w:sz w:val="32"/>
          <w:szCs w:val="32"/>
        </w:rPr>
        <w:t>85</w:t>
      </w:r>
      <w:r>
        <w:rPr>
          <w:rFonts w:hint="eastAsia" w:ascii="仿宋_GB2312" w:hAnsi="仿宋_GB2312" w:eastAsia="仿宋_GB2312" w:cs="仿宋_GB2312"/>
          <w:sz w:val="32"/>
          <w:szCs w:val="32"/>
        </w:rPr>
        <w:t>分为良好；</w:t>
      </w:r>
      <w:r>
        <w:rPr>
          <w:rFonts w:ascii="仿宋_GB2312" w:hAnsi="仿宋_GB2312" w:eastAsia="仿宋_GB2312" w:cs="仿宋_GB2312"/>
          <w:sz w:val="32"/>
          <w:szCs w:val="32"/>
        </w:rPr>
        <w:t>60</w:t>
      </w:r>
      <w:r>
        <w:rPr>
          <w:rFonts w:hint="eastAsia" w:ascii="仿宋_GB2312" w:hAnsi="仿宋_GB2312" w:eastAsia="仿宋_GB2312" w:cs="仿宋_GB2312"/>
          <w:sz w:val="32"/>
          <w:szCs w:val="32"/>
        </w:rPr>
        <w:t>≤得分＜</w:t>
      </w:r>
      <w:r>
        <w:rPr>
          <w:rFonts w:ascii="仿宋_GB2312" w:hAnsi="仿宋_GB2312" w:eastAsia="仿宋_GB2312" w:cs="仿宋_GB2312"/>
          <w:sz w:val="32"/>
          <w:szCs w:val="32"/>
        </w:rPr>
        <w:t>75</w:t>
      </w:r>
      <w:r>
        <w:rPr>
          <w:rFonts w:hint="eastAsia" w:ascii="仿宋_GB2312" w:hAnsi="仿宋_GB2312" w:eastAsia="仿宋_GB2312" w:cs="仿宋_GB2312"/>
          <w:sz w:val="32"/>
          <w:szCs w:val="32"/>
        </w:rPr>
        <w:t>分为一般；得分＜</w:t>
      </w:r>
      <w:r>
        <w:rPr>
          <w:rFonts w:ascii="仿宋_GB2312" w:hAnsi="仿宋_GB2312" w:eastAsia="仿宋_GB2312" w:cs="仿宋_GB2312"/>
          <w:sz w:val="32"/>
          <w:szCs w:val="32"/>
        </w:rPr>
        <w:t>60</w:t>
      </w:r>
      <w:r>
        <w:rPr>
          <w:rFonts w:hint="eastAsia" w:ascii="仿宋_GB2312" w:hAnsi="仿宋_GB2312" w:eastAsia="仿宋_GB2312" w:cs="仿宋_GB2312"/>
          <w:sz w:val="32"/>
          <w:szCs w:val="32"/>
        </w:rPr>
        <w:t>分为较差。创卫攻坚环境卫生大整治行动项目最终得分为</w:t>
      </w:r>
      <w:r>
        <w:rPr>
          <w:rFonts w:ascii="仿宋_GB2312" w:hAnsi="仿宋_GB2312" w:eastAsia="仿宋_GB2312" w:cs="仿宋_GB2312"/>
          <w:sz w:val="32"/>
          <w:szCs w:val="32"/>
        </w:rPr>
        <w:t>92</w:t>
      </w:r>
      <w:r>
        <w:rPr>
          <w:rFonts w:hint="eastAsia" w:ascii="仿宋_GB2312" w:hAnsi="仿宋_GB2312" w:eastAsia="仿宋_GB2312" w:cs="仿宋_GB2312"/>
          <w:sz w:val="32"/>
          <w:szCs w:val="32"/>
        </w:rPr>
        <w:t>分，等级为优秀。</w:t>
      </w:r>
    </w:p>
    <w:p>
      <w:pPr>
        <w:numPr>
          <w:ilvl w:val="0"/>
          <w:numId w:val="4"/>
        </w:numPr>
        <w:adjustRightInd w:val="0"/>
        <w:snapToGrid w:val="0"/>
        <w:spacing w:line="580" w:lineRule="exact"/>
        <w:ind w:firstLine="537" w:firstLineChars="168"/>
        <w:rPr>
          <w:rFonts w:ascii="仿宋_GB2312" w:hAnsi="仿宋_GB2312" w:eastAsia="仿宋_GB2312" w:cs="仿宋_GB2312"/>
          <w:sz w:val="32"/>
          <w:szCs w:val="32"/>
        </w:rPr>
      </w:pPr>
      <w:r>
        <w:rPr>
          <w:rFonts w:hint="eastAsia" w:ascii="仿宋_GB2312" w:hAnsi="仿宋_GB2312" w:eastAsia="仿宋_GB2312" w:cs="仿宋_GB2312"/>
          <w:sz w:val="32"/>
          <w:szCs w:val="32"/>
        </w:rPr>
        <w:t>春季防火专项资金项目自评综述：根据年初设定的绩效目标，春季防火专项资金项目绩效自评得分为</w:t>
      </w:r>
      <w:r>
        <w:rPr>
          <w:rFonts w:ascii="仿宋_GB2312" w:hAnsi="仿宋_GB2312" w:eastAsia="仿宋_GB2312" w:cs="仿宋_GB2312"/>
          <w:sz w:val="32"/>
          <w:szCs w:val="32"/>
        </w:rPr>
        <w:t>94</w:t>
      </w:r>
      <w:r>
        <w:rPr>
          <w:rFonts w:hint="eastAsia" w:ascii="仿宋_GB2312" w:hAnsi="仿宋_GB2312" w:eastAsia="仿宋_GB2312" w:cs="仿宋_GB2312"/>
          <w:sz w:val="32"/>
          <w:szCs w:val="32"/>
        </w:rPr>
        <w:t>分。全年预算数为</w:t>
      </w:r>
      <w:r>
        <w:rPr>
          <w:rFonts w:ascii="仿宋_GB2312" w:hAnsi="仿宋_GB2312" w:eastAsia="仿宋_GB2312" w:cs="仿宋_GB2312"/>
          <w:sz w:val="32"/>
          <w:szCs w:val="32"/>
        </w:rPr>
        <w:t>8</w:t>
      </w:r>
      <w:r>
        <w:rPr>
          <w:rFonts w:hint="eastAsia" w:ascii="仿宋_GB2312" w:hAnsi="仿宋_GB2312" w:eastAsia="仿宋_GB2312" w:cs="仿宋_GB2312"/>
          <w:sz w:val="32"/>
          <w:szCs w:val="32"/>
        </w:rPr>
        <w:t>万元，执行数为</w:t>
      </w:r>
      <w:r>
        <w:rPr>
          <w:rFonts w:ascii="仿宋_GB2312" w:hAnsi="仿宋_GB2312" w:eastAsia="仿宋_GB2312" w:cs="仿宋_GB2312"/>
          <w:sz w:val="32"/>
          <w:szCs w:val="32"/>
        </w:rPr>
        <w:t>8</w:t>
      </w:r>
      <w:r>
        <w:rPr>
          <w:rFonts w:hint="eastAsia" w:ascii="仿宋_GB2312" w:hAnsi="仿宋_GB2312" w:eastAsia="仿宋_GB2312" w:cs="仿宋_GB2312"/>
          <w:sz w:val="32"/>
          <w:szCs w:val="32"/>
        </w:rPr>
        <w:t>万元，完成预算的</w:t>
      </w:r>
      <w:r>
        <w:rPr>
          <w:rFonts w:ascii="仿宋_GB2312" w:hAnsi="仿宋_GB2312" w:eastAsia="仿宋_GB2312" w:cs="仿宋_GB2312"/>
          <w:sz w:val="32"/>
          <w:szCs w:val="32"/>
        </w:rPr>
        <w:t>100%</w:t>
      </w:r>
      <w:r>
        <w:rPr>
          <w:rFonts w:hint="eastAsia" w:ascii="仿宋_GB2312" w:hAnsi="仿宋_GB2312" w:eastAsia="仿宋_GB2312" w:cs="仿宋_GB2312"/>
          <w:sz w:val="32"/>
          <w:szCs w:val="32"/>
        </w:rPr>
        <w:t>。项目绩效目标完成情况：该项目更加有效的推动了我镇防火工作</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圆满完成全年的秸秆禁烧、山林防火及各时段的防火任务目标。</w:t>
      </w:r>
    </w:p>
    <w:p>
      <w:pPr>
        <w:numPr>
          <w:ilvl w:val="0"/>
          <w:numId w:val="4"/>
        </w:numPr>
        <w:adjustRightInd w:val="0"/>
        <w:snapToGrid w:val="0"/>
        <w:spacing w:line="580" w:lineRule="exact"/>
        <w:ind w:firstLine="358" w:firstLineChars="112"/>
        <w:rPr>
          <w:rFonts w:ascii="仿宋_GB2312" w:hAnsi="仿宋_GB2312" w:eastAsia="仿宋_GB2312" w:cs="仿宋_GB2312"/>
          <w:sz w:val="32"/>
          <w:szCs w:val="32"/>
        </w:rPr>
      </w:pPr>
      <w:r>
        <w:rPr>
          <w:rFonts w:hint="eastAsia" w:ascii="仿宋_GB2312" w:hAnsi="仿宋_GB2312" w:eastAsia="仿宋_GB2312" w:cs="仿宋_GB2312"/>
          <w:sz w:val="32"/>
          <w:szCs w:val="32"/>
        </w:rPr>
        <w:t>春季防火专项资金项目绩效自评综述：根据项目执行情况和项目绩效情况，给出总得分，指标体系设定满分</w:t>
      </w:r>
      <w:r>
        <w:rPr>
          <w:rFonts w:ascii="仿宋_GB2312" w:hAnsi="仿宋_GB2312" w:eastAsia="仿宋_GB2312" w:cs="仿宋_GB2312"/>
          <w:sz w:val="32"/>
          <w:szCs w:val="32"/>
        </w:rPr>
        <w:t>100</w:t>
      </w:r>
      <w:r>
        <w:rPr>
          <w:rFonts w:hint="eastAsia" w:ascii="仿宋_GB2312" w:hAnsi="仿宋_GB2312" w:eastAsia="仿宋_GB2312" w:cs="仿宋_GB2312"/>
          <w:sz w:val="32"/>
          <w:szCs w:val="32"/>
        </w:rPr>
        <w:t>分，得出综合评价结论和项目综合绩效评价等级。项目综合绩效评价分为</w:t>
      </w:r>
      <w:r>
        <w:rPr>
          <w:rFonts w:ascii="仿宋_GB2312" w:hAnsi="仿宋_GB2312" w:eastAsia="仿宋_GB2312" w:cs="仿宋_GB2312"/>
          <w:sz w:val="32"/>
          <w:szCs w:val="32"/>
        </w:rPr>
        <w:t>4</w:t>
      </w:r>
      <w:r>
        <w:rPr>
          <w:rFonts w:hint="eastAsia" w:ascii="仿宋_GB2312" w:hAnsi="仿宋_GB2312" w:eastAsia="仿宋_GB2312" w:cs="仿宋_GB2312"/>
          <w:sz w:val="32"/>
          <w:szCs w:val="32"/>
        </w:rPr>
        <w:t>个等级：得分≥</w:t>
      </w:r>
      <w:r>
        <w:rPr>
          <w:rFonts w:ascii="仿宋_GB2312" w:hAnsi="仿宋_GB2312" w:eastAsia="仿宋_GB2312" w:cs="仿宋_GB2312"/>
          <w:sz w:val="32"/>
          <w:szCs w:val="32"/>
        </w:rPr>
        <w:t>85</w:t>
      </w:r>
      <w:r>
        <w:rPr>
          <w:rFonts w:hint="eastAsia" w:ascii="仿宋_GB2312" w:hAnsi="仿宋_GB2312" w:eastAsia="仿宋_GB2312" w:cs="仿宋_GB2312"/>
          <w:sz w:val="32"/>
          <w:szCs w:val="32"/>
        </w:rPr>
        <w:t>分为优秀；</w:t>
      </w:r>
      <w:r>
        <w:rPr>
          <w:rFonts w:ascii="仿宋_GB2312" w:hAnsi="仿宋_GB2312" w:eastAsia="仿宋_GB2312" w:cs="仿宋_GB2312"/>
          <w:sz w:val="32"/>
          <w:szCs w:val="32"/>
        </w:rPr>
        <w:t>75</w:t>
      </w:r>
      <w:r>
        <w:rPr>
          <w:rFonts w:hint="eastAsia" w:ascii="仿宋_GB2312" w:hAnsi="仿宋_GB2312" w:eastAsia="仿宋_GB2312" w:cs="仿宋_GB2312"/>
          <w:sz w:val="32"/>
          <w:szCs w:val="32"/>
        </w:rPr>
        <w:t>分≤得分＜</w:t>
      </w:r>
      <w:r>
        <w:rPr>
          <w:rFonts w:ascii="仿宋_GB2312" w:hAnsi="仿宋_GB2312" w:eastAsia="仿宋_GB2312" w:cs="仿宋_GB2312"/>
          <w:sz w:val="32"/>
          <w:szCs w:val="32"/>
        </w:rPr>
        <w:t>85</w:t>
      </w:r>
      <w:r>
        <w:rPr>
          <w:rFonts w:hint="eastAsia" w:ascii="仿宋_GB2312" w:hAnsi="仿宋_GB2312" w:eastAsia="仿宋_GB2312" w:cs="仿宋_GB2312"/>
          <w:sz w:val="32"/>
          <w:szCs w:val="32"/>
        </w:rPr>
        <w:t>分为良好；</w:t>
      </w:r>
      <w:r>
        <w:rPr>
          <w:rFonts w:ascii="仿宋_GB2312" w:hAnsi="仿宋_GB2312" w:eastAsia="仿宋_GB2312" w:cs="仿宋_GB2312"/>
          <w:sz w:val="32"/>
          <w:szCs w:val="32"/>
        </w:rPr>
        <w:t>60</w:t>
      </w:r>
      <w:r>
        <w:rPr>
          <w:rFonts w:hint="eastAsia" w:ascii="仿宋_GB2312" w:hAnsi="仿宋_GB2312" w:eastAsia="仿宋_GB2312" w:cs="仿宋_GB2312"/>
          <w:sz w:val="32"/>
          <w:szCs w:val="32"/>
        </w:rPr>
        <w:t>≤得分＜</w:t>
      </w:r>
      <w:r>
        <w:rPr>
          <w:rFonts w:ascii="仿宋_GB2312" w:hAnsi="仿宋_GB2312" w:eastAsia="仿宋_GB2312" w:cs="仿宋_GB2312"/>
          <w:sz w:val="32"/>
          <w:szCs w:val="32"/>
        </w:rPr>
        <w:t>75</w:t>
      </w:r>
      <w:r>
        <w:rPr>
          <w:rFonts w:hint="eastAsia" w:ascii="仿宋_GB2312" w:hAnsi="仿宋_GB2312" w:eastAsia="仿宋_GB2312" w:cs="仿宋_GB2312"/>
          <w:sz w:val="32"/>
          <w:szCs w:val="32"/>
        </w:rPr>
        <w:t>分为一般；得分＜</w:t>
      </w:r>
      <w:r>
        <w:rPr>
          <w:rFonts w:ascii="仿宋_GB2312" w:hAnsi="仿宋_GB2312" w:eastAsia="仿宋_GB2312" w:cs="仿宋_GB2312"/>
          <w:sz w:val="32"/>
          <w:szCs w:val="32"/>
        </w:rPr>
        <w:t>60</w:t>
      </w:r>
      <w:r>
        <w:rPr>
          <w:rFonts w:hint="eastAsia" w:ascii="仿宋_GB2312" w:hAnsi="仿宋_GB2312" w:eastAsia="仿宋_GB2312" w:cs="仿宋_GB2312"/>
          <w:sz w:val="32"/>
          <w:szCs w:val="32"/>
        </w:rPr>
        <w:t>分为较差。春季防火专项资金项目最终得分为</w:t>
      </w:r>
      <w:r>
        <w:rPr>
          <w:rFonts w:ascii="仿宋_GB2312" w:hAnsi="仿宋_GB2312" w:eastAsia="仿宋_GB2312" w:cs="仿宋_GB2312"/>
          <w:sz w:val="32"/>
          <w:szCs w:val="32"/>
        </w:rPr>
        <w:t>94</w:t>
      </w:r>
      <w:r>
        <w:rPr>
          <w:rFonts w:hint="eastAsia" w:ascii="仿宋_GB2312" w:hAnsi="仿宋_GB2312" w:eastAsia="仿宋_GB2312" w:cs="仿宋_GB2312"/>
          <w:sz w:val="32"/>
          <w:szCs w:val="32"/>
        </w:rPr>
        <w:t>分，等级为优秀。</w:t>
      </w:r>
    </w:p>
    <w:p>
      <w:pPr>
        <w:numPr>
          <w:ilvl w:val="0"/>
          <w:numId w:val="4"/>
        </w:numPr>
        <w:adjustRightInd w:val="0"/>
        <w:snapToGrid w:val="0"/>
        <w:spacing w:line="580" w:lineRule="exact"/>
        <w:ind w:firstLine="537" w:firstLineChars="168"/>
        <w:rPr>
          <w:rFonts w:ascii="仿宋_GB2312" w:hAnsi="仿宋_GB2312" w:eastAsia="仿宋_GB2312" w:cs="仿宋_GB2312"/>
          <w:sz w:val="32"/>
          <w:szCs w:val="32"/>
        </w:rPr>
      </w:pPr>
      <w:r>
        <w:rPr>
          <w:rFonts w:hint="eastAsia" w:ascii="仿宋_GB2312" w:hAnsi="仿宋_GB2312" w:eastAsia="仿宋_GB2312" w:cs="仿宋_GB2312"/>
          <w:sz w:val="32"/>
          <w:szCs w:val="32"/>
        </w:rPr>
        <w:t>铜冶镇</w:t>
      </w:r>
      <w:r>
        <w:rPr>
          <w:rFonts w:ascii="仿宋_GB2312" w:hAnsi="仿宋_GB2312" w:eastAsia="仿宋_GB2312" w:cs="仿宋_GB2312"/>
          <w:sz w:val="32"/>
          <w:szCs w:val="32"/>
        </w:rPr>
        <w:t>2017</w:t>
      </w:r>
      <w:r>
        <w:rPr>
          <w:rFonts w:hint="eastAsia" w:ascii="仿宋_GB2312" w:hAnsi="仿宋_GB2312" w:eastAsia="仿宋_GB2312" w:cs="仿宋_GB2312"/>
          <w:sz w:val="32"/>
          <w:szCs w:val="32"/>
        </w:rPr>
        <w:t>年“五星乡村”创建奖补资金项目自评综述：根据年初设定的绩效目标，铜冶镇</w:t>
      </w:r>
      <w:r>
        <w:rPr>
          <w:rFonts w:ascii="仿宋_GB2312" w:hAnsi="仿宋_GB2312" w:eastAsia="仿宋_GB2312" w:cs="仿宋_GB2312"/>
          <w:sz w:val="32"/>
          <w:szCs w:val="32"/>
        </w:rPr>
        <w:t>2017</w:t>
      </w:r>
      <w:r>
        <w:rPr>
          <w:rFonts w:hint="eastAsia" w:ascii="仿宋_GB2312" w:hAnsi="仿宋_GB2312" w:eastAsia="仿宋_GB2312" w:cs="仿宋_GB2312"/>
          <w:sz w:val="32"/>
          <w:szCs w:val="32"/>
        </w:rPr>
        <w:t>年“五星乡村”创建奖补资金项目绩效自评得分为</w:t>
      </w:r>
      <w:r>
        <w:rPr>
          <w:rFonts w:ascii="仿宋_GB2312" w:hAnsi="仿宋_GB2312" w:eastAsia="仿宋_GB2312" w:cs="仿宋_GB2312"/>
          <w:sz w:val="32"/>
          <w:szCs w:val="32"/>
        </w:rPr>
        <w:t>92</w:t>
      </w:r>
      <w:r>
        <w:rPr>
          <w:rFonts w:hint="eastAsia" w:ascii="仿宋_GB2312" w:hAnsi="仿宋_GB2312" w:eastAsia="仿宋_GB2312" w:cs="仿宋_GB2312"/>
          <w:sz w:val="32"/>
          <w:szCs w:val="32"/>
        </w:rPr>
        <w:t>分。全年预算数为</w:t>
      </w:r>
      <w:r>
        <w:rPr>
          <w:rFonts w:ascii="仿宋_GB2312" w:hAnsi="仿宋_GB2312" w:eastAsia="仿宋_GB2312" w:cs="仿宋_GB2312"/>
          <w:sz w:val="32"/>
          <w:szCs w:val="32"/>
        </w:rPr>
        <w:t>260</w:t>
      </w:r>
      <w:r>
        <w:rPr>
          <w:rFonts w:hint="eastAsia" w:ascii="仿宋_GB2312" w:hAnsi="仿宋_GB2312" w:eastAsia="仿宋_GB2312" w:cs="仿宋_GB2312"/>
          <w:sz w:val="32"/>
          <w:szCs w:val="32"/>
        </w:rPr>
        <w:t>万元，执行数为</w:t>
      </w:r>
      <w:r>
        <w:rPr>
          <w:rFonts w:ascii="仿宋_GB2312" w:hAnsi="仿宋_GB2312" w:eastAsia="仿宋_GB2312" w:cs="仿宋_GB2312"/>
          <w:sz w:val="32"/>
          <w:szCs w:val="32"/>
        </w:rPr>
        <w:t>260</w:t>
      </w:r>
      <w:r>
        <w:rPr>
          <w:rFonts w:hint="eastAsia" w:ascii="仿宋_GB2312" w:hAnsi="仿宋_GB2312" w:eastAsia="仿宋_GB2312" w:cs="仿宋_GB2312"/>
          <w:sz w:val="32"/>
          <w:szCs w:val="32"/>
        </w:rPr>
        <w:t>万元，完成预算的</w:t>
      </w:r>
      <w:r>
        <w:rPr>
          <w:rFonts w:ascii="仿宋_GB2312" w:hAnsi="仿宋_GB2312" w:eastAsia="仿宋_GB2312" w:cs="仿宋_GB2312"/>
          <w:sz w:val="32"/>
          <w:szCs w:val="32"/>
        </w:rPr>
        <w:t>100%</w:t>
      </w:r>
      <w:r>
        <w:rPr>
          <w:rFonts w:hint="eastAsia" w:ascii="仿宋_GB2312" w:hAnsi="仿宋_GB2312" w:eastAsia="仿宋_GB2312" w:cs="仿宋_GB2312"/>
          <w:sz w:val="32"/>
          <w:szCs w:val="32"/>
        </w:rPr>
        <w:t>。项目绩效目标完成情况：该项目营造积极的五星乡村创建氛围</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有效推动了我镇创建工作</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提高各村的积极性</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各村村民满意度有所提升。</w:t>
      </w:r>
    </w:p>
    <w:p>
      <w:pPr>
        <w:numPr>
          <w:ilvl w:val="0"/>
          <w:numId w:val="4"/>
        </w:numPr>
        <w:adjustRightInd w:val="0"/>
        <w:snapToGrid w:val="0"/>
        <w:spacing w:line="580" w:lineRule="exact"/>
        <w:ind w:firstLine="537" w:firstLineChars="168"/>
        <w:rPr>
          <w:rFonts w:ascii="仿宋_GB2312" w:hAnsi="仿宋_GB2312" w:eastAsia="仿宋_GB2312" w:cs="仿宋_GB2312"/>
          <w:sz w:val="32"/>
          <w:szCs w:val="32"/>
        </w:rPr>
      </w:pPr>
      <w:r>
        <w:rPr>
          <w:rFonts w:hint="eastAsia" w:ascii="仿宋_GB2312" w:hAnsi="仿宋_GB2312" w:eastAsia="仿宋_GB2312" w:cs="仿宋_GB2312"/>
          <w:sz w:val="32"/>
          <w:szCs w:val="32"/>
        </w:rPr>
        <w:t>铜冶镇</w:t>
      </w:r>
      <w:r>
        <w:rPr>
          <w:rFonts w:ascii="仿宋_GB2312" w:hAnsi="仿宋_GB2312" w:eastAsia="仿宋_GB2312" w:cs="仿宋_GB2312"/>
          <w:sz w:val="32"/>
          <w:szCs w:val="32"/>
        </w:rPr>
        <w:t>2017</w:t>
      </w:r>
      <w:r>
        <w:rPr>
          <w:rFonts w:hint="eastAsia" w:ascii="仿宋_GB2312" w:hAnsi="仿宋_GB2312" w:eastAsia="仿宋_GB2312" w:cs="仿宋_GB2312"/>
          <w:sz w:val="32"/>
          <w:szCs w:val="32"/>
        </w:rPr>
        <w:t>年“五星乡村”创建奖补资金项目绩效自评综述：根据项目执行情况和项目绩效情况，给出总得分，指标体系设定满分</w:t>
      </w:r>
      <w:r>
        <w:rPr>
          <w:rFonts w:ascii="仿宋_GB2312" w:hAnsi="仿宋_GB2312" w:eastAsia="仿宋_GB2312" w:cs="仿宋_GB2312"/>
          <w:sz w:val="32"/>
          <w:szCs w:val="32"/>
        </w:rPr>
        <w:t>100</w:t>
      </w:r>
      <w:r>
        <w:rPr>
          <w:rFonts w:hint="eastAsia" w:ascii="仿宋_GB2312" w:hAnsi="仿宋_GB2312" w:eastAsia="仿宋_GB2312" w:cs="仿宋_GB2312"/>
          <w:sz w:val="32"/>
          <w:szCs w:val="32"/>
        </w:rPr>
        <w:t>分，得出综合评价结论和项目综合绩效评价等级。项目综合绩效评价分为</w:t>
      </w:r>
      <w:r>
        <w:rPr>
          <w:rFonts w:ascii="仿宋_GB2312" w:hAnsi="仿宋_GB2312" w:eastAsia="仿宋_GB2312" w:cs="仿宋_GB2312"/>
          <w:sz w:val="32"/>
          <w:szCs w:val="32"/>
        </w:rPr>
        <w:t>4</w:t>
      </w:r>
      <w:r>
        <w:rPr>
          <w:rFonts w:hint="eastAsia" w:ascii="仿宋_GB2312" w:hAnsi="仿宋_GB2312" w:eastAsia="仿宋_GB2312" w:cs="仿宋_GB2312"/>
          <w:sz w:val="32"/>
          <w:szCs w:val="32"/>
        </w:rPr>
        <w:t>个等级：得分≥</w:t>
      </w:r>
      <w:r>
        <w:rPr>
          <w:rFonts w:ascii="仿宋_GB2312" w:hAnsi="仿宋_GB2312" w:eastAsia="仿宋_GB2312" w:cs="仿宋_GB2312"/>
          <w:sz w:val="32"/>
          <w:szCs w:val="32"/>
        </w:rPr>
        <w:t>85</w:t>
      </w:r>
      <w:r>
        <w:rPr>
          <w:rFonts w:hint="eastAsia" w:ascii="仿宋_GB2312" w:hAnsi="仿宋_GB2312" w:eastAsia="仿宋_GB2312" w:cs="仿宋_GB2312"/>
          <w:sz w:val="32"/>
          <w:szCs w:val="32"/>
        </w:rPr>
        <w:t>分为优秀；</w:t>
      </w:r>
      <w:r>
        <w:rPr>
          <w:rFonts w:ascii="仿宋_GB2312" w:hAnsi="仿宋_GB2312" w:eastAsia="仿宋_GB2312" w:cs="仿宋_GB2312"/>
          <w:sz w:val="32"/>
          <w:szCs w:val="32"/>
        </w:rPr>
        <w:t>75</w:t>
      </w:r>
      <w:r>
        <w:rPr>
          <w:rFonts w:hint="eastAsia" w:ascii="仿宋_GB2312" w:hAnsi="仿宋_GB2312" w:eastAsia="仿宋_GB2312" w:cs="仿宋_GB2312"/>
          <w:sz w:val="32"/>
          <w:szCs w:val="32"/>
        </w:rPr>
        <w:t>分≤得分＜</w:t>
      </w:r>
      <w:r>
        <w:rPr>
          <w:rFonts w:ascii="仿宋_GB2312" w:hAnsi="仿宋_GB2312" w:eastAsia="仿宋_GB2312" w:cs="仿宋_GB2312"/>
          <w:sz w:val="32"/>
          <w:szCs w:val="32"/>
        </w:rPr>
        <w:t>85</w:t>
      </w:r>
      <w:r>
        <w:rPr>
          <w:rFonts w:hint="eastAsia" w:ascii="仿宋_GB2312" w:hAnsi="仿宋_GB2312" w:eastAsia="仿宋_GB2312" w:cs="仿宋_GB2312"/>
          <w:sz w:val="32"/>
          <w:szCs w:val="32"/>
        </w:rPr>
        <w:t>分为良好；</w:t>
      </w:r>
      <w:r>
        <w:rPr>
          <w:rFonts w:ascii="仿宋_GB2312" w:hAnsi="仿宋_GB2312" w:eastAsia="仿宋_GB2312" w:cs="仿宋_GB2312"/>
          <w:sz w:val="32"/>
          <w:szCs w:val="32"/>
        </w:rPr>
        <w:t>60</w:t>
      </w:r>
      <w:r>
        <w:rPr>
          <w:rFonts w:hint="eastAsia" w:ascii="仿宋_GB2312" w:hAnsi="仿宋_GB2312" w:eastAsia="仿宋_GB2312" w:cs="仿宋_GB2312"/>
          <w:sz w:val="32"/>
          <w:szCs w:val="32"/>
        </w:rPr>
        <w:t>≤得分＜</w:t>
      </w:r>
      <w:r>
        <w:rPr>
          <w:rFonts w:ascii="仿宋_GB2312" w:hAnsi="仿宋_GB2312" w:eastAsia="仿宋_GB2312" w:cs="仿宋_GB2312"/>
          <w:sz w:val="32"/>
          <w:szCs w:val="32"/>
        </w:rPr>
        <w:t>75</w:t>
      </w:r>
      <w:r>
        <w:rPr>
          <w:rFonts w:hint="eastAsia" w:ascii="仿宋_GB2312" w:hAnsi="仿宋_GB2312" w:eastAsia="仿宋_GB2312" w:cs="仿宋_GB2312"/>
          <w:sz w:val="32"/>
          <w:szCs w:val="32"/>
        </w:rPr>
        <w:t>分为一般；得分＜</w:t>
      </w:r>
      <w:r>
        <w:rPr>
          <w:rFonts w:ascii="仿宋_GB2312" w:hAnsi="仿宋_GB2312" w:eastAsia="仿宋_GB2312" w:cs="仿宋_GB2312"/>
          <w:sz w:val="32"/>
          <w:szCs w:val="32"/>
        </w:rPr>
        <w:t>60</w:t>
      </w:r>
      <w:r>
        <w:rPr>
          <w:rFonts w:hint="eastAsia" w:ascii="仿宋_GB2312" w:hAnsi="仿宋_GB2312" w:eastAsia="仿宋_GB2312" w:cs="仿宋_GB2312"/>
          <w:sz w:val="32"/>
          <w:szCs w:val="32"/>
        </w:rPr>
        <w:t>分为较差。春季防火专项资金项目最终得分为</w:t>
      </w:r>
      <w:r>
        <w:rPr>
          <w:rFonts w:ascii="仿宋_GB2312" w:hAnsi="仿宋_GB2312" w:eastAsia="仿宋_GB2312" w:cs="仿宋_GB2312"/>
          <w:sz w:val="32"/>
          <w:szCs w:val="32"/>
        </w:rPr>
        <w:t>92</w:t>
      </w:r>
      <w:r>
        <w:rPr>
          <w:rFonts w:hint="eastAsia" w:ascii="仿宋_GB2312" w:hAnsi="仿宋_GB2312" w:eastAsia="仿宋_GB2312" w:cs="仿宋_GB2312"/>
          <w:sz w:val="32"/>
          <w:szCs w:val="32"/>
        </w:rPr>
        <w:t>分，等级为优秀。</w:t>
      </w:r>
    </w:p>
    <w:p>
      <w:pPr>
        <w:numPr>
          <w:ilvl w:val="0"/>
          <w:numId w:val="4"/>
        </w:numPr>
        <w:adjustRightInd w:val="0"/>
        <w:snapToGrid w:val="0"/>
        <w:spacing w:line="580" w:lineRule="exact"/>
        <w:ind w:firstLine="537" w:firstLineChars="168"/>
        <w:rPr>
          <w:rFonts w:ascii="仿宋_GB2312" w:hAnsi="仿宋_GB2312" w:eastAsia="仿宋_GB2312" w:cs="仿宋_GB2312"/>
          <w:sz w:val="32"/>
          <w:szCs w:val="32"/>
        </w:rPr>
      </w:pPr>
      <w:r>
        <w:rPr>
          <w:rFonts w:hint="eastAsia" w:ascii="仿宋_GB2312" w:hAnsi="仿宋_GB2312" w:eastAsia="仿宋_GB2312" w:cs="仿宋_GB2312"/>
          <w:sz w:val="32"/>
          <w:szCs w:val="32"/>
        </w:rPr>
        <w:t>铜冶镇军队退役人员公益岗位工资项目自评综述：根据年初设定的绩效目标，铜冶镇环镇西路北延工程资金项目绩效自评得分为</w:t>
      </w:r>
      <w:r>
        <w:rPr>
          <w:rFonts w:ascii="仿宋_GB2312" w:hAnsi="仿宋_GB2312" w:eastAsia="仿宋_GB2312" w:cs="仿宋_GB2312"/>
          <w:sz w:val="32"/>
          <w:szCs w:val="32"/>
        </w:rPr>
        <w:t>94</w:t>
      </w:r>
      <w:r>
        <w:rPr>
          <w:rFonts w:hint="eastAsia" w:ascii="仿宋_GB2312" w:hAnsi="仿宋_GB2312" w:eastAsia="仿宋_GB2312" w:cs="仿宋_GB2312"/>
          <w:sz w:val="32"/>
          <w:szCs w:val="32"/>
        </w:rPr>
        <w:t>分。全年预算数为</w:t>
      </w:r>
      <w:r>
        <w:rPr>
          <w:rFonts w:ascii="仿宋_GB2312" w:hAnsi="仿宋_GB2312" w:eastAsia="仿宋_GB2312" w:cs="仿宋_GB2312"/>
          <w:sz w:val="32"/>
          <w:szCs w:val="32"/>
        </w:rPr>
        <w:t>39.915</w:t>
      </w:r>
      <w:r>
        <w:rPr>
          <w:rFonts w:hint="eastAsia" w:ascii="仿宋_GB2312" w:hAnsi="仿宋_GB2312" w:eastAsia="仿宋_GB2312" w:cs="仿宋_GB2312"/>
          <w:sz w:val="32"/>
          <w:szCs w:val="32"/>
        </w:rPr>
        <w:t>万元，执行数为</w:t>
      </w:r>
      <w:r>
        <w:rPr>
          <w:rFonts w:ascii="仿宋_GB2312" w:hAnsi="仿宋_GB2312" w:eastAsia="仿宋_GB2312" w:cs="仿宋_GB2312"/>
          <w:sz w:val="32"/>
          <w:szCs w:val="32"/>
        </w:rPr>
        <w:t>39.915</w:t>
      </w:r>
      <w:r>
        <w:rPr>
          <w:rFonts w:hint="eastAsia" w:ascii="仿宋_GB2312" w:hAnsi="仿宋_GB2312" w:eastAsia="仿宋_GB2312" w:cs="仿宋_GB2312"/>
          <w:sz w:val="32"/>
          <w:szCs w:val="32"/>
        </w:rPr>
        <w:t>万元，完成预算的</w:t>
      </w:r>
      <w:r>
        <w:rPr>
          <w:rFonts w:ascii="仿宋_GB2312" w:hAnsi="仿宋_GB2312" w:eastAsia="仿宋_GB2312" w:cs="仿宋_GB2312"/>
          <w:sz w:val="32"/>
          <w:szCs w:val="32"/>
        </w:rPr>
        <w:t>100%</w:t>
      </w:r>
      <w:r>
        <w:rPr>
          <w:rFonts w:hint="eastAsia" w:ascii="仿宋_GB2312" w:hAnsi="仿宋_GB2312" w:eastAsia="仿宋_GB2312" w:cs="仿宋_GB2312"/>
          <w:sz w:val="32"/>
          <w:szCs w:val="32"/>
        </w:rPr>
        <w:t>。项目绩效目标完成情况：退役士兵公益岗位人员工资每月按照实有人数通过银行代发的形式发放，加大对符合条件的退役士兵实行就业安置，确保安置工资顺利进行，促进社会和谐，维护社会稳定。</w:t>
      </w:r>
    </w:p>
    <w:p>
      <w:pPr>
        <w:numPr>
          <w:ilvl w:val="0"/>
          <w:numId w:val="4"/>
        </w:numPr>
        <w:adjustRightInd w:val="0"/>
        <w:snapToGrid w:val="0"/>
        <w:spacing w:line="580" w:lineRule="exact"/>
        <w:ind w:firstLine="537" w:firstLineChars="168"/>
        <w:rPr>
          <w:rFonts w:ascii="仿宋_GB2312" w:hAnsi="仿宋_GB2312" w:eastAsia="仿宋_GB2312" w:cs="仿宋_GB2312"/>
          <w:sz w:val="32"/>
          <w:szCs w:val="32"/>
        </w:rPr>
      </w:pPr>
      <w:r>
        <w:rPr>
          <w:rFonts w:hint="eastAsia" w:ascii="仿宋_GB2312" w:hAnsi="仿宋_GB2312" w:eastAsia="仿宋_GB2312" w:cs="仿宋_GB2312"/>
          <w:sz w:val="32"/>
          <w:szCs w:val="32"/>
        </w:rPr>
        <w:t>铜冶镇军队退役人员公益岗位工资项目绩效自评综述：根据项目执行情况和项目绩效情况，给出总得分，指标体系设定满分</w:t>
      </w:r>
      <w:r>
        <w:rPr>
          <w:rFonts w:ascii="仿宋_GB2312" w:hAnsi="仿宋_GB2312" w:eastAsia="仿宋_GB2312" w:cs="仿宋_GB2312"/>
          <w:sz w:val="32"/>
          <w:szCs w:val="32"/>
        </w:rPr>
        <w:t>100</w:t>
      </w:r>
      <w:r>
        <w:rPr>
          <w:rFonts w:hint="eastAsia" w:ascii="仿宋_GB2312" w:hAnsi="仿宋_GB2312" w:eastAsia="仿宋_GB2312" w:cs="仿宋_GB2312"/>
          <w:sz w:val="32"/>
          <w:szCs w:val="32"/>
        </w:rPr>
        <w:t>分，得出综合评价结论和项目综合绩效评价等级。项目综合绩效评价分为</w:t>
      </w:r>
      <w:r>
        <w:rPr>
          <w:rFonts w:ascii="仿宋_GB2312" w:hAnsi="仿宋_GB2312" w:eastAsia="仿宋_GB2312" w:cs="仿宋_GB2312"/>
          <w:sz w:val="32"/>
          <w:szCs w:val="32"/>
        </w:rPr>
        <w:t>4</w:t>
      </w:r>
      <w:r>
        <w:rPr>
          <w:rFonts w:hint="eastAsia" w:ascii="仿宋_GB2312" w:hAnsi="仿宋_GB2312" w:eastAsia="仿宋_GB2312" w:cs="仿宋_GB2312"/>
          <w:sz w:val="32"/>
          <w:szCs w:val="32"/>
        </w:rPr>
        <w:t>个等级：得分≥</w:t>
      </w:r>
      <w:r>
        <w:rPr>
          <w:rFonts w:ascii="仿宋_GB2312" w:hAnsi="仿宋_GB2312" w:eastAsia="仿宋_GB2312" w:cs="仿宋_GB2312"/>
          <w:sz w:val="32"/>
          <w:szCs w:val="32"/>
        </w:rPr>
        <w:t>85</w:t>
      </w:r>
      <w:r>
        <w:rPr>
          <w:rFonts w:hint="eastAsia" w:ascii="仿宋_GB2312" w:hAnsi="仿宋_GB2312" w:eastAsia="仿宋_GB2312" w:cs="仿宋_GB2312"/>
          <w:sz w:val="32"/>
          <w:szCs w:val="32"/>
        </w:rPr>
        <w:t>分为优秀；</w:t>
      </w:r>
      <w:r>
        <w:rPr>
          <w:rFonts w:ascii="仿宋_GB2312" w:hAnsi="仿宋_GB2312" w:eastAsia="仿宋_GB2312" w:cs="仿宋_GB2312"/>
          <w:sz w:val="32"/>
          <w:szCs w:val="32"/>
        </w:rPr>
        <w:t>75</w:t>
      </w:r>
      <w:r>
        <w:rPr>
          <w:rFonts w:hint="eastAsia" w:ascii="仿宋_GB2312" w:hAnsi="仿宋_GB2312" w:eastAsia="仿宋_GB2312" w:cs="仿宋_GB2312"/>
          <w:sz w:val="32"/>
          <w:szCs w:val="32"/>
        </w:rPr>
        <w:t>分≤得分＜</w:t>
      </w:r>
      <w:r>
        <w:rPr>
          <w:rFonts w:ascii="仿宋_GB2312" w:hAnsi="仿宋_GB2312" w:eastAsia="仿宋_GB2312" w:cs="仿宋_GB2312"/>
          <w:sz w:val="32"/>
          <w:szCs w:val="32"/>
        </w:rPr>
        <w:t>85</w:t>
      </w:r>
      <w:r>
        <w:rPr>
          <w:rFonts w:hint="eastAsia" w:ascii="仿宋_GB2312" w:hAnsi="仿宋_GB2312" w:eastAsia="仿宋_GB2312" w:cs="仿宋_GB2312"/>
          <w:sz w:val="32"/>
          <w:szCs w:val="32"/>
        </w:rPr>
        <w:t>分为良好；</w:t>
      </w:r>
      <w:r>
        <w:rPr>
          <w:rFonts w:ascii="仿宋_GB2312" w:hAnsi="仿宋_GB2312" w:eastAsia="仿宋_GB2312" w:cs="仿宋_GB2312"/>
          <w:sz w:val="32"/>
          <w:szCs w:val="32"/>
        </w:rPr>
        <w:t>60</w:t>
      </w:r>
      <w:r>
        <w:rPr>
          <w:rFonts w:hint="eastAsia" w:ascii="仿宋_GB2312" w:hAnsi="仿宋_GB2312" w:eastAsia="仿宋_GB2312" w:cs="仿宋_GB2312"/>
          <w:sz w:val="32"/>
          <w:szCs w:val="32"/>
        </w:rPr>
        <w:t>≤得分＜</w:t>
      </w:r>
      <w:r>
        <w:rPr>
          <w:rFonts w:ascii="仿宋_GB2312" w:hAnsi="仿宋_GB2312" w:eastAsia="仿宋_GB2312" w:cs="仿宋_GB2312"/>
          <w:sz w:val="32"/>
          <w:szCs w:val="32"/>
        </w:rPr>
        <w:t>75</w:t>
      </w:r>
      <w:r>
        <w:rPr>
          <w:rFonts w:hint="eastAsia" w:ascii="仿宋_GB2312" w:hAnsi="仿宋_GB2312" w:eastAsia="仿宋_GB2312" w:cs="仿宋_GB2312"/>
          <w:sz w:val="32"/>
          <w:szCs w:val="32"/>
        </w:rPr>
        <w:t>分为一般；得分＜</w:t>
      </w:r>
      <w:r>
        <w:rPr>
          <w:rFonts w:ascii="仿宋_GB2312" w:hAnsi="仿宋_GB2312" w:eastAsia="仿宋_GB2312" w:cs="仿宋_GB2312"/>
          <w:sz w:val="32"/>
          <w:szCs w:val="32"/>
        </w:rPr>
        <w:t>60</w:t>
      </w:r>
      <w:r>
        <w:rPr>
          <w:rFonts w:hint="eastAsia" w:ascii="仿宋_GB2312" w:hAnsi="仿宋_GB2312" w:eastAsia="仿宋_GB2312" w:cs="仿宋_GB2312"/>
          <w:sz w:val="32"/>
          <w:szCs w:val="32"/>
        </w:rPr>
        <w:t>分为较差。铜冶镇军队退役人员公益岗位工资项目最终得分为</w:t>
      </w:r>
      <w:r>
        <w:rPr>
          <w:rFonts w:ascii="仿宋_GB2312" w:hAnsi="仿宋_GB2312" w:eastAsia="仿宋_GB2312" w:cs="仿宋_GB2312"/>
          <w:sz w:val="32"/>
          <w:szCs w:val="32"/>
        </w:rPr>
        <w:t>94</w:t>
      </w:r>
      <w:r>
        <w:rPr>
          <w:rFonts w:hint="eastAsia" w:ascii="仿宋_GB2312" w:hAnsi="仿宋_GB2312" w:eastAsia="仿宋_GB2312" w:cs="仿宋_GB2312"/>
          <w:sz w:val="32"/>
          <w:szCs w:val="32"/>
        </w:rPr>
        <w:t>分，等级为优秀。</w:t>
      </w:r>
    </w:p>
    <w:p>
      <w:pPr>
        <w:numPr>
          <w:ilvl w:val="0"/>
          <w:numId w:val="4"/>
        </w:numPr>
        <w:adjustRightInd w:val="0"/>
        <w:snapToGrid w:val="0"/>
        <w:spacing w:line="580" w:lineRule="exact"/>
        <w:ind w:firstLine="537" w:firstLineChars="168"/>
        <w:rPr>
          <w:rFonts w:ascii="仿宋_GB2312" w:hAnsi="仿宋_GB2312" w:eastAsia="仿宋_GB2312" w:cs="仿宋_GB2312"/>
          <w:sz w:val="32"/>
          <w:szCs w:val="32"/>
        </w:rPr>
      </w:pPr>
      <w:r>
        <w:rPr>
          <w:rFonts w:hint="eastAsia" w:ascii="仿宋_GB2312" w:hAnsi="仿宋_GB2312" w:eastAsia="仿宋_GB2312" w:cs="仿宋_GB2312"/>
          <w:bCs/>
          <w:sz w:val="32"/>
          <w:szCs w:val="32"/>
        </w:rPr>
        <w:t>龙凤湖经费</w:t>
      </w:r>
      <w:r>
        <w:rPr>
          <w:rFonts w:hint="eastAsia" w:ascii="仿宋_GB2312" w:hAnsi="仿宋_GB2312" w:eastAsia="仿宋_GB2312" w:cs="仿宋_GB2312"/>
          <w:sz w:val="32"/>
          <w:szCs w:val="32"/>
        </w:rPr>
        <w:t>项目自评综述：根据年初设定的绩效目标，龙凤湖经费项目绩效自评得分为</w:t>
      </w:r>
      <w:r>
        <w:rPr>
          <w:rFonts w:ascii="仿宋_GB2312" w:hAnsi="仿宋_GB2312" w:eastAsia="仿宋_GB2312" w:cs="仿宋_GB2312"/>
          <w:sz w:val="32"/>
          <w:szCs w:val="32"/>
        </w:rPr>
        <w:t>94</w:t>
      </w:r>
      <w:r>
        <w:rPr>
          <w:rFonts w:hint="eastAsia" w:ascii="仿宋_GB2312" w:hAnsi="仿宋_GB2312" w:eastAsia="仿宋_GB2312" w:cs="仿宋_GB2312"/>
          <w:sz w:val="32"/>
          <w:szCs w:val="32"/>
        </w:rPr>
        <w:t>分。全年预算数为</w:t>
      </w:r>
      <w:r>
        <w:rPr>
          <w:rFonts w:ascii="仿宋_GB2312" w:hAnsi="仿宋_GB2312" w:eastAsia="仿宋_GB2312" w:cs="仿宋_GB2312"/>
          <w:sz w:val="32"/>
          <w:szCs w:val="32"/>
        </w:rPr>
        <w:t>200</w:t>
      </w:r>
      <w:r>
        <w:rPr>
          <w:rFonts w:hint="eastAsia" w:ascii="仿宋_GB2312" w:hAnsi="仿宋_GB2312" w:eastAsia="仿宋_GB2312" w:cs="仿宋_GB2312"/>
          <w:sz w:val="32"/>
          <w:szCs w:val="32"/>
        </w:rPr>
        <w:t>万元，执行数为</w:t>
      </w:r>
      <w:r>
        <w:rPr>
          <w:rFonts w:ascii="仿宋_GB2312" w:hAnsi="仿宋_GB2312" w:eastAsia="仿宋_GB2312" w:cs="仿宋_GB2312"/>
          <w:sz w:val="32"/>
          <w:szCs w:val="32"/>
        </w:rPr>
        <w:t>200</w:t>
      </w:r>
      <w:r>
        <w:rPr>
          <w:rFonts w:hint="eastAsia" w:ascii="仿宋_GB2312" w:hAnsi="仿宋_GB2312" w:eastAsia="仿宋_GB2312" w:cs="仿宋_GB2312"/>
          <w:sz w:val="32"/>
          <w:szCs w:val="32"/>
        </w:rPr>
        <w:t>万元，完成预算的</w:t>
      </w:r>
      <w:r>
        <w:rPr>
          <w:rFonts w:ascii="仿宋_GB2312" w:hAnsi="仿宋_GB2312" w:eastAsia="仿宋_GB2312" w:cs="仿宋_GB2312"/>
          <w:sz w:val="32"/>
          <w:szCs w:val="32"/>
        </w:rPr>
        <w:t>100%</w:t>
      </w:r>
      <w:r>
        <w:rPr>
          <w:rFonts w:hint="eastAsia" w:ascii="仿宋_GB2312" w:hAnsi="仿宋_GB2312" w:eastAsia="仿宋_GB2312" w:cs="仿宋_GB2312"/>
          <w:sz w:val="32"/>
          <w:szCs w:val="32"/>
        </w:rPr>
        <w:t>。项目绩效目标完成情况：</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根据专项资金要求</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我镇将这笔经费资金用于龙凤湖工作人员工资、保险、龙凤湖日常建设维护等，更加有效的激励了龙凤湖工作人员的工作积极性</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有效推动龙凤湖日常管理维护等任务目标。</w:t>
      </w:r>
    </w:p>
    <w:p>
      <w:pPr>
        <w:numPr>
          <w:ilvl w:val="0"/>
          <w:numId w:val="4"/>
        </w:numPr>
        <w:adjustRightInd w:val="0"/>
        <w:snapToGrid w:val="0"/>
        <w:spacing w:line="580" w:lineRule="exact"/>
        <w:ind w:firstLine="537" w:firstLineChars="168"/>
        <w:rPr>
          <w:rFonts w:ascii="仿宋_GB2312" w:hAnsi="仿宋_GB2312" w:eastAsia="仿宋_GB2312" w:cs="仿宋_GB2312"/>
          <w:sz w:val="32"/>
          <w:szCs w:val="32"/>
        </w:rPr>
      </w:pPr>
      <w:r>
        <w:rPr>
          <w:rFonts w:hint="eastAsia" w:ascii="仿宋_GB2312" w:hAnsi="仿宋_GB2312" w:eastAsia="仿宋_GB2312" w:cs="仿宋_GB2312"/>
          <w:bCs/>
          <w:sz w:val="32"/>
          <w:szCs w:val="32"/>
        </w:rPr>
        <w:t>龙凤湖经费</w:t>
      </w:r>
      <w:r>
        <w:rPr>
          <w:rFonts w:hint="eastAsia" w:ascii="仿宋_GB2312" w:hAnsi="仿宋_GB2312" w:eastAsia="仿宋_GB2312" w:cs="仿宋_GB2312"/>
          <w:sz w:val="32"/>
          <w:szCs w:val="32"/>
        </w:rPr>
        <w:t>项目绩效自评综述：根据项目执行情况和项目绩效情况，给出总得分，指标体系设定满分</w:t>
      </w:r>
      <w:r>
        <w:rPr>
          <w:rFonts w:ascii="仿宋_GB2312" w:hAnsi="仿宋_GB2312" w:eastAsia="仿宋_GB2312" w:cs="仿宋_GB2312"/>
          <w:sz w:val="32"/>
          <w:szCs w:val="32"/>
        </w:rPr>
        <w:t>100</w:t>
      </w:r>
      <w:r>
        <w:rPr>
          <w:rFonts w:hint="eastAsia" w:ascii="仿宋_GB2312" w:hAnsi="仿宋_GB2312" w:eastAsia="仿宋_GB2312" w:cs="仿宋_GB2312"/>
          <w:sz w:val="32"/>
          <w:szCs w:val="32"/>
        </w:rPr>
        <w:t>分，得出综合评价结论和项目综合绩效评价等级。项目综合绩效评价分为</w:t>
      </w:r>
      <w:r>
        <w:rPr>
          <w:rFonts w:ascii="仿宋_GB2312" w:hAnsi="仿宋_GB2312" w:eastAsia="仿宋_GB2312" w:cs="仿宋_GB2312"/>
          <w:sz w:val="32"/>
          <w:szCs w:val="32"/>
        </w:rPr>
        <w:t>4</w:t>
      </w:r>
      <w:r>
        <w:rPr>
          <w:rFonts w:hint="eastAsia" w:ascii="仿宋_GB2312" w:hAnsi="仿宋_GB2312" w:eastAsia="仿宋_GB2312" w:cs="仿宋_GB2312"/>
          <w:sz w:val="32"/>
          <w:szCs w:val="32"/>
        </w:rPr>
        <w:t>个等级：得分≥</w:t>
      </w:r>
      <w:r>
        <w:rPr>
          <w:rFonts w:ascii="仿宋_GB2312" w:hAnsi="仿宋_GB2312" w:eastAsia="仿宋_GB2312" w:cs="仿宋_GB2312"/>
          <w:sz w:val="32"/>
          <w:szCs w:val="32"/>
        </w:rPr>
        <w:t>85</w:t>
      </w:r>
      <w:r>
        <w:rPr>
          <w:rFonts w:hint="eastAsia" w:ascii="仿宋_GB2312" w:hAnsi="仿宋_GB2312" w:eastAsia="仿宋_GB2312" w:cs="仿宋_GB2312"/>
          <w:sz w:val="32"/>
          <w:szCs w:val="32"/>
        </w:rPr>
        <w:t>分为优秀；</w:t>
      </w:r>
      <w:r>
        <w:rPr>
          <w:rFonts w:ascii="仿宋_GB2312" w:hAnsi="仿宋_GB2312" w:eastAsia="仿宋_GB2312" w:cs="仿宋_GB2312"/>
          <w:sz w:val="32"/>
          <w:szCs w:val="32"/>
        </w:rPr>
        <w:t>75</w:t>
      </w:r>
      <w:r>
        <w:rPr>
          <w:rFonts w:hint="eastAsia" w:ascii="仿宋_GB2312" w:hAnsi="仿宋_GB2312" w:eastAsia="仿宋_GB2312" w:cs="仿宋_GB2312"/>
          <w:sz w:val="32"/>
          <w:szCs w:val="32"/>
        </w:rPr>
        <w:t>分≤得分＜</w:t>
      </w:r>
      <w:r>
        <w:rPr>
          <w:rFonts w:ascii="仿宋_GB2312" w:hAnsi="仿宋_GB2312" w:eastAsia="仿宋_GB2312" w:cs="仿宋_GB2312"/>
          <w:sz w:val="32"/>
          <w:szCs w:val="32"/>
        </w:rPr>
        <w:t>85</w:t>
      </w:r>
      <w:r>
        <w:rPr>
          <w:rFonts w:hint="eastAsia" w:ascii="仿宋_GB2312" w:hAnsi="仿宋_GB2312" w:eastAsia="仿宋_GB2312" w:cs="仿宋_GB2312"/>
          <w:sz w:val="32"/>
          <w:szCs w:val="32"/>
        </w:rPr>
        <w:t>分为良好；</w:t>
      </w:r>
      <w:r>
        <w:rPr>
          <w:rFonts w:ascii="仿宋_GB2312" w:hAnsi="仿宋_GB2312" w:eastAsia="仿宋_GB2312" w:cs="仿宋_GB2312"/>
          <w:sz w:val="32"/>
          <w:szCs w:val="32"/>
        </w:rPr>
        <w:t>60</w:t>
      </w:r>
      <w:r>
        <w:rPr>
          <w:rFonts w:hint="eastAsia" w:ascii="仿宋_GB2312" w:hAnsi="仿宋_GB2312" w:eastAsia="仿宋_GB2312" w:cs="仿宋_GB2312"/>
          <w:sz w:val="32"/>
          <w:szCs w:val="32"/>
        </w:rPr>
        <w:t>≤得分＜</w:t>
      </w:r>
      <w:r>
        <w:rPr>
          <w:rFonts w:ascii="仿宋_GB2312" w:hAnsi="仿宋_GB2312" w:eastAsia="仿宋_GB2312" w:cs="仿宋_GB2312"/>
          <w:sz w:val="32"/>
          <w:szCs w:val="32"/>
        </w:rPr>
        <w:t>75</w:t>
      </w:r>
      <w:r>
        <w:rPr>
          <w:rFonts w:hint="eastAsia" w:ascii="仿宋_GB2312" w:hAnsi="仿宋_GB2312" w:eastAsia="仿宋_GB2312" w:cs="仿宋_GB2312"/>
          <w:sz w:val="32"/>
          <w:szCs w:val="32"/>
        </w:rPr>
        <w:t>分为一般；得分＜</w:t>
      </w:r>
      <w:r>
        <w:rPr>
          <w:rFonts w:ascii="仿宋_GB2312" w:hAnsi="仿宋_GB2312" w:eastAsia="仿宋_GB2312" w:cs="仿宋_GB2312"/>
          <w:sz w:val="32"/>
          <w:szCs w:val="32"/>
        </w:rPr>
        <w:t>60</w:t>
      </w:r>
      <w:r>
        <w:rPr>
          <w:rFonts w:hint="eastAsia" w:ascii="仿宋_GB2312" w:hAnsi="仿宋_GB2312" w:eastAsia="仿宋_GB2312" w:cs="仿宋_GB2312"/>
          <w:sz w:val="32"/>
          <w:szCs w:val="32"/>
        </w:rPr>
        <w:t>分为较差。</w:t>
      </w:r>
      <w:r>
        <w:rPr>
          <w:rFonts w:hint="eastAsia" w:ascii="仿宋_GB2312" w:hAnsi="仿宋_GB2312" w:eastAsia="仿宋_GB2312" w:cs="仿宋_GB2312"/>
          <w:bCs/>
          <w:sz w:val="32"/>
          <w:szCs w:val="32"/>
        </w:rPr>
        <w:t>龙凤湖经费</w:t>
      </w:r>
      <w:r>
        <w:rPr>
          <w:rFonts w:hint="eastAsia" w:ascii="仿宋_GB2312" w:hAnsi="仿宋_GB2312" w:eastAsia="仿宋_GB2312" w:cs="仿宋_GB2312"/>
          <w:sz w:val="32"/>
          <w:szCs w:val="32"/>
        </w:rPr>
        <w:t>项目最终得分为</w:t>
      </w:r>
      <w:r>
        <w:rPr>
          <w:rFonts w:ascii="仿宋_GB2312" w:hAnsi="仿宋_GB2312" w:eastAsia="仿宋_GB2312" w:cs="仿宋_GB2312"/>
          <w:sz w:val="32"/>
          <w:szCs w:val="32"/>
        </w:rPr>
        <w:t>94</w:t>
      </w:r>
      <w:r>
        <w:rPr>
          <w:rFonts w:hint="eastAsia" w:ascii="仿宋_GB2312" w:hAnsi="仿宋_GB2312" w:eastAsia="仿宋_GB2312" w:cs="仿宋_GB2312"/>
          <w:sz w:val="32"/>
          <w:szCs w:val="32"/>
        </w:rPr>
        <w:t>分，等级为优秀。</w:t>
      </w:r>
    </w:p>
    <w:p>
      <w:pPr>
        <w:keepNext/>
        <w:keepLines/>
        <w:numPr>
          <w:ilvl w:val="0"/>
          <w:numId w:val="2"/>
        </w:numPr>
        <w:snapToGrid w:val="0"/>
        <w:spacing w:line="580" w:lineRule="exact"/>
        <w:ind w:firstLine="643" w:firstLineChars="200"/>
        <w:outlineLvl w:val="1"/>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财政评价项目绩效评价结果：无。</w:t>
      </w:r>
    </w:p>
    <w:p>
      <w:pPr>
        <w:keepNext/>
        <w:keepLines/>
        <w:snapToGrid w:val="0"/>
        <w:spacing w:line="580" w:lineRule="exact"/>
        <w:ind w:firstLine="640" w:firstLineChars="200"/>
        <w:outlineLvl w:val="1"/>
        <w:rPr>
          <w:rFonts w:ascii="黑体" w:hAnsi="Calibri" w:eastAsia="黑体"/>
          <w:sz w:val="32"/>
          <w:szCs w:val="32"/>
        </w:rPr>
      </w:pPr>
      <w:r>
        <w:rPr>
          <w:rFonts w:hint="eastAsia" w:ascii="黑体" w:hAnsi="Calibri" w:eastAsia="黑体"/>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年度机关运行经费支出</w:t>
      </w:r>
      <w:r>
        <w:rPr>
          <w:rFonts w:ascii="仿宋_GB2312" w:hAnsi="Times New Roman" w:eastAsia="仿宋_GB2312" w:cs="DengXian-Regular"/>
          <w:sz w:val="32"/>
          <w:szCs w:val="32"/>
        </w:rPr>
        <w:t>194.71</w:t>
      </w:r>
      <w:r>
        <w:rPr>
          <w:rFonts w:hint="eastAsia" w:ascii="仿宋_GB2312" w:hAnsi="Times New Roman" w:eastAsia="仿宋_GB2312" w:cs="DengXian-Regular"/>
          <w:sz w:val="32"/>
          <w:szCs w:val="32"/>
        </w:rPr>
        <w:t>万元，比</w:t>
      </w:r>
      <w:r>
        <w:rPr>
          <w:rFonts w:ascii="仿宋_GB2312" w:hAnsi="Times New Roman" w:eastAsia="仿宋_GB2312" w:cs="DengXian-Regular"/>
          <w:sz w:val="32"/>
          <w:szCs w:val="32"/>
        </w:rPr>
        <w:t>2018</w:t>
      </w:r>
      <w:r>
        <w:rPr>
          <w:rFonts w:hint="eastAsia" w:ascii="仿宋_GB2312" w:hAnsi="Times New Roman" w:eastAsia="仿宋_GB2312" w:cs="DengXian-Regular"/>
          <w:sz w:val="32"/>
          <w:szCs w:val="32"/>
        </w:rPr>
        <w:t>年度增加</w:t>
      </w:r>
      <w:r>
        <w:rPr>
          <w:rFonts w:ascii="仿宋_GB2312" w:hAnsi="Times New Roman" w:eastAsia="仿宋_GB2312" w:cs="DengXian-Regular"/>
          <w:sz w:val="32"/>
          <w:szCs w:val="32"/>
        </w:rPr>
        <w:t>31.98</w:t>
      </w:r>
      <w:r>
        <w:rPr>
          <w:rFonts w:hint="eastAsia" w:ascii="仿宋_GB2312" w:hAnsi="Times New Roman" w:eastAsia="仿宋_GB2312" w:cs="DengXian-Regular"/>
          <w:sz w:val="32"/>
          <w:szCs w:val="32"/>
        </w:rPr>
        <w:t>万元，增长</w:t>
      </w:r>
      <w:r>
        <w:rPr>
          <w:rFonts w:ascii="仿宋_GB2312" w:hAnsi="Times New Roman" w:eastAsia="仿宋_GB2312" w:cs="DengXian-Regular"/>
          <w:sz w:val="32"/>
          <w:szCs w:val="32"/>
        </w:rPr>
        <w:t>19.65%</w:t>
      </w:r>
      <w:r>
        <w:rPr>
          <w:rFonts w:hint="eastAsia" w:ascii="仿宋_GB2312" w:hAnsi="Times New Roman" w:eastAsia="仿宋_GB2312" w:cs="DengXian-Regular"/>
          <w:sz w:val="32"/>
          <w:szCs w:val="32"/>
        </w:rPr>
        <w:t>。主要原因是物价上涨。</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年度政府采购支出总额</w:t>
      </w:r>
      <w:r>
        <w:rPr>
          <w:rFonts w:ascii="仿宋_GB2312" w:hAnsi="Times New Roman" w:eastAsia="仿宋_GB2312" w:cs="DengXian-Regular"/>
          <w:sz w:val="32"/>
          <w:szCs w:val="32"/>
        </w:rPr>
        <w:t>5327.25</w:t>
      </w:r>
      <w:r>
        <w:rPr>
          <w:rFonts w:hint="eastAsia" w:ascii="仿宋_GB2312" w:hAnsi="Times New Roman" w:eastAsia="仿宋_GB2312" w:cs="DengXian-Regular"/>
          <w:sz w:val="32"/>
          <w:szCs w:val="32"/>
        </w:rPr>
        <w:t>万元，从采购类型来看，</w:t>
      </w:r>
      <w:r>
        <w:rPr>
          <w:rFonts w:hint="eastAsia" w:ascii="仿宋_GB2312" w:hAnsi="仿宋_GB2312" w:eastAsia="仿宋_GB2312" w:cs="仿宋_GB2312"/>
          <w:color w:val="000000"/>
          <w:kern w:val="0"/>
          <w:sz w:val="32"/>
          <w:szCs w:val="32"/>
        </w:rPr>
        <w:t>政府采购货物支出</w:t>
      </w:r>
      <w:r>
        <w:rPr>
          <w:rFonts w:ascii="仿宋_GB2312" w:hAnsi="仿宋_GB2312" w:eastAsia="仿宋_GB2312" w:cs="仿宋_GB2312"/>
          <w:color w:val="000000"/>
          <w:kern w:val="0"/>
          <w:sz w:val="32"/>
          <w:szCs w:val="32"/>
        </w:rPr>
        <w:t xml:space="preserve">49.36 </w:t>
      </w:r>
      <w:r>
        <w:rPr>
          <w:rFonts w:hint="eastAsia" w:ascii="仿宋_GB2312" w:hAnsi="仿宋_GB2312" w:eastAsia="仿宋_GB2312" w:cs="仿宋_GB2312"/>
          <w:color w:val="000000"/>
          <w:kern w:val="0"/>
          <w:sz w:val="32"/>
          <w:szCs w:val="32"/>
        </w:rPr>
        <w:t>万元、政府采购工程支出</w:t>
      </w:r>
      <w:r>
        <w:rPr>
          <w:rFonts w:ascii="仿宋_GB2312" w:hAnsi="仿宋_GB2312" w:eastAsia="仿宋_GB2312" w:cs="仿宋_GB2312"/>
          <w:color w:val="000000"/>
          <w:kern w:val="0"/>
          <w:sz w:val="32"/>
          <w:szCs w:val="32"/>
        </w:rPr>
        <w:t>4743.62</w:t>
      </w:r>
      <w:r>
        <w:rPr>
          <w:rFonts w:hint="eastAsia" w:ascii="仿宋_GB2312" w:hAnsi="仿宋_GB2312" w:eastAsia="仿宋_GB2312" w:cs="仿宋_GB2312"/>
          <w:color w:val="000000"/>
          <w:kern w:val="0"/>
          <w:sz w:val="32"/>
          <w:szCs w:val="32"/>
        </w:rPr>
        <w:t>万元、政府采购服务支出</w:t>
      </w:r>
      <w:r>
        <w:rPr>
          <w:rFonts w:ascii="仿宋_GB2312" w:hAnsi="仿宋_GB2312" w:eastAsia="仿宋_GB2312" w:cs="仿宋_GB2312"/>
          <w:color w:val="000000"/>
          <w:kern w:val="0"/>
          <w:sz w:val="32"/>
          <w:szCs w:val="32"/>
        </w:rPr>
        <w:t xml:space="preserve"> 534.27</w:t>
      </w:r>
      <w:r>
        <w:rPr>
          <w:rFonts w:hint="eastAsia"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lang w:eastAsia="zh-CN"/>
        </w:rPr>
        <w:t>额</w:t>
      </w:r>
      <w:r>
        <w:rPr>
          <w:rFonts w:ascii="仿宋_GB2312" w:hAnsi="仿宋_GB2312" w:eastAsia="仿宋_GB2312" w:cs="仿宋_GB2312"/>
          <w:color w:val="000000"/>
          <w:kern w:val="0"/>
          <w:sz w:val="32"/>
          <w:szCs w:val="32"/>
        </w:rPr>
        <w:t>5327.25</w:t>
      </w:r>
      <w:r>
        <w:rPr>
          <w:rFonts w:hint="eastAsia" w:ascii="仿宋_GB2312" w:hAnsi="仿宋_GB2312" w:eastAsia="仿宋_GB2312" w:cs="仿宋_GB2312"/>
          <w:color w:val="000000"/>
          <w:kern w:val="0"/>
          <w:sz w:val="32"/>
          <w:szCs w:val="32"/>
        </w:rPr>
        <w:t>万元，占政府采购支出总额的</w:t>
      </w:r>
      <w:r>
        <w:rPr>
          <w:rFonts w:ascii="仿宋_GB2312" w:hAnsi="仿宋_GB2312" w:eastAsia="仿宋_GB2312" w:cs="仿宋_GB2312"/>
          <w:color w:val="000000"/>
          <w:kern w:val="0"/>
          <w:sz w:val="32"/>
          <w:szCs w:val="32"/>
        </w:rPr>
        <w:t>100%</w:t>
      </w:r>
      <w:r>
        <w:rPr>
          <w:rFonts w:hint="eastAsia" w:ascii="仿宋_GB2312" w:hAnsi="仿宋_GB2312" w:eastAsia="仿宋_GB2312" w:cs="仿宋_GB2312"/>
          <w:color w:val="000000"/>
          <w:kern w:val="0"/>
          <w:sz w:val="32"/>
          <w:szCs w:val="32"/>
        </w:rPr>
        <w:t>，其中授予</w:t>
      </w:r>
      <w:bookmarkStart w:id="0" w:name="_GoBack"/>
      <w:bookmarkEnd w:id="0"/>
      <w:r>
        <w:rPr>
          <w:rFonts w:hint="eastAsia" w:ascii="仿宋_GB2312" w:hAnsi="仿宋_GB2312" w:eastAsia="仿宋_GB2312" w:cs="仿宋_GB2312"/>
          <w:color w:val="000000"/>
          <w:kern w:val="0"/>
          <w:sz w:val="32"/>
          <w:szCs w:val="32"/>
          <w:lang w:eastAsia="zh-CN"/>
        </w:rPr>
        <w:t>小微</w:t>
      </w:r>
      <w:r>
        <w:rPr>
          <w:rFonts w:hint="eastAsia" w:ascii="仿宋_GB2312" w:hAnsi="仿宋_GB2312" w:eastAsia="仿宋_GB2312" w:cs="仿宋_GB2312"/>
          <w:color w:val="000000"/>
          <w:kern w:val="0"/>
          <w:sz w:val="32"/>
          <w:szCs w:val="32"/>
        </w:rPr>
        <w:t>企业合同金额</w:t>
      </w:r>
      <w:r>
        <w:rPr>
          <w:rFonts w:ascii="仿宋_GB2312" w:hAnsi="仿宋_GB2312" w:eastAsia="仿宋_GB2312" w:cs="仿宋_GB2312"/>
          <w:color w:val="000000"/>
          <w:kern w:val="0"/>
          <w:sz w:val="32"/>
          <w:szCs w:val="32"/>
        </w:rPr>
        <w:t>5327.25</w:t>
      </w:r>
      <w:r>
        <w:rPr>
          <w:rFonts w:hint="eastAsia" w:ascii="仿宋_GB2312" w:hAnsi="仿宋_GB2312" w:eastAsia="仿宋_GB2312" w:cs="仿宋_GB2312"/>
          <w:color w:val="000000"/>
          <w:kern w:val="0"/>
          <w:sz w:val="32"/>
          <w:szCs w:val="32"/>
        </w:rPr>
        <w:t>万元，占政府采购支出总额的</w:t>
      </w:r>
      <w:r>
        <w:rPr>
          <w:rFonts w:ascii="仿宋_GB2312" w:hAnsi="仿宋_GB2312" w:eastAsia="仿宋_GB2312" w:cs="仿宋_GB2312"/>
          <w:color w:val="000000"/>
          <w:kern w:val="0"/>
          <w:sz w:val="32"/>
          <w:szCs w:val="32"/>
        </w:rPr>
        <w:t xml:space="preserve"> 100%</w:t>
      </w:r>
      <w:r>
        <w:rPr>
          <w:rFonts w:hint="eastAsia" w:ascii="仿宋_GB2312" w:hAnsi="仿宋_GB2312" w:eastAsia="仿宋_GB2312" w:cs="仿宋_GB2312"/>
          <w:color w:val="000000"/>
          <w:kern w:val="0"/>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w:t>
      </w:r>
      <w:r>
        <w:rPr>
          <w:rFonts w:ascii="仿宋_GB2312" w:hAnsi="Times New Roman" w:eastAsia="仿宋_GB2312" w:cs="DengXian-Regular"/>
          <w:sz w:val="32"/>
          <w:szCs w:val="32"/>
        </w:rPr>
        <w:t>12</w:t>
      </w:r>
      <w:r>
        <w:rPr>
          <w:rFonts w:hint="eastAsia" w:ascii="仿宋_GB2312" w:hAnsi="Times New Roman" w:eastAsia="仿宋_GB2312" w:cs="DengXian-Regular"/>
          <w:sz w:val="32"/>
          <w:szCs w:val="32"/>
        </w:rPr>
        <w:t>月</w:t>
      </w:r>
      <w:r>
        <w:rPr>
          <w:rFonts w:ascii="仿宋_GB2312" w:hAnsi="Times New Roman" w:eastAsia="仿宋_GB2312" w:cs="DengXian-Regular"/>
          <w:sz w:val="32"/>
          <w:szCs w:val="32"/>
        </w:rPr>
        <w:t>31</w:t>
      </w:r>
      <w:r>
        <w:rPr>
          <w:rFonts w:hint="eastAsia" w:ascii="仿宋_GB2312" w:hAnsi="Times New Roman" w:eastAsia="仿宋_GB2312" w:cs="DengXian-Regular"/>
          <w:sz w:val="32"/>
          <w:szCs w:val="32"/>
        </w:rPr>
        <w:t>日，本部门共有车辆</w:t>
      </w:r>
      <w:r>
        <w:rPr>
          <w:rFonts w:ascii="仿宋_GB2312" w:hAnsi="Times New Roman" w:eastAsia="仿宋_GB2312" w:cs="DengXian-Regular"/>
          <w:sz w:val="32"/>
          <w:szCs w:val="32"/>
        </w:rPr>
        <w:t>3</w:t>
      </w:r>
      <w:r>
        <w:rPr>
          <w:rFonts w:hint="eastAsia" w:ascii="仿宋_GB2312" w:hAnsi="Times New Roman" w:eastAsia="仿宋_GB2312" w:cs="DengXian-Regular"/>
          <w:sz w:val="32"/>
          <w:szCs w:val="32"/>
        </w:rPr>
        <w:t>辆，与上年持平。其中，公务用车</w:t>
      </w:r>
      <w:r>
        <w:rPr>
          <w:rFonts w:ascii="仿宋_GB2312" w:hAnsi="Times New Roman" w:eastAsia="仿宋_GB2312" w:cs="DengXian-Regular"/>
          <w:sz w:val="32"/>
          <w:szCs w:val="32"/>
        </w:rPr>
        <w:t>3</w:t>
      </w:r>
      <w:r>
        <w:rPr>
          <w:rFonts w:hint="eastAsia" w:ascii="仿宋_GB2312" w:hAnsi="Times New Roman" w:eastAsia="仿宋_GB2312" w:cs="DengXian-Regular"/>
          <w:sz w:val="32"/>
          <w:szCs w:val="32"/>
        </w:rPr>
        <w:t>辆。</w:t>
      </w:r>
    </w:p>
    <w:p>
      <w:pPr>
        <w:keepNext/>
        <w:keepLines/>
        <w:snapToGrid w:val="0"/>
        <w:spacing w:line="580" w:lineRule="exact"/>
        <w:ind w:firstLine="482" w:firstLineChars="15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仿宋_GB2312" w:eastAsia="仿宋_GB2312" w:cs="DengXian-Regular"/>
          <w:sz w:val="32"/>
          <w:szCs w:val="32"/>
        </w:rPr>
      </w:pPr>
      <w:r>
        <w:rPr>
          <w:rFonts w:ascii="仿宋_GB2312" w:hAnsi="Times New Roman" w:eastAsia="仿宋_GB2312" w:cs="DengXian-Regular"/>
          <w:sz w:val="32"/>
          <w:szCs w:val="32"/>
        </w:rPr>
        <w:t xml:space="preserve">1. </w:t>
      </w:r>
      <w:r>
        <w:rPr>
          <w:rFonts w:hint="eastAsia" w:ascii="仿宋_GB2312" w:hAnsi="仿宋_GB2312" w:eastAsia="仿宋_GB2312" w:cs="DengXian-Regular"/>
          <w:sz w:val="32"/>
          <w:szCs w:val="32"/>
        </w:rPr>
        <w:t>本单位</w:t>
      </w:r>
      <w:r>
        <w:rPr>
          <w:rFonts w:ascii="仿宋_GB2312" w:hAnsi="仿宋_GB2312" w:eastAsia="仿宋_GB2312" w:cs="DengXian-Regular"/>
          <w:sz w:val="32"/>
          <w:szCs w:val="32"/>
        </w:rPr>
        <w:t>2019</w:t>
      </w:r>
      <w:r>
        <w:rPr>
          <w:rFonts w:hint="eastAsia" w:ascii="仿宋_GB2312" w:hAnsi="仿宋_GB2312" w:eastAsia="仿宋_GB2312" w:cs="DengXian-Regular"/>
          <w:sz w:val="32"/>
          <w:szCs w:val="32"/>
        </w:rPr>
        <w:t>年度国有资本经营预算财政拨款无收支及结转结余情况，故国有资本经营预算财政拨款支出预算表以空表列示。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ascii="仿宋_GB2312" w:hAnsi="Times New Roman" w:eastAsia="仿宋_GB2312" w:cs="DengXian-Regular"/>
          <w:sz w:val="32"/>
          <w:szCs w:val="32"/>
        </w:rPr>
        <w:t xml:space="preserve">2. </w:t>
      </w:r>
      <w:r>
        <w:rPr>
          <w:rFonts w:hint="eastAsia" w:ascii="仿宋_GB2312" w:hAnsi="Times New Roman" w:eastAsia="仿宋_GB2312" w:cs="DengXian-Regular"/>
          <w:sz w:val="32"/>
          <w:szCs w:val="32"/>
        </w:rPr>
        <w:t>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Borders>
            <w:top w:val="none" w:sz="0" w:space="0"/>
            <w:left w:val="none" w:sz="0" w:space="0"/>
            <w:bottom w:val="none" w:sz="0" w:space="0"/>
            <w:right w:val="none" w:sz="0" w:space="0"/>
          </w:pgBorders>
          <w:pgNumType w:fmt="numberInDash"/>
          <w:cols w:space="0" w:num="1"/>
          <w:docGrid w:type="lines" w:linePitch="312" w:charSpace="0"/>
        </w:sectPr>
      </w:pPr>
    </w:p>
    <w:p>
      <w:pPr>
        <w:rPr>
          <w:rFonts w:ascii="黑体" w:hAnsi="黑体" w:eastAsia="黑体" w:cs="黑体"/>
          <w:sz w:val="56"/>
          <w:szCs w:val="72"/>
        </w:rPr>
        <w:sectPr>
          <w:type w:val="continuous"/>
          <w:pgSz w:w="11906" w:h="16838"/>
          <w:pgMar w:top="2041" w:right="1531" w:bottom="2041"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mc:AlternateContent>
          <mc:Choice Requires="wps">
            <w:drawing>
              <wp:anchor distT="0" distB="0" distL="114300" distR="114300" simplePos="0" relativeHeight="251660288" behindDoc="0" locked="0" layoutInCell="1" allowOverlap="1">
                <wp:simplePos x="0" y="0"/>
                <wp:positionH relativeFrom="column">
                  <wp:posOffset>-1021715</wp:posOffset>
                </wp:positionH>
                <wp:positionV relativeFrom="paragraph">
                  <wp:posOffset>441960</wp:posOffset>
                </wp:positionV>
                <wp:extent cx="7793355" cy="3341370"/>
                <wp:effectExtent l="0" t="0" r="0" b="0"/>
                <wp:wrapNone/>
                <wp:docPr id="15" name="文本框 22"/>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pPr>
                            <w:r>
                              <w:rPr>
                                <w:rFonts w:hint="eastAsia" w:ascii="黑体" w:hAnsi="黑体" w:eastAsia="黑体" w:cs="黑体"/>
                                <w:color w:val="000000"/>
                                <w:sz w:val="90"/>
                                <w:szCs w:val="90"/>
                              </w:rPr>
                              <w:t>第三部分</w:t>
                            </w:r>
                            <w:r>
                              <w:rPr>
                                <w:rFonts w:ascii="黑体" w:hAnsi="黑体" w:eastAsia="黑体" w:cs="黑体"/>
                                <w:color w:val="000000"/>
                                <w:sz w:val="90"/>
                                <w:szCs w:val="90"/>
                              </w:rPr>
                              <w:t xml:space="preserve"> </w:t>
                            </w:r>
                            <w:r>
                              <w:rPr>
                                <w:rFonts w:hint="eastAsia" w:ascii="黑体" w:hAnsi="黑体" w:eastAsia="黑体" w:cs="黑体"/>
                                <w:color w:val="000000"/>
                                <w:sz w:val="90"/>
                                <w:szCs w:val="90"/>
                              </w:rPr>
                              <w:t>相关名词解释</w:t>
                            </w:r>
                          </w:p>
                        </w:txbxContent>
                      </wps:txbx>
                      <wps:bodyPr anchor="ctr" anchorCtr="0" upright="1"/>
                    </wps:wsp>
                  </a:graphicData>
                </a:graphic>
              </wp:anchor>
            </w:drawing>
          </mc:Choice>
          <mc:Fallback>
            <w:pict>
              <v:shape id="文本框 22" o:spid="_x0000_s1026" o:spt="202" type="#_x0000_t202" style="position:absolute;left:0pt;margin-left:-80.45pt;margin-top:34.8pt;height:263.1pt;width:613.65pt;z-index:251660288;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Ibm&#10;+yfbAAAADAEAAA8AAAAAAAAAAQAgAAAAIgAAAGRycy9kb3ducmV2LnhtbFBLAQIUABQAAAAIAIdO&#10;4kBfTgzgIAIAAE8EAAAOAAAAAAAAAAEAIAAAACoBAABkcnMvZTJvRG9jLnhtbFBLBQYAAAAABgAG&#10;AFkBAAC8BQAAAAA=&#10;">
                <v:fill type="pattern" on="t" color2="#FFFFFF" focussize="0,0" r:id="rId17"/>
                <v:stroke weight="0.5pt" color="#FFD966" joinstyle="round"/>
                <v:imagedata o:title=""/>
                <o:lock v:ext="edit" aspectratio="f"/>
                <v:textbox>
                  <w:txbxContent>
                    <w:p>
                      <w:pPr>
                        <w:widowControl/>
                        <w:jc w:val="center"/>
                      </w:pPr>
                      <w:r>
                        <w:rPr>
                          <w:rFonts w:hint="eastAsia" w:ascii="黑体" w:hAnsi="黑体" w:eastAsia="黑体" w:cs="黑体"/>
                          <w:color w:val="000000"/>
                          <w:sz w:val="90"/>
                          <w:szCs w:val="90"/>
                        </w:rPr>
                        <w:t>第三部分</w:t>
                      </w:r>
                      <w:r>
                        <w:rPr>
                          <w:rFonts w:ascii="黑体" w:hAnsi="黑体" w:eastAsia="黑体" w:cs="黑体"/>
                          <w:color w:val="000000"/>
                          <w:sz w:val="90"/>
                          <w:szCs w:val="90"/>
                        </w:rPr>
                        <w:t xml:space="preserve"> </w:t>
                      </w:r>
                      <w:r>
                        <w:rPr>
                          <w:rFonts w:hint="eastAsia" w:ascii="黑体" w:hAnsi="黑体" w:eastAsia="黑体" w:cs="黑体"/>
                          <w:color w:val="000000"/>
                          <w:sz w:val="90"/>
                          <w:szCs w:val="90"/>
                        </w:rPr>
                        <w:t>相关名词解释</w:t>
                      </w:r>
                    </w:p>
                  </w:txbxContent>
                </v:textbox>
              </v:shape>
            </w:pict>
          </mc:Fallback>
        </mc:AlternateContent>
      </w:r>
    </w:p>
    <w:p/>
    <w:p/>
    <w:p/>
    <w:p/>
    <w:p/>
    <w:p/>
    <w:p/>
    <w:p/>
    <w:p/>
    <w:p/>
    <w:p/>
    <w:p>
      <w:pPr>
        <w:tabs>
          <w:tab w:val="left" w:pos="886"/>
        </w:tabs>
        <w:jc w:val="left"/>
        <w:sectPr>
          <w:headerReference r:id="rId14" w:type="first"/>
          <w:pgSz w:w="11906" w:h="16838"/>
          <w:pgMar w:top="2041" w:right="1531" w:bottom="2041"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（一）财政拨款收入：</w:t>
      </w:r>
      <w:r>
        <w:rPr>
          <w:rFonts w:hint="eastAsia" w:ascii="仿宋_GB2312" w:hAnsi="宋体" w:eastAsia="仿宋_GB2312"/>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（二）事业收入：</w:t>
      </w:r>
      <w:r>
        <w:rPr>
          <w:rFonts w:hint="eastAsia" w:ascii="仿宋_GB2312" w:hAnsi="宋体" w:eastAsia="仿宋_GB2312"/>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（三）其他收入：</w:t>
      </w:r>
      <w:r>
        <w:rPr>
          <w:rFonts w:hint="eastAsia" w:ascii="仿宋_GB2312" w:hAnsi="宋体" w:eastAsia="仿宋_GB2312"/>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（四）用事业基金弥补收支差额：</w:t>
      </w:r>
      <w:r>
        <w:rPr>
          <w:rFonts w:hint="eastAsia" w:ascii="仿宋_GB2312" w:hAnsi="宋体" w:eastAsia="仿宋_GB2312"/>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（五）年初结转和结余：</w:t>
      </w:r>
      <w:r>
        <w:rPr>
          <w:rFonts w:hint="eastAsia" w:ascii="仿宋_GB2312" w:hAnsi="宋体" w:eastAsia="仿宋_GB2312"/>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（六）结余分配：</w:t>
      </w:r>
      <w:r>
        <w:rPr>
          <w:rFonts w:hint="eastAsia" w:ascii="仿宋_GB2312" w:hAnsi="宋体" w:eastAsia="仿宋_GB2312"/>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（七）年末结转和结余：</w:t>
      </w:r>
      <w:r>
        <w:rPr>
          <w:rFonts w:hint="eastAsia" w:ascii="仿宋_GB2312" w:hAnsi="宋体" w:eastAsia="仿宋_GB2312"/>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（八）基本支出：</w:t>
      </w:r>
      <w:r>
        <w:rPr>
          <w:rFonts w:hint="eastAsia" w:ascii="仿宋_GB2312" w:hAnsi="宋体" w:eastAsia="仿宋_GB2312"/>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（九）项目支出：</w:t>
      </w:r>
      <w:r>
        <w:rPr>
          <w:rFonts w:hint="eastAsia" w:ascii="仿宋_GB2312" w:hAnsi="宋体" w:eastAsia="仿宋_GB2312"/>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（十）基本建设支出：</w:t>
      </w:r>
      <w:r>
        <w:rPr>
          <w:rFonts w:hint="eastAsia" w:ascii="仿宋_GB2312" w:hAnsi="宋体" w:eastAsia="仿宋_GB2312"/>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（十一）其他资本性支出：</w:t>
      </w:r>
      <w:r>
        <w:rPr>
          <w:rFonts w:hint="eastAsia" w:ascii="仿宋_GB2312" w:hAnsi="宋体" w:eastAsia="仿宋_GB2312"/>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（十二）“三公”经费：</w:t>
      </w:r>
      <w:r>
        <w:rPr>
          <w:rFonts w:hint="eastAsia" w:ascii="仿宋_GB2312" w:hAnsi="宋体" w:eastAsia="仿宋_GB2312"/>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（十三）其他交通费用：</w:t>
      </w:r>
      <w:r>
        <w:rPr>
          <w:rFonts w:hint="eastAsia" w:ascii="仿宋_GB2312" w:hAnsi="宋体" w:eastAsia="仿宋_GB2312"/>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（十四）公务用车购置：</w:t>
      </w:r>
      <w:r>
        <w:rPr>
          <w:rFonts w:hint="eastAsia" w:ascii="仿宋_GB2312" w:hAnsi="宋体" w:eastAsia="仿宋_GB2312"/>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（十五）其他交通工具购置：</w:t>
      </w:r>
      <w:r>
        <w:rPr>
          <w:rFonts w:hint="eastAsia" w:ascii="仿宋_GB2312" w:hAnsi="宋体" w:eastAsia="仿宋_GB2312"/>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（十六）机关运行经费：</w:t>
      </w:r>
      <w:r>
        <w:rPr>
          <w:rFonts w:hint="eastAsia" w:ascii="仿宋_GB2312" w:hAnsi="宋体" w:eastAsia="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b/>
          <w:bCs/>
          <w:color w:val="000000"/>
          <w:kern w:val="0"/>
          <w:sz w:val="32"/>
          <w:szCs w:val="32"/>
        </w:rPr>
        <w:t>（十七）经费形式</w:t>
      </w:r>
      <w:r>
        <w:rPr>
          <w:rFonts w:ascii="仿宋_GB2312" w:hAnsi="宋体" w:eastAsia="仿宋_GB2312"/>
          <w:b/>
          <w:bCs/>
          <w:color w:val="000000"/>
          <w:kern w:val="0"/>
          <w:sz w:val="32"/>
          <w:szCs w:val="32"/>
        </w:rPr>
        <w:t>:</w:t>
      </w:r>
      <w:r>
        <w:rPr>
          <w:rFonts w:hint="eastAsia" w:ascii="仿宋_GB2312" w:hAnsi="宋体" w:eastAsia="仿宋_GB2312"/>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pgSz w:w="11906" w:h="16838"/>
          <w:pgMar w:top="2098" w:right="1474" w:bottom="1985" w:left="1588" w:header="851" w:footer="992" w:gutter="0"/>
          <w:pgBorders>
            <w:top w:val="none" w:sz="0" w:space="0"/>
            <w:left w:val="none" w:sz="0" w:space="0"/>
            <w:bottom w:val="none" w:sz="0" w:space="0"/>
            <w:right w:val="none" w:sz="0" w:space="0"/>
          </w:pgBorders>
          <w:pgNumType w:fmt="numberInDash"/>
          <w:cols w:space="425" w:num="1"/>
          <w:docGrid w:type="lines" w:linePitch="312" w:charSpace="0"/>
        </w:sectPr>
      </w:pPr>
    </w:p>
    <w:p>
      <w:pPr>
        <w:tabs>
          <w:tab w:val="left" w:pos="235"/>
        </w:tabs>
        <w:jc w:val="left"/>
        <w:sectPr>
          <w:headerReference r:id="rId15" w:type="default"/>
          <w:pgSz w:w="11906" w:h="16838"/>
          <w:pgMar w:top="2098" w:right="1474" w:bottom="1985" w:left="1588" w:header="851" w:footer="992" w:gutter="0"/>
          <w:pgBorders>
            <w:top w:val="none" w:sz="0" w:space="0"/>
            <w:left w:val="none" w:sz="0" w:space="0"/>
            <w:bottom w:val="none" w:sz="0" w:space="0"/>
            <w:right w:val="none" w:sz="0" w:space="0"/>
          </w:pgBorders>
          <w:pgNumType w:fmt="numberInDash"/>
          <w:cols w:space="425" w:num="1"/>
          <w:docGrid w:type="lines" w:linePitch="312" w:charSpace="0"/>
        </w:sectPr>
      </w:pPr>
      <w:r>
        <mc:AlternateContent>
          <mc:Choice Requires="wps">
            <w:drawing>
              <wp:anchor distT="0" distB="0" distL="114300" distR="114300" simplePos="0" relativeHeight="251661312" behindDoc="0" locked="0" layoutInCell="1" allowOverlap="1">
                <wp:simplePos x="0" y="0"/>
                <wp:positionH relativeFrom="column">
                  <wp:posOffset>-1042035</wp:posOffset>
                </wp:positionH>
                <wp:positionV relativeFrom="paragraph">
                  <wp:posOffset>1420495</wp:posOffset>
                </wp:positionV>
                <wp:extent cx="7793355" cy="3341370"/>
                <wp:effectExtent l="0" t="0" r="0" b="0"/>
                <wp:wrapNone/>
                <wp:docPr id="16" name="文本框 2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第四部分</w:t>
                            </w:r>
                            <w:r>
                              <w:rPr>
                                <w:rFonts w:ascii="黑体" w:hAnsi="黑体" w:eastAsia="黑体" w:cs="黑体"/>
                                <w:color w:val="000000"/>
                                <w:sz w:val="90"/>
                                <w:szCs w:val="90"/>
                              </w:rPr>
                              <w:t xml:space="preserve"> </w:t>
                            </w:r>
                          </w:p>
                          <w:p>
                            <w:pPr>
                              <w:widowControl/>
                              <w:jc w:val="center"/>
                            </w:pPr>
                            <w:r>
                              <w:rPr>
                                <w:rFonts w:ascii="黑体" w:hAnsi="黑体" w:eastAsia="黑体" w:cs="黑体"/>
                                <w:color w:val="000000"/>
                                <w:sz w:val="90"/>
                                <w:szCs w:val="90"/>
                              </w:rPr>
                              <w:t>2019</w:t>
                            </w:r>
                            <w:r>
                              <w:rPr>
                                <w:rFonts w:hint="eastAsia" w:ascii="黑体" w:hAnsi="黑体" w:eastAsia="黑体" w:cs="黑体"/>
                                <w:color w:val="000000"/>
                                <w:sz w:val="90"/>
                                <w:szCs w:val="90"/>
                              </w:rPr>
                              <w:t>年度部门决算报表</w:t>
                            </w:r>
                          </w:p>
                        </w:txbxContent>
                      </wps:txbx>
                      <wps:bodyPr anchor="ctr" anchorCtr="0" upright="1"/>
                    </wps:wsp>
                  </a:graphicData>
                </a:graphic>
              </wp:anchor>
            </w:drawing>
          </mc:Choice>
          <mc:Fallback>
            <w:pict>
              <v:shape id="文本框 23" o:spid="_x0000_s1026" o:spt="202" type="#_x0000_t202" style="position:absolute;left:0pt;margin-left:-82.05pt;margin-top:111.85pt;height:263.1pt;width:613.65pt;z-index:251661312;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uBl92d0AAAANAQAADwAAAAAAAAABACAAAAAiAAAAZHJzL2Rvd25yZXYueG1sUEsBAhQAFAAAAAgA&#10;h07iQPtCVuwgAgAATwQAAA4AAAAAAAAAAQAgAAAALAEAAGRycy9lMm9Eb2MueG1sUEsFBgAAAAAG&#10;AAYAWQEAAL4FAAAAAA==&#10;">
                <v:fill type="pattern" on="t" color2="#FFFFFF" focussize="0,0" r:id="rId17"/>
                <v:stroke weight="0.5pt" color="#FFD966" joinstyle="round"/>
                <v:imagedata o:title=""/>
                <o:lock v:ext="edit" aspectratio="f"/>
                <v:textbox>
                  <w:txbxContent>
                    <w:p>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第四部分</w:t>
                      </w:r>
                      <w:r>
                        <w:rPr>
                          <w:rFonts w:ascii="黑体" w:hAnsi="黑体" w:eastAsia="黑体" w:cs="黑体"/>
                          <w:color w:val="000000"/>
                          <w:sz w:val="90"/>
                          <w:szCs w:val="90"/>
                        </w:rPr>
                        <w:t xml:space="preserve"> </w:t>
                      </w:r>
                    </w:p>
                    <w:p>
                      <w:pPr>
                        <w:widowControl/>
                        <w:jc w:val="center"/>
                      </w:pPr>
                      <w:r>
                        <w:rPr>
                          <w:rFonts w:ascii="黑体" w:hAnsi="黑体" w:eastAsia="黑体" w:cs="黑体"/>
                          <w:color w:val="000000"/>
                          <w:sz w:val="90"/>
                          <w:szCs w:val="90"/>
                        </w:rPr>
                        <w:t>2019</w:t>
                      </w:r>
                      <w:r>
                        <w:rPr>
                          <w:rFonts w:hint="eastAsia" w:ascii="黑体" w:hAnsi="黑体" w:eastAsia="黑体" w:cs="黑体"/>
                          <w:color w:val="000000"/>
                          <w:sz w:val="90"/>
                          <w:szCs w:val="90"/>
                        </w:rPr>
                        <w:t>年度部门决算报表</w:t>
                      </w:r>
                    </w:p>
                  </w:txbxContent>
                </v:textbox>
              </v:shape>
            </w:pict>
          </mc:Fallback>
        </mc:AlternateContent>
      </w:r>
      <w:r>
        <w:rPr>
          <w:rFonts w:hint="eastAsia"/>
          <w:lang w:val="en-US" w:eastAsia="zh-CN"/>
        </w:rPr>
        <w:t>+</w:t>
      </w:r>
    </w:p>
    <w:p>
      <w:pPr>
        <w:tabs>
          <w:tab w:val="left" w:pos="886"/>
        </w:tabs>
        <w:jc w:val="left"/>
      </w:pPr>
    </w:p>
    <w:tbl>
      <w:tblPr>
        <w:tblStyle w:val="7"/>
        <w:tblpPr w:leftFromText="180" w:rightFromText="180" w:vertAnchor="text" w:horzAnchor="page" w:tblpXSpec="center" w:tblpY="31"/>
        <w:tblOverlap w:val="never"/>
        <w:tblW w:w="9915" w:type="dxa"/>
        <w:jc w:val="center"/>
        <w:tblLayout w:type="fixed"/>
        <w:tblCellMar>
          <w:top w:w="0" w:type="dxa"/>
          <w:left w:w="0" w:type="dxa"/>
          <w:bottom w:w="0" w:type="dxa"/>
          <w:right w:w="0" w:type="dxa"/>
        </w:tblCellMar>
      </w:tblPr>
      <w:tblGrid>
        <w:gridCol w:w="3236"/>
        <w:gridCol w:w="731"/>
        <w:gridCol w:w="691"/>
        <w:gridCol w:w="3474"/>
        <w:gridCol w:w="541"/>
        <w:gridCol w:w="1242"/>
      </w:tblGrid>
      <w:tr>
        <w:tblPrEx>
          <w:tblCellMar>
            <w:top w:w="0" w:type="dxa"/>
            <w:left w:w="0" w:type="dxa"/>
            <w:bottom w:w="0" w:type="dxa"/>
            <w:right w:w="0" w:type="dxa"/>
          </w:tblCellMar>
        </w:tblPrEx>
        <w:trPr>
          <w:trHeight w:val="489" w:hRule="atLeast"/>
          <w:jc w:val="center"/>
        </w:trPr>
        <w:tc>
          <w:tcPr>
            <w:tcW w:w="9915" w:type="dxa"/>
            <w:gridSpan w:val="6"/>
            <w:tcBorders>
              <w:top w:val="nil"/>
              <w:left w:val="nil"/>
              <w:bottom w:val="nil"/>
              <w:right w:val="nil"/>
            </w:tcBorders>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5257" w:type="dxa"/>
            <w:gridSpan w:val="3"/>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w:t>
            </w:r>
            <w:r>
              <w:rPr>
                <w:rFonts w:ascii="宋体" w:hAnsi="宋体" w:eastAsia="宋体" w:cs="宋体"/>
                <w:color w:val="000000"/>
                <w:kern w:val="0"/>
                <w:sz w:val="20"/>
                <w:szCs w:val="20"/>
              </w:rPr>
              <w:t>01</w:t>
            </w:r>
            <w:r>
              <w:rPr>
                <w:rFonts w:hint="eastAsia" w:ascii="宋体" w:hAnsi="宋体" w:eastAsia="宋体" w:cs="宋体"/>
                <w:color w:val="000000"/>
                <w:kern w:val="0"/>
                <w:sz w:val="20"/>
                <w:szCs w:val="20"/>
              </w:rPr>
              <w:t>表</w:t>
            </w:r>
          </w:p>
        </w:tc>
      </w:tr>
      <w:tr>
        <w:tblPrEx>
          <w:tblCellMar>
            <w:top w:w="0" w:type="dxa"/>
            <w:left w:w="0" w:type="dxa"/>
            <w:bottom w:w="0" w:type="dxa"/>
            <w:right w:w="0" w:type="dxa"/>
          </w:tblCellMar>
        </w:tblPrEx>
        <w:trPr>
          <w:trHeight w:val="421" w:hRule="atLeast"/>
          <w:jc w:val="center"/>
        </w:trPr>
        <w:tc>
          <w:tcPr>
            <w:tcW w:w="3967" w:type="dxa"/>
            <w:gridSpan w:val="2"/>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w:t>
            </w:r>
            <w:r>
              <w:rPr>
                <w:rFonts w:hint="eastAsia" w:ascii="宋体" w:hAnsi="宋体" w:eastAsia="宋体" w:cs="宋体"/>
                <w:kern w:val="0"/>
                <w:sz w:val="20"/>
                <w:szCs w:val="20"/>
              </w:rPr>
              <w:t>石家庄市鹿泉区铜冶镇人民政府</w:t>
            </w:r>
          </w:p>
        </w:tc>
        <w:tc>
          <w:tcPr>
            <w:tcW w:w="691"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5257" w:type="dxa"/>
            <w:gridSpan w:val="3"/>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收入</w:t>
            </w:r>
          </w:p>
        </w:tc>
        <w:tc>
          <w:tcPr>
            <w:tcW w:w="5257" w:type="dxa"/>
            <w:gridSpan w:val="3"/>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124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124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一、一般公共预算财政拨款收入</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ascii="宋体" w:hAnsi="宋体" w:eastAsia="宋体" w:cs="宋体"/>
                <w:color w:val="000000"/>
                <w:kern w:val="0"/>
                <w:sz w:val="22"/>
              </w:rPr>
              <w:t>17630.70</w:t>
            </w: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29</w:t>
            </w:r>
          </w:p>
        </w:tc>
        <w:tc>
          <w:tcPr>
            <w:tcW w:w="124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ascii="宋体" w:hAnsi="宋体" w:eastAsia="宋体" w:cs="宋体"/>
                <w:color w:val="000000"/>
                <w:kern w:val="0"/>
                <w:sz w:val="22"/>
              </w:rPr>
              <w:t>1381.29</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二、政府性基金预算财政拨款收入</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ascii="宋体" w:hAnsi="宋体" w:eastAsia="宋体" w:cs="宋体"/>
                <w:color w:val="000000"/>
                <w:kern w:val="0"/>
                <w:sz w:val="22"/>
              </w:rPr>
              <w:t>5.00</w:t>
            </w: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30</w:t>
            </w:r>
          </w:p>
        </w:tc>
        <w:tc>
          <w:tcPr>
            <w:tcW w:w="124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三、上级补助收入</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31</w:t>
            </w:r>
          </w:p>
        </w:tc>
        <w:tc>
          <w:tcPr>
            <w:tcW w:w="124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四、事业收入</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32</w:t>
            </w:r>
          </w:p>
        </w:tc>
        <w:tc>
          <w:tcPr>
            <w:tcW w:w="124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ascii="宋体" w:hAnsi="宋体" w:eastAsia="宋体" w:cs="宋体"/>
                <w:color w:val="000000"/>
                <w:kern w:val="0"/>
                <w:sz w:val="22"/>
              </w:rPr>
              <w:t>340.58</w:t>
            </w: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五、经营收入</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33</w:t>
            </w:r>
          </w:p>
        </w:tc>
        <w:tc>
          <w:tcPr>
            <w:tcW w:w="124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ascii="宋体" w:hAnsi="宋体" w:eastAsia="宋体" w:cs="宋体"/>
                <w:color w:val="000000"/>
                <w:kern w:val="0"/>
                <w:sz w:val="22"/>
              </w:rPr>
              <w:t>586.56</w:t>
            </w: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六、附属单位上缴收入</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6</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34</w:t>
            </w:r>
          </w:p>
        </w:tc>
        <w:tc>
          <w:tcPr>
            <w:tcW w:w="124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七、其他收入</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7</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ascii="宋体" w:hAnsi="宋体" w:eastAsia="宋体" w:cs="宋体"/>
                <w:color w:val="000000"/>
                <w:kern w:val="0"/>
                <w:sz w:val="22"/>
              </w:rPr>
              <w:t>1926.81</w:t>
            </w: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35</w:t>
            </w:r>
          </w:p>
        </w:tc>
        <w:tc>
          <w:tcPr>
            <w:tcW w:w="124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ascii="宋体" w:hAnsi="宋体" w:eastAsia="宋体" w:cs="宋体"/>
                <w:color w:val="000000"/>
                <w:kern w:val="0"/>
                <w:sz w:val="22"/>
              </w:rPr>
              <w:t>104.77</w:t>
            </w: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8</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36</w:t>
            </w:r>
          </w:p>
        </w:tc>
        <w:tc>
          <w:tcPr>
            <w:tcW w:w="124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ascii="宋体" w:hAnsi="宋体" w:eastAsia="宋体" w:cs="宋体"/>
                <w:color w:val="000000"/>
                <w:kern w:val="0"/>
                <w:sz w:val="22"/>
              </w:rPr>
              <w:t>169.27</w:t>
            </w: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9</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37</w:t>
            </w:r>
          </w:p>
        </w:tc>
        <w:tc>
          <w:tcPr>
            <w:tcW w:w="124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ascii="宋体" w:hAnsi="宋体" w:eastAsia="宋体" w:cs="宋体"/>
                <w:color w:val="000000"/>
                <w:kern w:val="0"/>
                <w:sz w:val="22"/>
              </w:rPr>
              <w:t>281.51</w:t>
            </w: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10</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38</w:t>
            </w:r>
          </w:p>
        </w:tc>
        <w:tc>
          <w:tcPr>
            <w:tcW w:w="124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ascii="宋体" w:hAnsi="宋体" w:eastAsia="宋体" w:cs="宋体"/>
                <w:color w:val="000000"/>
                <w:kern w:val="0"/>
                <w:sz w:val="22"/>
              </w:rPr>
              <w:t>52.20</w:t>
            </w: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11</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39</w:t>
            </w:r>
          </w:p>
        </w:tc>
        <w:tc>
          <w:tcPr>
            <w:tcW w:w="124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ascii="宋体" w:hAnsi="宋体" w:eastAsia="宋体" w:cs="宋体"/>
                <w:color w:val="000000"/>
                <w:kern w:val="0"/>
                <w:sz w:val="22"/>
              </w:rPr>
              <w:t>12457.68</w:t>
            </w: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12</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40</w:t>
            </w:r>
          </w:p>
        </w:tc>
        <w:tc>
          <w:tcPr>
            <w:tcW w:w="124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ascii="宋体" w:hAnsi="宋体" w:eastAsia="宋体" w:cs="宋体"/>
                <w:color w:val="000000"/>
                <w:kern w:val="0"/>
                <w:sz w:val="22"/>
              </w:rPr>
              <w:t>3547.64</w:t>
            </w: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13</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41</w:t>
            </w:r>
          </w:p>
        </w:tc>
        <w:tc>
          <w:tcPr>
            <w:tcW w:w="124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ascii="宋体" w:hAnsi="宋体" w:eastAsia="宋体" w:cs="宋体"/>
                <w:color w:val="000000"/>
                <w:kern w:val="0"/>
                <w:sz w:val="22"/>
              </w:rPr>
              <w:t>633.00</w:t>
            </w: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14</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42</w:t>
            </w:r>
          </w:p>
        </w:tc>
        <w:tc>
          <w:tcPr>
            <w:tcW w:w="124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15</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43</w:t>
            </w:r>
          </w:p>
        </w:tc>
        <w:tc>
          <w:tcPr>
            <w:tcW w:w="124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16</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44</w:t>
            </w:r>
          </w:p>
        </w:tc>
        <w:tc>
          <w:tcPr>
            <w:tcW w:w="124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17</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45</w:t>
            </w:r>
          </w:p>
        </w:tc>
        <w:tc>
          <w:tcPr>
            <w:tcW w:w="124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18</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十八、自然资源海洋气象等支出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46</w:t>
            </w:r>
          </w:p>
        </w:tc>
        <w:tc>
          <w:tcPr>
            <w:tcW w:w="124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19</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47</w:t>
            </w:r>
          </w:p>
        </w:tc>
        <w:tc>
          <w:tcPr>
            <w:tcW w:w="124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20</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48</w:t>
            </w:r>
          </w:p>
        </w:tc>
        <w:tc>
          <w:tcPr>
            <w:tcW w:w="124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21</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二十一、灾害防治及应急管理支出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49</w:t>
            </w:r>
          </w:p>
        </w:tc>
        <w:tc>
          <w:tcPr>
            <w:tcW w:w="124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22</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50</w:t>
            </w:r>
          </w:p>
        </w:tc>
        <w:tc>
          <w:tcPr>
            <w:tcW w:w="124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23</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51</w:t>
            </w:r>
          </w:p>
        </w:tc>
        <w:tc>
          <w:tcPr>
            <w:tcW w:w="124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24</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ascii="宋体" w:hAnsi="宋体" w:eastAsia="宋体" w:cs="宋体"/>
                <w:color w:val="000000"/>
                <w:kern w:val="0"/>
                <w:sz w:val="22"/>
              </w:rPr>
              <w:t>19562.51</w:t>
            </w: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52</w:t>
            </w:r>
          </w:p>
        </w:tc>
        <w:tc>
          <w:tcPr>
            <w:tcW w:w="124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ascii="宋体" w:hAnsi="宋体" w:eastAsia="宋体" w:cs="宋体"/>
                <w:color w:val="000000"/>
                <w:kern w:val="0"/>
                <w:sz w:val="22"/>
              </w:rPr>
              <w:t>19562.51</w:t>
            </w: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用事业基金弥补收支差额</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25</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结余分配</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53</w:t>
            </w:r>
          </w:p>
        </w:tc>
        <w:tc>
          <w:tcPr>
            <w:tcW w:w="124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26</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54</w:t>
            </w:r>
          </w:p>
        </w:tc>
        <w:tc>
          <w:tcPr>
            <w:tcW w:w="124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27</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55</w:t>
            </w:r>
          </w:p>
        </w:tc>
        <w:tc>
          <w:tcPr>
            <w:tcW w:w="124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28</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ascii="宋体" w:hAnsi="宋体" w:eastAsia="宋体" w:cs="宋体"/>
                <w:color w:val="000000"/>
                <w:kern w:val="0"/>
                <w:sz w:val="22"/>
              </w:rPr>
              <w:t>19562.51</w:t>
            </w: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56</w:t>
            </w:r>
          </w:p>
        </w:tc>
        <w:tc>
          <w:tcPr>
            <w:tcW w:w="124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ascii="宋体" w:hAnsi="宋体" w:eastAsia="宋体" w:cs="宋体"/>
                <w:color w:val="000000"/>
                <w:kern w:val="0"/>
                <w:sz w:val="22"/>
              </w:rPr>
              <w:t>19562.51</w:t>
            </w: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906" w:hRule="atLeast"/>
          <w:jc w:val="center"/>
        </w:trPr>
        <w:tc>
          <w:tcPr>
            <w:tcW w:w="9915" w:type="dxa"/>
            <w:gridSpan w:val="6"/>
            <w:tcBorders>
              <w:top w:val="nil"/>
              <w:left w:val="nil"/>
              <w:bottom w:val="nil"/>
              <w:right w:val="nil"/>
            </w:tcBorders>
            <w:noWrap/>
            <w:tcMar>
              <w:top w:w="15" w:type="dxa"/>
              <w:left w:w="15" w:type="dxa"/>
              <w:right w:w="15" w:type="dxa"/>
            </w:tcMar>
            <w:vAlign w:val="center"/>
          </w:tcPr>
          <w:p>
            <w:pPr>
              <w:widowControl/>
              <w:jc w:val="left"/>
              <w:textAlignment w:val="center"/>
              <w:rPr>
                <w:rFonts w:hint="eastAsia" w:ascii="宋体" w:hAnsi="宋体" w:eastAsia="宋体" w:cs="宋体"/>
                <w:color w:val="000000"/>
                <w:kern w:val="0"/>
                <w:sz w:val="22"/>
              </w:rPr>
            </w:pPr>
            <w:r>
              <w:rPr>
                <w:rFonts w:hint="eastAsia" w:ascii="宋体" w:hAnsi="宋体" w:eastAsia="宋体" w:cs="宋体"/>
                <w:color w:val="000000"/>
                <w:kern w:val="0"/>
                <w:sz w:val="22"/>
              </w:rPr>
              <w:t>注：本表反映部门本年度的总收支和年末结转结余情况。</w:t>
            </w:r>
          </w:p>
          <w:p>
            <w:pPr>
              <w:widowControl/>
              <w:jc w:val="left"/>
              <w:textAlignment w:val="center"/>
              <w:rPr>
                <w:rFonts w:hint="eastAsia" w:ascii="宋体" w:hAnsi="宋体" w:eastAsia="宋体" w:cs="宋体"/>
                <w:color w:val="000000"/>
                <w:kern w:val="0"/>
                <w:sz w:val="22"/>
              </w:rPr>
            </w:pPr>
          </w:p>
          <w:p>
            <w:pPr>
              <w:widowControl/>
              <w:jc w:val="left"/>
              <w:textAlignment w:val="center"/>
              <w:rPr>
                <w:rFonts w:hint="eastAsia" w:ascii="宋体" w:hAnsi="宋体" w:eastAsia="宋体" w:cs="宋体"/>
                <w:color w:val="000000"/>
                <w:kern w:val="0"/>
                <w:sz w:val="22"/>
              </w:rPr>
            </w:pPr>
          </w:p>
          <w:p>
            <w:pPr>
              <w:widowControl/>
              <w:jc w:val="left"/>
              <w:textAlignment w:val="center"/>
              <w:rPr>
                <w:rFonts w:hint="eastAsia" w:ascii="宋体" w:hAnsi="宋体" w:eastAsia="宋体" w:cs="宋体"/>
                <w:color w:val="000000"/>
                <w:kern w:val="0"/>
                <w:sz w:val="22"/>
              </w:rPr>
            </w:pPr>
          </w:p>
          <w:p>
            <w:pPr>
              <w:widowControl/>
              <w:jc w:val="left"/>
              <w:textAlignment w:val="center"/>
              <w:rPr>
                <w:rFonts w:hint="eastAsia" w:ascii="宋体" w:hAnsi="宋体" w:eastAsia="宋体" w:cs="宋体"/>
                <w:color w:val="000000"/>
                <w:kern w:val="0"/>
                <w:sz w:val="22"/>
              </w:rPr>
            </w:pPr>
          </w:p>
          <w:p>
            <w:pPr>
              <w:widowControl/>
              <w:jc w:val="left"/>
              <w:textAlignment w:val="center"/>
              <w:rPr>
                <w:rFonts w:hint="eastAsia" w:ascii="宋体" w:hAnsi="宋体" w:eastAsia="宋体" w:cs="宋体"/>
                <w:color w:val="000000"/>
                <w:kern w:val="0"/>
                <w:sz w:val="22"/>
              </w:rPr>
            </w:pPr>
          </w:p>
          <w:p>
            <w:pPr>
              <w:widowControl/>
              <w:jc w:val="left"/>
              <w:textAlignment w:val="center"/>
              <w:rPr>
                <w:rFonts w:hint="eastAsia" w:ascii="宋体" w:hAnsi="宋体" w:eastAsia="宋体" w:cs="宋体"/>
                <w:color w:val="000000"/>
                <w:kern w:val="0"/>
                <w:sz w:val="22"/>
              </w:rPr>
            </w:pPr>
          </w:p>
          <w:p>
            <w:pPr>
              <w:widowControl/>
              <w:jc w:val="left"/>
              <w:textAlignment w:val="center"/>
              <w:rPr>
                <w:rFonts w:hint="eastAsia" w:ascii="宋体" w:hAnsi="宋体" w:eastAsia="宋体" w:cs="宋体"/>
                <w:color w:val="000000"/>
                <w:kern w:val="0"/>
                <w:sz w:val="22"/>
              </w:rPr>
            </w:pPr>
          </w:p>
          <w:p>
            <w:pPr>
              <w:widowControl/>
              <w:jc w:val="left"/>
              <w:textAlignment w:val="center"/>
              <w:rPr>
                <w:rFonts w:hint="eastAsia" w:ascii="宋体" w:hAnsi="宋体" w:eastAsia="宋体" w:cs="宋体"/>
                <w:color w:val="000000"/>
                <w:kern w:val="0"/>
                <w:sz w:val="22"/>
              </w:rPr>
            </w:pPr>
          </w:p>
          <w:p>
            <w:pPr>
              <w:widowControl/>
              <w:jc w:val="left"/>
              <w:textAlignment w:val="center"/>
              <w:rPr>
                <w:rFonts w:hint="eastAsia" w:ascii="宋体" w:hAnsi="宋体" w:eastAsia="宋体" w:cs="宋体"/>
                <w:color w:val="000000"/>
                <w:kern w:val="0"/>
                <w:sz w:val="22"/>
              </w:rPr>
            </w:pPr>
          </w:p>
          <w:p>
            <w:pPr>
              <w:widowControl/>
              <w:jc w:val="left"/>
              <w:textAlignment w:val="center"/>
              <w:rPr>
                <w:rFonts w:hint="eastAsia" w:ascii="宋体" w:hAnsi="宋体" w:eastAsia="宋体" w:cs="宋体"/>
                <w:color w:val="000000"/>
                <w:kern w:val="0"/>
                <w:sz w:val="22"/>
              </w:rPr>
            </w:pPr>
          </w:p>
          <w:p>
            <w:pPr>
              <w:widowControl/>
              <w:jc w:val="left"/>
              <w:textAlignment w:val="center"/>
              <w:rPr>
                <w:rFonts w:hint="eastAsia" w:ascii="宋体" w:hAnsi="宋体" w:eastAsia="宋体" w:cs="宋体"/>
                <w:color w:val="000000"/>
                <w:kern w:val="0"/>
                <w:sz w:val="22"/>
              </w:rPr>
            </w:pPr>
          </w:p>
          <w:p>
            <w:pPr>
              <w:widowControl/>
              <w:jc w:val="left"/>
              <w:textAlignment w:val="center"/>
              <w:rPr>
                <w:rFonts w:hint="eastAsia" w:ascii="宋体" w:hAnsi="宋体" w:eastAsia="宋体" w:cs="宋体"/>
                <w:color w:val="000000"/>
                <w:kern w:val="0"/>
                <w:sz w:val="22"/>
              </w:rPr>
            </w:pPr>
          </w:p>
        </w:tc>
      </w:tr>
    </w:tbl>
    <w:tbl>
      <w:tblPr>
        <w:tblStyle w:val="7"/>
        <w:tblW w:w="12626" w:type="dxa"/>
        <w:jc w:val="center"/>
        <w:tblLayout w:type="fixed"/>
        <w:tblCellMar>
          <w:top w:w="0" w:type="dxa"/>
          <w:left w:w="0" w:type="dxa"/>
          <w:bottom w:w="0" w:type="dxa"/>
          <w:right w:w="0" w:type="dxa"/>
        </w:tblCellMar>
      </w:tblPr>
      <w:tblGrid>
        <w:gridCol w:w="641"/>
        <w:gridCol w:w="90"/>
        <w:gridCol w:w="1409"/>
        <w:gridCol w:w="1010"/>
        <w:gridCol w:w="1908"/>
        <w:gridCol w:w="97"/>
        <w:gridCol w:w="699"/>
        <w:gridCol w:w="906"/>
        <w:gridCol w:w="246"/>
        <w:gridCol w:w="524"/>
        <w:gridCol w:w="796"/>
        <w:gridCol w:w="1327"/>
        <w:gridCol w:w="1083"/>
        <w:gridCol w:w="446"/>
        <w:gridCol w:w="240"/>
        <w:gridCol w:w="1204"/>
      </w:tblGrid>
      <w:tr>
        <w:tblPrEx>
          <w:tblCellMar>
            <w:top w:w="0" w:type="dxa"/>
            <w:left w:w="0" w:type="dxa"/>
            <w:bottom w:w="0" w:type="dxa"/>
            <w:right w:w="0" w:type="dxa"/>
          </w:tblCellMar>
        </w:tblPrEx>
        <w:trPr>
          <w:gridAfter w:val="3"/>
          <w:wAfter w:w="1890" w:type="dxa"/>
          <w:trHeight w:val="670" w:hRule="atLeast"/>
          <w:jc w:val="center"/>
        </w:trPr>
        <w:tc>
          <w:tcPr>
            <w:tcW w:w="10736" w:type="dxa"/>
            <w:gridSpan w:val="13"/>
            <w:tcBorders>
              <w:top w:val="nil"/>
              <w:left w:val="nil"/>
              <w:bottom w:val="nil"/>
              <w:right w:val="nil"/>
            </w:tcBorders>
            <w:noWrap/>
            <w:tcMar>
              <w:top w:w="15" w:type="dxa"/>
              <w:left w:w="15" w:type="dxa"/>
              <w:right w:w="15" w:type="dxa"/>
            </w:tcMar>
            <w:vAlign w:val="bottom"/>
          </w:tcPr>
          <w:tbl>
            <w:tblPr>
              <w:tblStyle w:val="7"/>
              <w:tblpPr w:leftFromText="180" w:rightFromText="180" w:vertAnchor="text" w:horzAnchor="page" w:tblpX="9274" w:tblpY="352"/>
              <w:tblOverlap w:val="never"/>
              <w:tblW w:w="10720" w:type="dxa"/>
              <w:tblInd w:w="0" w:type="dxa"/>
              <w:tblLayout w:type="fixed"/>
              <w:tblCellMar>
                <w:top w:w="0" w:type="dxa"/>
                <w:left w:w="108" w:type="dxa"/>
                <w:bottom w:w="0" w:type="dxa"/>
                <w:right w:w="108" w:type="dxa"/>
              </w:tblCellMar>
            </w:tblPr>
            <w:tblGrid>
              <w:gridCol w:w="556"/>
              <w:gridCol w:w="585"/>
              <w:gridCol w:w="240"/>
              <w:gridCol w:w="2658"/>
              <w:gridCol w:w="972"/>
              <w:gridCol w:w="900"/>
              <w:gridCol w:w="865"/>
              <w:gridCol w:w="720"/>
              <w:gridCol w:w="990"/>
              <w:gridCol w:w="968"/>
              <w:gridCol w:w="1266"/>
            </w:tblGrid>
            <w:tr>
              <w:tblPrEx>
                <w:tblCellMar>
                  <w:top w:w="0" w:type="dxa"/>
                  <w:left w:w="108" w:type="dxa"/>
                  <w:bottom w:w="0" w:type="dxa"/>
                  <w:right w:w="108" w:type="dxa"/>
                </w:tblCellMar>
              </w:tblPrEx>
              <w:trPr>
                <w:trHeight w:val="285" w:hRule="atLeast"/>
              </w:trPr>
              <w:tc>
                <w:tcPr>
                  <w:tcW w:w="10720" w:type="dxa"/>
                  <w:gridSpan w:val="11"/>
                  <w:noWrap/>
                  <w:vAlign w:val="center"/>
                </w:tcPr>
                <w:p>
                  <w:pPr>
                    <w:widowControl/>
                    <w:jc w:val="center"/>
                    <w:rPr>
                      <w:rFonts w:ascii="黑体" w:hAnsi="宋体" w:eastAsia="黑体" w:cs="宋体"/>
                      <w:kern w:val="0"/>
                      <w:sz w:val="32"/>
                      <w:szCs w:val="32"/>
                    </w:rPr>
                  </w:pPr>
                  <w:r>
                    <w:rPr>
                      <w:rFonts w:hint="eastAsia" w:ascii="黑体" w:hAnsi="宋体" w:eastAsia="黑体" w:cs="宋体"/>
                      <w:kern w:val="0"/>
                      <w:sz w:val="32"/>
                      <w:szCs w:val="32"/>
                    </w:rPr>
                    <w:t>收入决算表</w:t>
                  </w:r>
                </w:p>
              </w:tc>
            </w:tr>
            <w:tr>
              <w:tblPrEx>
                <w:tblCellMar>
                  <w:top w:w="0" w:type="dxa"/>
                  <w:left w:w="108" w:type="dxa"/>
                  <w:bottom w:w="0" w:type="dxa"/>
                  <w:right w:w="108" w:type="dxa"/>
                </w:tblCellMar>
              </w:tblPrEx>
              <w:trPr>
                <w:trHeight w:val="285" w:hRule="atLeast"/>
              </w:trPr>
              <w:tc>
                <w:tcPr>
                  <w:tcW w:w="556" w:type="dxa"/>
                  <w:noWrap/>
                  <w:vAlign w:val="center"/>
                </w:tcPr>
                <w:p>
                  <w:pPr>
                    <w:widowControl/>
                    <w:jc w:val="left"/>
                    <w:rPr>
                      <w:rFonts w:ascii="宋体" w:hAnsi="宋体" w:eastAsia="宋体" w:cs="宋体"/>
                      <w:kern w:val="0"/>
                      <w:sz w:val="24"/>
                      <w:szCs w:val="24"/>
                    </w:rPr>
                  </w:pPr>
                </w:p>
              </w:tc>
              <w:tc>
                <w:tcPr>
                  <w:tcW w:w="585" w:type="dxa"/>
                  <w:noWrap/>
                  <w:vAlign w:val="center"/>
                </w:tcPr>
                <w:p>
                  <w:pPr>
                    <w:widowControl/>
                    <w:jc w:val="left"/>
                    <w:rPr>
                      <w:rFonts w:ascii="宋体" w:hAnsi="宋体" w:eastAsia="宋体" w:cs="宋体"/>
                      <w:kern w:val="0"/>
                      <w:sz w:val="24"/>
                      <w:szCs w:val="24"/>
                    </w:rPr>
                  </w:pPr>
                </w:p>
              </w:tc>
              <w:tc>
                <w:tcPr>
                  <w:tcW w:w="240" w:type="dxa"/>
                  <w:noWrap/>
                  <w:vAlign w:val="center"/>
                </w:tcPr>
                <w:p>
                  <w:pPr>
                    <w:widowControl/>
                    <w:jc w:val="left"/>
                    <w:rPr>
                      <w:rFonts w:ascii="宋体" w:hAnsi="宋体" w:eastAsia="宋体" w:cs="宋体"/>
                      <w:kern w:val="0"/>
                      <w:sz w:val="24"/>
                      <w:szCs w:val="24"/>
                    </w:rPr>
                  </w:pPr>
                </w:p>
              </w:tc>
              <w:tc>
                <w:tcPr>
                  <w:tcW w:w="2658" w:type="dxa"/>
                  <w:noWrap/>
                  <w:vAlign w:val="center"/>
                </w:tcPr>
                <w:p>
                  <w:pPr>
                    <w:widowControl/>
                    <w:jc w:val="left"/>
                    <w:rPr>
                      <w:rFonts w:ascii="宋体" w:hAnsi="宋体" w:eastAsia="宋体" w:cs="宋体"/>
                      <w:kern w:val="0"/>
                      <w:sz w:val="24"/>
                      <w:szCs w:val="24"/>
                    </w:rPr>
                  </w:pPr>
                </w:p>
              </w:tc>
              <w:tc>
                <w:tcPr>
                  <w:tcW w:w="972" w:type="dxa"/>
                  <w:noWrap/>
                  <w:vAlign w:val="center"/>
                </w:tcPr>
                <w:p>
                  <w:pPr>
                    <w:widowControl/>
                    <w:jc w:val="left"/>
                    <w:rPr>
                      <w:rFonts w:ascii="宋体" w:hAnsi="宋体" w:eastAsia="宋体" w:cs="宋体"/>
                      <w:kern w:val="0"/>
                      <w:sz w:val="24"/>
                      <w:szCs w:val="24"/>
                    </w:rPr>
                  </w:pPr>
                </w:p>
              </w:tc>
              <w:tc>
                <w:tcPr>
                  <w:tcW w:w="900" w:type="dxa"/>
                  <w:noWrap/>
                  <w:vAlign w:val="center"/>
                </w:tcPr>
                <w:p>
                  <w:pPr>
                    <w:widowControl/>
                    <w:jc w:val="left"/>
                    <w:rPr>
                      <w:rFonts w:ascii="宋体" w:hAnsi="宋体" w:eastAsia="宋体" w:cs="宋体"/>
                      <w:kern w:val="0"/>
                      <w:sz w:val="24"/>
                      <w:szCs w:val="24"/>
                    </w:rPr>
                  </w:pPr>
                </w:p>
              </w:tc>
              <w:tc>
                <w:tcPr>
                  <w:tcW w:w="865" w:type="dxa"/>
                  <w:noWrap/>
                  <w:vAlign w:val="center"/>
                </w:tcPr>
                <w:p>
                  <w:pPr>
                    <w:widowControl/>
                    <w:jc w:val="left"/>
                    <w:rPr>
                      <w:rFonts w:ascii="宋体" w:hAnsi="宋体" w:eastAsia="宋体" w:cs="宋体"/>
                      <w:kern w:val="0"/>
                      <w:sz w:val="24"/>
                      <w:szCs w:val="24"/>
                    </w:rPr>
                  </w:pPr>
                </w:p>
              </w:tc>
              <w:tc>
                <w:tcPr>
                  <w:tcW w:w="720" w:type="dxa"/>
                  <w:noWrap/>
                  <w:vAlign w:val="center"/>
                </w:tcPr>
                <w:p>
                  <w:pPr>
                    <w:widowControl/>
                    <w:jc w:val="left"/>
                    <w:rPr>
                      <w:rFonts w:ascii="宋体" w:hAnsi="宋体" w:eastAsia="宋体" w:cs="宋体"/>
                      <w:kern w:val="0"/>
                      <w:sz w:val="24"/>
                      <w:szCs w:val="24"/>
                    </w:rPr>
                  </w:pPr>
                </w:p>
              </w:tc>
              <w:tc>
                <w:tcPr>
                  <w:tcW w:w="990" w:type="dxa"/>
                  <w:noWrap/>
                  <w:vAlign w:val="center"/>
                </w:tcPr>
                <w:p>
                  <w:pPr>
                    <w:widowControl/>
                    <w:jc w:val="left"/>
                    <w:rPr>
                      <w:rFonts w:ascii="宋体" w:hAnsi="宋体" w:eastAsia="宋体" w:cs="宋体"/>
                      <w:kern w:val="0"/>
                      <w:sz w:val="20"/>
                      <w:szCs w:val="20"/>
                    </w:rPr>
                  </w:pPr>
                </w:p>
              </w:tc>
              <w:tc>
                <w:tcPr>
                  <w:tcW w:w="2234" w:type="dxa"/>
                  <w:gridSpan w:val="2"/>
                  <w:noWrap/>
                  <w:vAlign w:val="center"/>
                </w:tcPr>
                <w:p>
                  <w:pPr>
                    <w:widowControl/>
                    <w:jc w:val="right"/>
                    <w:rPr>
                      <w:rFonts w:ascii="宋体" w:hAnsi="宋体" w:eastAsia="宋体" w:cs="宋体"/>
                      <w:kern w:val="0"/>
                      <w:sz w:val="20"/>
                      <w:szCs w:val="20"/>
                    </w:rPr>
                  </w:pPr>
                  <w:r>
                    <w:rPr>
                      <w:rFonts w:hint="eastAsia" w:ascii="宋体" w:hAnsi="宋体" w:eastAsia="宋体" w:cs="宋体"/>
                      <w:kern w:val="0"/>
                      <w:sz w:val="20"/>
                      <w:szCs w:val="20"/>
                    </w:rPr>
                    <w:t>公开</w:t>
                  </w:r>
                  <w:r>
                    <w:rPr>
                      <w:rFonts w:ascii="宋体" w:hAnsi="宋体" w:eastAsia="宋体" w:cs="宋体"/>
                      <w:kern w:val="0"/>
                      <w:sz w:val="20"/>
                      <w:szCs w:val="20"/>
                    </w:rPr>
                    <w:t>02</w:t>
                  </w:r>
                  <w:r>
                    <w:rPr>
                      <w:rFonts w:hint="eastAsia" w:ascii="宋体" w:hAnsi="宋体" w:eastAsia="宋体" w:cs="宋体"/>
                      <w:kern w:val="0"/>
                      <w:sz w:val="20"/>
                      <w:szCs w:val="20"/>
                    </w:rPr>
                    <w:t>表</w:t>
                  </w:r>
                </w:p>
              </w:tc>
            </w:tr>
            <w:tr>
              <w:tblPrEx>
                <w:tblCellMar>
                  <w:top w:w="0" w:type="dxa"/>
                  <w:left w:w="108" w:type="dxa"/>
                  <w:bottom w:w="0" w:type="dxa"/>
                  <w:right w:w="108" w:type="dxa"/>
                </w:tblCellMar>
              </w:tblPrEx>
              <w:trPr>
                <w:trHeight w:val="285" w:hRule="atLeast"/>
              </w:trPr>
              <w:tc>
                <w:tcPr>
                  <w:tcW w:w="7496" w:type="dxa"/>
                  <w:gridSpan w:val="8"/>
                  <w:noWrap/>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部门：石家庄市鹿泉区铜冶镇人民政府</w:t>
                  </w:r>
                </w:p>
              </w:tc>
              <w:tc>
                <w:tcPr>
                  <w:tcW w:w="990" w:type="dxa"/>
                  <w:noWrap/>
                  <w:vAlign w:val="center"/>
                </w:tcPr>
                <w:p>
                  <w:pPr>
                    <w:widowControl/>
                    <w:jc w:val="left"/>
                    <w:rPr>
                      <w:rFonts w:ascii="宋体" w:hAnsi="宋体" w:eastAsia="宋体" w:cs="宋体"/>
                      <w:kern w:val="0"/>
                      <w:sz w:val="20"/>
                      <w:szCs w:val="20"/>
                    </w:rPr>
                  </w:pPr>
                </w:p>
              </w:tc>
              <w:tc>
                <w:tcPr>
                  <w:tcW w:w="968" w:type="dxa"/>
                  <w:noWrap/>
                  <w:vAlign w:val="center"/>
                </w:tcPr>
                <w:p>
                  <w:pPr>
                    <w:widowControl/>
                    <w:jc w:val="left"/>
                    <w:rPr>
                      <w:rFonts w:ascii="宋体" w:hAnsi="宋体" w:eastAsia="宋体" w:cs="宋体"/>
                      <w:kern w:val="0"/>
                      <w:sz w:val="20"/>
                      <w:szCs w:val="20"/>
                    </w:rPr>
                  </w:pPr>
                </w:p>
              </w:tc>
              <w:tc>
                <w:tcPr>
                  <w:tcW w:w="1266" w:type="dxa"/>
                  <w:noWrap/>
                  <w:vAlign w:val="bottom"/>
                </w:tcPr>
                <w:p>
                  <w:pPr>
                    <w:widowControl/>
                    <w:jc w:val="right"/>
                    <w:rPr>
                      <w:rFonts w:ascii="宋体" w:hAnsi="宋体" w:eastAsia="宋体" w:cs="宋体"/>
                      <w:kern w:val="0"/>
                      <w:sz w:val="20"/>
                      <w:szCs w:val="20"/>
                    </w:rPr>
                  </w:pPr>
                  <w:r>
                    <w:rPr>
                      <w:rFonts w:hint="eastAsia" w:ascii="宋体" w:hAnsi="宋体" w:eastAsia="宋体" w:cs="宋体"/>
                      <w:kern w:val="0"/>
                      <w:sz w:val="20"/>
                      <w:szCs w:val="20"/>
                    </w:rPr>
                    <w:t>金额单位：万元</w:t>
                  </w:r>
                </w:p>
              </w:tc>
            </w:tr>
            <w:tr>
              <w:tblPrEx>
                <w:tblCellMar>
                  <w:top w:w="0" w:type="dxa"/>
                  <w:left w:w="108" w:type="dxa"/>
                  <w:bottom w:w="0" w:type="dxa"/>
                  <w:right w:w="108" w:type="dxa"/>
                </w:tblCellMar>
              </w:tblPrEx>
              <w:trPr>
                <w:trHeight w:val="312" w:hRule="atLeast"/>
              </w:trPr>
              <w:tc>
                <w:tcPr>
                  <w:tcW w:w="1381" w:type="dxa"/>
                  <w:gridSpan w:val="3"/>
                  <w:vMerge w:val="restart"/>
                  <w:tcBorders>
                    <w:top w:val="single" w:color="000000" w:sz="4" w:space="0"/>
                    <w:left w:val="single" w:color="000000" w:sz="4" w:space="0"/>
                    <w:bottom w:val="single" w:color="000000" w:sz="4" w:space="0"/>
                    <w:right w:val="single" w:color="000000" w:sz="4" w:space="0"/>
                  </w:tcBorders>
                  <w:shd w:val="clear" w:color="FFFFFF" w:fill="C0C0C0"/>
                  <w:noWrap/>
                  <w:vAlign w:val="center"/>
                </w:tcPr>
                <w:p>
                  <w:pPr>
                    <w:widowControl/>
                    <w:jc w:val="center"/>
                    <w:rPr>
                      <w:rFonts w:ascii="宋体" w:hAnsi="宋体" w:eastAsia="宋体" w:cs="宋体"/>
                      <w:kern w:val="0"/>
                      <w:sz w:val="22"/>
                    </w:rPr>
                  </w:pPr>
                  <w:r>
                    <w:rPr>
                      <w:rFonts w:hint="eastAsia" w:ascii="宋体" w:hAnsi="宋体" w:eastAsia="宋体" w:cs="宋体"/>
                      <w:kern w:val="0"/>
                      <w:sz w:val="22"/>
                    </w:rPr>
                    <w:t>科目编码</w:t>
                  </w:r>
                </w:p>
              </w:tc>
              <w:tc>
                <w:tcPr>
                  <w:tcW w:w="2658" w:type="dxa"/>
                  <w:vMerge w:val="restart"/>
                  <w:tcBorders>
                    <w:top w:val="single" w:color="000000" w:sz="4" w:space="0"/>
                    <w:bottom w:val="single" w:color="000000" w:sz="4" w:space="0"/>
                    <w:right w:val="single" w:color="000000" w:sz="4" w:space="0"/>
                  </w:tcBorders>
                  <w:shd w:val="clear" w:color="FFFFFF" w:fill="C0C0C0"/>
                  <w:noWrap/>
                  <w:vAlign w:val="center"/>
                </w:tcPr>
                <w:p>
                  <w:pPr>
                    <w:widowControl/>
                    <w:jc w:val="center"/>
                    <w:rPr>
                      <w:rFonts w:ascii="宋体" w:hAnsi="宋体" w:eastAsia="宋体" w:cs="宋体"/>
                      <w:kern w:val="0"/>
                      <w:sz w:val="22"/>
                    </w:rPr>
                  </w:pPr>
                  <w:r>
                    <w:rPr>
                      <w:rFonts w:hint="eastAsia" w:ascii="宋体" w:hAnsi="宋体" w:eastAsia="宋体" w:cs="宋体"/>
                      <w:kern w:val="0"/>
                      <w:sz w:val="22"/>
                    </w:rPr>
                    <w:t>科目名称</w:t>
                  </w:r>
                </w:p>
              </w:tc>
              <w:tc>
                <w:tcPr>
                  <w:tcW w:w="972" w:type="dxa"/>
                  <w:vMerge w:val="restart"/>
                  <w:tcBorders>
                    <w:top w:val="single" w:color="000000" w:sz="4" w:space="0"/>
                    <w:bottom w:val="single" w:color="000000" w:sz="4" w:space="0"/>
                    <w:right w:val="single" w:color="000000" w:sz="4" w:space="0"/>
                  </w:tcBorders>
                  <w:shd w:val="clear" w:color="FFFFFF" w:fill="C0C0C0"/>
                  <w:vAlign w:val="center"/>
                </w:tcPr>
                <w:p>
                  <w:pPr>
                    <w:widowControl/>
                    <w:jc w:val="center"/>
                    <w:rPr>
                      <w:rFonts w:ascii="宋体" w:hAnsi="宋体" w:eastAsia="宋体" w:cs="宋体"/>
                      <w:kern w:val="0"/>
                      <w:sz w:val="22"/>
                    </w:rPr>
                  </w:pPr>
                  <w:r>
                    <w:rPr>
                      <w:rFonts w:hint="eastAsia" w:ascii="宋体" w:hAnsi="宋体" w:eastAsia="宋体" w:cs="宋体"/>
                      <w:kern w:val="0"/>
                      <w:sz w:val="22"/>
                    </w:rPr>
                    <w:t>本年收入合计</w:t>
                  </w:r>
                </w:p>
              </w:tc>
              <w:tc>
                <w:tcPr>
                  <w:tcW w:w="900" w:type="dxa"/>
                  <w:vMerge w:val="restart"/>
                  <w:tcBorders>
                    <w:top w:val="single" w:color="000000" w:sz="4" w:space="0"/>
                    <w:bottom w:val="single" w:color="000000" w:sz="4" w:space="0"/>
                    <w:right w:val="single" w:color="000000" w:sz="4" w:space="0"/>
                  </w:tcBorders>
                  <w:shd w:val="clear" w:color="FFFFFF" w:fill="C0C0C0"/>
                  <w:vAlign w:val="center"/>
                </w:tcPr>
                <w:p>
                  <w:pPr>
                    <w:widowControl/>
                    <w:jc w:val="center"/>
                    <w:rPr>
                      <w:rFonts w:ascii="宋体" w:hAnsi="宋体" w:eastAsia="宋体" w:cs="宋体"/>
                      <w:kern w:val="0"/>
                      <w:sz w:val="22"/>
                    </w:rPr>
                  </w:pPr>
                  <w:r>
                    <w:rPr>
                      <w:rFonts w:hint="eastAsia" w:ascii="宋体" w:hAnsi="宋体" w:eastAsia="宋体" w:cs="宋体"/>
                      <w:kern w:val="0"/>
                      <w:sz w:val="22"/>
                    </w:rPr>
                    <w:t>财政拨款收入</w:t>
                  </w:r>
                </w:p>
              </w:tc>
              <w:tc>
                <w:tcPr>
                  <w:tcW w:w="865" w:type="dxa"/>
                  <w:vMerge w:val="restart"/>
                  <w:tcBorders>
                    <w:top w:val="single" w:color="000000" w:sz="4" w:space="0"/>
                    <w:bottom w:val="single" w:color="000000" w:sz="4" w:space="0"/>
                    <w:right w:val="single" w:color="000000" w:sz="4" w:space="0"/>
                  </w:tcBorders>
                  <w:shd w:val="clear" w:color="FFFFFF" w:fill="C0C0C0"/>
                  <w:vAlign w:val="center"/>
                </w:tcPr>
                <w:p>
                  <w:pPr>
                    <w:widowControl/>
                    <w:jc w:val="center"/>
                    <w:rPr>
                      <w:rFonts w:ascii="宋体" w:hAnsi="宋体" w:eastAsia="宋体" w:cs="宋体"/>
                      <w:kern w:val="0"/>
                      <w:sz w:val="22"/>
                    </w:rPr>
                  </w:pPr>
                  <w:r>
                    <w:rPr>
                      <w:rFonts w:hint="eastAsia" w:ascii="宋体" w:hAnsi="宋体" w:eastAsia="宋体" w:cs="宋体"/>
                      <w:kern w:val="0"/>
                      <w:sz w:val="22"/>
                    </w:rPr>
                    <w:t>上级补助收入</w:t>
                  </w:r>
                </w:p>
              </w:tc>
              <w:tc>
                <w:tcPr>
                  <w:tcW w:w="720" w:type="dxa"/>
                  <w:vMerge w:val="restart"/>
                  <w:tcBorders>
                    <w:top w:val="single" w:color="000000" w:sz="4" w:space="0"/>
                    <w:bottom w:val="single" w:color="000000" w:sz="4" w:space="0"/>
                    <w:right w:val="single" w:color="000000" w:sz="4" w:space="0"/>
                  </w:tcBorders>
                  <w:shd w:val="clear" w:color="FFFFFF" w:fill="C0C0C0"/>
                  <w:vAlign w:val="center"/>
                </w:tcPr>
                <w:p>
                  <w:pPr>
                    <w:widowControl/>
                    <w:jc w:val="center"/>
                    <w:rPr>
                      <w:rFonts w:ascii="宋体" w:hAnsi="宋体" w:eastAsia="宋体" w:cs="宋体"/>
                      <w:kern w:val="0"/>
                      <w:sz w:val="22"/>
                    </w:rPr>
                  </w:pPr>
                  <w:r>
                    <w:rPr>
                      <w:rFonts w:hint="eastAsia" w:ascii="宋体" w:hAnsi="宋体" w:eastAsia="宋体" w:cs="宋体"/>
                      <w:kern w:val="0"/>
                      <w:sz w:val="22"/>
                    </w:rPr>
                    <w:t>事业收入</w:t>
                  </w:r>
                </w:p>
              </w:tc>
              <w:tc>
                <w:tcPr>
                  <w:tcW w:w="990" w:type="dxa"/>
                  <w:vMerge w:val="restart"/>
                  <w:tcBorders>
                    <w:top w:val="single" w:color="000000" w:sz="4" w:space="0"/>
                    <w:bottom w:val="single" w:color="000000" w:sz="4" w:space="0"/>
                    <w:right w:val="single" w:color="000000" w:sz="4" w:space="0"/>
                  </w:tcBorders>
                  <w:shd w:val="clear" w:color="FFFFFF" w:fill="C0C0C0"/>
                  <w:vAlign w:val="center"/>
                </w:tcPr>
                <w:p>
                  <w:pPr>
                    <w:widowControl/>
                    <w:jc w:val="center"/>
                    <w:rPr>
                      <w:rFonts w:ascii="宋体" w:hAnsi="宋体" w:eastAsia="宋体" w:cs="宋体"/>
                      <w:kern w:val="0"/>
                      <w:sz w:val="22"/>
                    </w:rPr>
                  </w:pPr>
                  <w:r>
                    <w:rPr>
                      <w:rFonts w:hint="eastAsia" w:ascii="宋体" w:hAnsi="宋体" w:eastAsia="宋体" w:cs="宋体"/>
                      <w:kern w:val="0"/>
                      <w:sz w:val="22"/>
                    </w:rPr>
                    <w:t>经营收入</w:t>
                  </w:r>
                </w:p>
              </w:tc>
              <w:tc>
                <w:tcPr>
                  <w:tcW w:w="968" w:type="dxa"/>
                  <w:vMerge w:val="restart"/>
                  <w:tcBorders>
                    <w:top w:val="single" w:color="000000" w:sz="4" w:space="0"/>
                    <w:bottom w:val="single" w:color="000000" w:sz="4" w:space="0"/>
                    <w:right w:val="single" w:color="000000" w:sz="4" w:space="0"/>
                  </w:tcBorders>
                  <w:shd w:val="clear" w:color="FFFFFF" w:fill="C0C0C0"/>
                  <w:vAlign w:val="center"/>
                </w:tcPr>
                <w:p>
                  <w:pPr>
                    <w:widowControl/>
                    <w:jc w:val="center"/>
                    <w:rPr>
                      <w:rFonts w:ascii="宋体" w:hAnsi="宋体" w:eastAsia="宋体" w:cs="宋体"/>
                      <w:kern w:val="0"/>
                      <w:sz w:val="22"/>
                    </w:rPr>
                  </w:pPr>
                  <w:r>
                    <w:rPr>
                      <w:rFonts w:hint="eastAsia" w:ascii="宋体" w:hAnsi="宋体" w:eastAsia="宋体" w:cs="宋体"/>
                      <w:kern w:val="0"/>
                      <w:sz w:val="22"/>
                    </w:rPr>
                    <w:t>附属单位上缴收入</w:t>
                  </w:r>
                </w:p>
              </w:tc>
              <w:tc>
                <w:tcPr>
                  <w:tcW w:w="1266" w:type="dxa"/>
                  <w:vMerge w:val="restart"/>
                  <w:tcBorders>
                    <w:top w:val="single" w:color="000000" w:sz="4" w:space="0"/>
                    <w:bottom w:val="single" w:color="000000" w:sz="4" w:space="0"/>
                    <w:right w:val="single" w:color="000000" w:sz="4" w:space="0"/>
                  </w:tcBorders>
                  <w:shd w:val="clear" w:color="FFFFFF" w:fill="C0C0C0"/>
                  <w:vAlign w:val="center"/>
                </w:tcPr>
                <w:p>
                  <w:pPr>
                    <w:widowControl/>
                    <w:jc w:val="center"/>
                    <w:rPr>
                      <w:rFonts w:ascii="宋体" w:hAnsi="宋体" w:eastAsia="宋体" w:cs="宋体"/>
                      <w:kern w:val="0"/>
                      <w:sz w:val="22"/>
                    </w:rPr>
                  </w:pPr>
                  <w:r>
                    <w:rPr>
                      <w:rFonts w:hint="eastAsia" w:ascii="宋体" w:hAnsi="宋体" w:eastAsia="宋体" w:cs="宋体"/>
                      <w:kern w:val="0"/>
                      <w:sz w:val="22"/>
                    </w:rPr>
                    <w:t>其他收入</w:t>
                  </w:r>
                </w:p>
              </w:tc>
            </w:tr>
            <w:tr>
              <w:tblPrEx>
                <w:tblCellMar>
                  <w:top w:w="0" w:type="dxa"/>
                  <w:left w:w="108" w:type="dxa"/>
                  <w:bottom w:w="0" w:type="dxa"/>
                  <w:right w:w="108" w:type="dxa"/>
                </w:tblCellMar>
              </w:tblPrEx>
              <w:trPr>
                <w:trHeight w:val="312" w:hRule="atLeast"/>
              </w:trPr>
              <w:tc>
                <w:tcPr>
                  <w:tcW w:w="1381"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eastAsia="宋体" w:cs="宋体"/>
                      <w:kern w:val="0"/>
                      <w:sz w:val="22"/>
                    </w:rPr>
                  </w:pPr>
                </w:p>
              </w:tc>
              <w:tc>
                <w:tcPr>
                  <w:tcW w:w="2658" w:type="dxa"/>
                  <w:vMerge w:val="continue"/>
                  <w:tcBorders>
                    <w:top w:val="single" w:color="000000" w:sz="4" w:space="0"/>
                    <w:bottom w:val="single" w:color="000000" w:sz="4" w:space="0"/>
                    <w:right w:val="single" w:color="000000" w:sz="4" w:space="0"/>
                  </w:tcBorders>
                  <w:vAlign w:val="center"/>
                </w:tcPr>
                <w:p>
                  <w:pPr>
                    <w:widowControl/>
                    <w:jc w:val="left"/>
                    <w:rPr>
                      <w:rFonts w:ascii="宋体" w:hAnsi="宋体" w:eastAsia="宋体" w:cs="宋体"/>
                      <w:kern w:val="0"/>
                      <w:sz w:val="22"/>
                    </w:rPr>
                  </w:pPr>
                </w:p>
              </w:tc>
              <w:tc>
                <w:tcPr>
                  <w:tcW w:w="972" w:type="dxa"/>
                  <w:vMerge w:val="continue"/>
                  <w:tcBorders>
                    <w:top w:val="single" w:color="000000" w:sz="4" w:space="0"/>
                    <w:bottom w:val="single" w:color="000000" w:sz="4" w:space="0"/>
                    <w:right w:val="single" w:color="000000" w:sz="4" w:space="0"/>
                  </w:tcBorders>
                  <w:vAlign w:val="center"/>
                </w:tcPr>
                <w:p>
                  <w:pPr>
                    <w:widowControl/>
                    <w:jc w:val="left"/>
                    <w:rPr>
                      <w:rFonts w:ascii="宋体" w:hAnsi="宋体" w:eastAsia="宋体" w:cs="宋体"/>
                      <w:kern w:val="0"/>
                      <w:sz w:val="22"/>
                    </w:rPr>
                  </w:pPr>
                </w:p>
              </w:tc>
              <w:tc>
                <w:tcPr>
                  <w:tcW w:w="900" w:type="dxa"/>
                  <w:vMerge w:val="continue"/>
                  <w:tcBorders>
                    <w:top w:val="single" w:color="000000" w:sz="4" w:space="0"/>
                    <w:bottom w:val="single" w:color="000000" w:sz="4" w:space="0"/>
                    <w:right w:val="single" w:color="000000" w:sz="4" w:space="0"/>
                  </w:tcBorders>
                  <w:vAlign w:val="center"/>
                </w:tcPr>
                <w:p>
                  <w:pPr>
                    <w:widowControl/>
                    <w:jc w:val="left"/>
                    <w:rPr>
                      <w:rFonts w:ascii="宋体" w:hAnsi="宋体" w:eastAsia="宋体" w:cs="宋体"/>
                      <w:kern w:val="0"/>
                      <w:sz w:val="22"/>
                    </w:rPr>
                  </w:pPr>
                </w:p>
              </w:tc>
              <w:tc>
                <w:tcPr>
                  <w:tcW w:w="865" w:type="dxa"/>
                  <w:vMerge w:val="continue"/>
                  <w:tcBorders>
                    <w:top w:val="single" w:color="000000" w:sz="4" w:space="0"/>
                    <w:bottom w:val="single" w:color="000000" w:sz="4" w:space="0"/>
                    <w:right w:val="single" w:color="000000" w:sz="4" w:space="0"/>
                  </w:tcBorders>
                  <w:vAlign w:val="center"/>
                </w:tcPr>
                <w:p>
                  <w:pPr>
                    <w:widowControl/>
                    <w:jc w:val="left"/>
                    <w:rPr>
                      <w:rFonts w:ascii="宋体" w:hAnsi="宋体" w:eastAsia="宋体" w:cs="宋体"/>
                      <w:kern w:val="0"/>
                      <w:sz w:val="22"/>
                    </w:rPr>
                  </w:pPr>
                </w:p>
              </w:tc>
              <w:tc>
                <w:tcPr>
                  <w:tcW w:w="720" w:type="dxa"/>
                  <w:vMerge w:val="continue"/>
                  <w:tcBorders>
                    <w:top w:val="single" w:color="000000" w:sz="4" w:space="0"/>
                    <w:bottom w:val="single" w:color="000000" w:sz="4" w:space="0"/>
                    <w:right w:val="single" w:color="000000" w:sz="4" w:space="0"/>
                  </w:tcBorders>
                  <w:vAlign w:val="center"/>
                </w:tcPr>
                <w:p>
                  <w:pPr>
                    <w:widowControl/>
                    <w:jc w:val="left"/>
                    <w:rPr>
                      <w:rFonts w:ascii="宋体" w:hAnsi="宋体" w:eastAsia="宋体" w:cs="宋体"/>
                      <w:kern w:val="0"/>
                      <w:sz w:val="22"/>
                    </w:rPr>
                  </w:pPr>
                </w:p>
              </w:tc>
              <w:tc>
                <w:tcPr>
                  <w:tcW w:w="990" w:type="dxa"/>
                  <w:vMerge w:val="continue"/>
                  <w:tcBorders>
                    <w:top w:val="single" w:color="000000" w:sz="4" w:space="0"/>
                    <w:bottom w:val="single" w:color="000000" w:sz="4" w:space="0"/>
                    <w:right w:val="single" w:color="000000" w:sz="4" w:space="0"/>
                  </w:tcBorders>
                  <w:vAlign w:val="center"/>
                </w:tcPr>
                <w:p>
                  <w:pPr>
                    <w:widowControl/>
                    <w:jc w:val="left"/>
                    <w:rPr>
                      <w:rFonts w:ascii="宋体" w:hAnsi="宋体" w:eastAsia="宋体" w:cs="宋体"/>
                      <w:kern w:val="0"/>
                      <w:sz w:val="22"/>
                    </w:rPr>
                  </w:pPr>
                </w:p>
              </w:tc>
              <w:tc>
                <w:tcPr>
                  <w:tcW w:w="968" w:type="dxa"/>
                  <w:vMerge w:val="continue"/>
                  <w:tcBorders>
                    <w:top w:val="single" w:color="000000" w:sz="4" w:space="0"/>
                    <w:bottom w:val="single" w:color="000000" w:sz="4" w:space="0"/>
                    <w:right w:val="single" w:color="000000" w:sz="4" w:space="0"/>
                  </w:tcBorders>
                  <w:vAlign w:val="center"/>
                </w:tcPr>
                <w:p>
                  <w:pPr>
                    <w:widowControl/>
                    <w:jc w:val="left"/>
                    <w:rPr>
                      <w:rFonts w:ascii="宋体" w:hAnsi="宋体" w:eastAsia="宋体" w:cs="宋体"/>
                      <w:kern w:val="0"/>
                      <w:sz w:val="22"/>
                    </w:rPr>
                  </w:pPr>
                </w:p>
              </w:tc>
              <w:tc>
                <w:tcPr>
                  <w:tcW w:w="1266" w:type="dxa"/>
                  <w:vMerge w:val="continue"/>
                  <w:tcBorders>
                    <w:top w:val="single" w:color="000000" w:sz="4" w:space="0"/>
                    <w:bottom w:val="single" w:color="000000" w:sz="4" w:space="0"/>
                    <w:right w:val="single" w:color="000000" w:sz="4" w:space="0"/>
                  </w:tcBorders>
                  <w:vAlign w:val="center"/>
                </w:tcPr>
                <w:p>
                  <w:pPr>
                    <w:widowControl/>
                    <w:jc w:val="left"/>
                    <w:rPr>
                      <w:rFonts w:ascii="宋体" w:hAnsi="宋体" w:eastAsia="宋体" w:cs="宋体"/>
                      <w:kern w:val="0"/>
                      <w:sz w:val="22"/>
                    </w:rPr>
                  </w:pPr>
                </w:p>
              </w:tc>
            </w:tr>
            <w:tr>
              <w:tblPrEx>
                <w:tblCellMar>
                  <w:top w:w="0" w:type="dxa"/>
                  <w:left w:w="108" w:type="dxa"/>
                  <w:bottom w:w="0" w:type="dxa"/>
                  <w:right w:w="108" w:type="dxa"/>
                </w:tblCellMar>
              </w:tblPrEx>
              <w:trPr>
                <w:trHeight w:val="312" w:hRule="atLeast"/>
              </w:trPr>
              <w:tc>
                <w:tcPr>
                  <w:tcW w:w="1381"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eastAsia="宋体" w:cs="宋体"/>
                      <w:kern w:val="0"/>
                      <w:sz w:val="22"/>
                    </w:rPr>
                  </w:pPr>
                </w:p>
              </w:tc>
              <w:tc>
                <w:tcPr>
                  <w:tcW w:w="2658" w:type="dxa"/>
                  <w:vMerge w:val="continue"/>
                  <w:tcBorders>
                    <w:top w:val="single" w:color="000000" w:sz="4" w:space="0"/>
                    <w:bottom w:val="single" w:color="000000" w:sz="4" w:space="0"/>
                    <w:right w:val="single" w:color="000000" w:sz="4" w:space="0"/>
                  </w:tcBorders>
                  <w:vAlign w:val="center"/>
                </w:tcPr>
                <w:p>
                  <w:pPr>
                    <w:widowControl/>
                    <w:jc w:val="left"/>
                    <w:rPr>
                      <w:rFonts w:ascii="宋体" w:hAnsi="宋体" w:eastAsia="宋体" w:cs="宋体"/>
                      <w:kern w:val="0"/>
                      <w:sz w:val="22"/>
                    </w:rPr>
                  </w:pPr>
                </w:p>
              </w:tc>
              <w:tc>
                <w:tcPr>
                  <w:tcW w:w="972" w:type="dxa"/>
                  <w:vMerge w:val="continue"/>
                  <w:tcBorders>
                    <w:top w:val="single" w:color="000000" w:sz="4" w:space="0"/>
                    <w:bottom w:val="single" w:color="000000" w:sz="4" w:space="0"/>
                    <w:right w:val="single" w:color="000000" w:sz="4" w:space="0"/>
                  </w:tcBorders>
                  <w:vAlign w:val="center"/>
                </w:tcPr>
                <w:p>
                  <w:pPr>
                    <w:widowControl/>
                    <w:jc w:val="left"/>
                    <w:rPr>
                      <w:rFonts w:ascii="宋体" w:hAnsi="宋体" w:eastAsia="宋体" w:cs="宋体"/>
                      <w:kern w:val="0"/>
                      <w:sz w:val="22"/>
                    </w:rPr>
                  </w:pPr>
                </w:p>
              </w:tc>
              <w:tc>
                <w:tcPr>
                  <w:tcW w:w="900" w:type="dxa"/>
                  <w:vMerge w:val="continue"/>
                  <w:tcBorders>
                    <w:top w:val="single" w:color="000000" w:sz="4" w:space="0"/>
                    <w:bottom w:val="single" w:color="000000" w:sz="4" w:space="0"/>
                    <w:right w:val="single" w:color="000000" w:sz="4" w:space="0"/>
                  </w:tcBorders>
                  <w:vAlign w:val="center"/>
                </w:tcPr>
                <w:p>
                  <w:pPr>
                    <w:widowControl/>
                    <w:jc w:val="left"/>
                    <w:rPr>
                      <w:rFonts w:ascii="宋体" w:hAnsi="宋体" w:eastAsia="宋体" w:cs="宋体"/>
                      <w:kern w:val="0"/>
                      <w:sz w:val="22"/>
                    </w:rPr>
                  </w:pPr>
                </w:p>
              </w:tc>
              <w:tc>
                <w:tcPr>
                  <w:tcW w:w="865" w:type="dxa"/>
                  <w:vMerge w:val="continue"/>
                  <w:tcBorders>
                    <w:top w:val="single" w:color="000000" w:sz="4" w:space="0"/>
                    <w:bottom w:val="single" w:color="000000" w:sz="4" w:space="0"/>
                    <w:right w:val="single" w:color="000000" w:sz="4" w:space="0"/>
                  </w:tcBorders>
                  <w:vAlign w:val="center"/>
                </w:tcPr>
                <w:p>
                  <w:pPr>
                    <w:widowControl/>
                    <w:jc w:val="left"/>
                    <w:rPr>
                      <w:rFonts w:ascii="宋体" w:hAnsi="宋体" w:eastAsia="宋体" w:cs="宋体"/>
                      <w:kern w:val="0"/>
                      <w:sz w:val="22"/>
                    </w:rPr>
                  </w:pPr>
                </w:p>
              </w:tc>
              <w:tc>
                <w:tcPr>
                  <w:tcW w:w="720" w:type="dxa"/>
                  <w:vMerge w:val="continue"/>
                  <w:tcBorders>
                    <w:top w:val="single" w:color="000000" w:sz="4" w:space="0"/>
                    <w:bottom w:val="single" w:color="000000" w:sz="4" w:space="0"/>
                    <w:right w:val="single" w:color="000000" w:sz="4" w:space="0"/>
                  </w:tcBorders>
                  <w:vAlign w:val="center"/>
                </w:tcPr>
                <w:p>
                  <w:pPr>
                    <w:widowControl/>
                    <w:jc w:val="left"/>
                    <w:rPr>
                      <w:rFonts w:ascii="宋体" w:hAnsi="宋体" w:eastAsia="宋体" w:cs="宋体"/>
                      <w:kern w:val="0"/>
                      <w:sz w:val="22"/>
                    </w:rPr>
                  </w:pPr>
                </w:p>
              </w:tc>
              <w:tc>
                <w:tcPr>
                  <w:tcW w:w="990" w:type="dxa"/>
                  <w:vMerge w:val="continue"/>
                  <w:tcBorders>
                    <w:top w:val="single" w:color="000000" w:sz="4" w:space="0"/>
                    <w:bottom w:val="single" w:color="000000" w:sz="4" w:space="0"/>
                    <w:right w:val="single" w:color="000000" w:sz="4" w:space="0"/>
                  </w:tcBorders>
                  <w:vAlign w:val="center"/>
                </w:tcPr>
                <w:p>
                  <w:pPr>
                    <w:widowControl/>
                    <w:jc w:val="left"/>
                    <w:rPr>
                      <w:rFonts w:ascii="宋体" w:hAnsi="宋体" w:eastAsia="宋体" w:cs="宋体"/>
                      <w:kern w:val="0"/>
                      <w:sz w:val="22"/>
                    </w:rPr>
                  </w:pPr>
                </w:p>
              </w:tc>
              <w:tc>
                <w:tcPr>
                  <w:tcW w:w="968" w:type="dxa"/>
                  <w:vMerge w:val="continue"/>
                  <w:tcBorders>
                    <w:top w:val="single" w:color="000000" w:sz="4" w:space="0"/>
                    <w:bottom w:val="single" w:color="000000" w:sz="4" w:space="0"/>
                    <w:right w:val="single" w:color="000000" w:sz="4" w:space="0"/>
                  </w:tcBorders>
                  <w:vAlign w:val="center"/>
                </w:tcPr>
                <w:p>
                  <w:pPr>
                    <w:widowControl/>
                    <w:jc w:val="left"/>
                    <w:rPr>
                      <w:rFonts w:ascii="宋体" w:hAnsi="宋体" w:eastAsia="宋体" w:cs="宋体"/>
                      <w:kern w:val="0"/>
                      <w:sz w:val="22"/>
                    </w:rPr>
                  </w:pPr>
                </w:p>
              </w:tc>
              <w:tc>
                <w:tcPr>
                  <w:tcW w:w="1266" w:type="dxa"/>
                  <w:vMerge w:val="continue"/>
                  <w:tcBorders>
                    <w:top w:val="single" w:color="000000" w:sz="4" w:space="0"/>
                    <w:bottom w:val="single" w:color="000000" w:sz="4" w:space="0"/>
                    <w:right w:val="single" w:color="000000" w:sz="4" w:space="0"/>
                  </w:tcBorders>
                  <w:vAlign w:val="center"/>
                </w:tcPr>
                <w:p>
                  <w:pPr>
                    <w:widowControl/>
                    <w:jc w:val="left"/>
                    <w:rPr>
                      <w:rFonts w:ascii="宋体" w:hAnsi="宋体" w:eastAsia="宋体" w:cs="宋体"/>
                      <w:kern w:val="0"/>
                      <w:sz w:val="22"/>
                    </w:rPr>
                  </w:pPr>
                </w:p>
              </w:tc>
            </w:tr>
            <w:tr>
              <w:tblPrEx>
                <w:tblCellMar>
                  <w:top w:w="0" w:type="dxa"/>
                  <w:left w:w="108" w:type="dxa"/>
                  <w:bottom w:w="0" w:type="dxa"/>
                  <w:right w:w="108" w:type="dxa"/>
                </w:tblCellMar>
              </w:tblPrEx>
              <w:trPr>
                <w:trHeight w:val="312" w:hRule="atLeast"/>
              </w:trPr>
              <w:tc>
                <w:tcPr>
                  <w:tcW w:w="1381"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eastAsia="宋体" w:cs="宋体"/>
                      <w:kern w:val="0"/>
                      <w:sz w:val="22"/>
                    </w:rPr>
                  </w:pPr>
                </w:p>
              </w:tc>
              <w:tc>
                <w:tcPr>
                  <w:tcW w:w="2658" w:type="dxa"/>
                  <w:vMerge w:val="continue"/>
                  <w:tcBorders>
                    <w:top w:val="single" w:color="000000" w:sz="4" w:space="0"/>
                    <w:bottom w:val="single" w:color="000000" w:sz="4" w:space="0"/>
                    <w:right w:val="single" w:color="000000" w:sz="4" w:space="0"/>
                  </w:tcBorders>
                  <w:vAlign w:val="center"/>
                </w:tcPr>
                <w:p>
                  <w:pPr>
                    <w:widowControl/>
                    <w:jc w:val="left"/>
                    <w:rPr>
                      <w:rFonts w:ascii="宋体" w:hAnsi="宋体" w:eastAsia="宋体" w:cs="宋体"/>
                      <w:kern w:val="0"/>
                      <w:sz w:val="22"/>
                    </w:rPr>
                  </w:pPr>
                </w:p>
              </w:tc>
              <w:tc>
                <w:tcPr>
                  <w:tcW w:w="972" w:type="dxa"/>
                  <w:vMerge w:val="continue"/>
                  <w:tcBorders>
                    <w:top w:val="single" w:color="000000" w:sz="4" w:space="0"/>
                    <w:bottom w:val="single" w:color="000000" w:sz="4" w:space="0"/>
                    <w:right w:val="single" w:color="000000" w:sz="4" w:space="0"/>
                  </w:tcBorders>
                  <w:vAlign w:val="center"/>
                </w:tcPr>
                <w:p>
                  <w:pPr>
                    <w:widowControl/>
                    <w:jc w:val="left"/>
                    <w:rPr>
                      <w:rFonts w:ascii="宋体" w:hAnsi="宋体" w:eastAsia="宋体" w:cs="宋体"/>
                      <w:kern w:val="0"/>
                      <w:sz w:val="22"/>
                    </w:rPr>
                  </w:pPr>
                </w:p>
              </w:tc>
              <w:tc>
                <w:tcPr>
                  <w:tcW w:w="900" w:type="dxa"/>
                  <w:vMerge w:val="continue"/>
                  <w:tcBorders>
                    <w:top w:val="single" w:color="000000" w:sz="4" w:space="0"/>
                    <w:bottom w:val="single" w:color="000000" w:sz="4" w:space="0"/>
                    <w:right w:val="single" w:color="000000" w:sz="4" w:space="0"/>
                  </w:tcBorders>
                  <w:vAlign w:val="center"/>
                </w:tcPr>
                <w:p>
                  <w:pPr>
                    <w:widowControl/>
                    <w:jc w:val="left"/>
                    <w:rPr>
                      <w:rFonts w:ascii="宋体" w:hAnsi="宋体" w:eastAsia="宋体" w:cs="宋体"/>
                      <w:kern w:val="0"/>
                      <w:sz w:val="22"/>
                    </w:rPr>
                  </w:pPr>
                </w:p>
              </w:tc>
              <w:tc>
                <w:tcPr>
                  <w:tcW w:w="865" w:type="dxa"/>
                  <w:vMerge w:val="continue"/>
                  <w:tcBorders>
                    <w:top w:val="single" w:color="000000" w:sz="4" w:space="0"/>
                    <w:bottom w:val="single" w:color="000000" w:sz="4" w:space="0"/>
                    <w:right w:val="single" w:color="000000" w:sz="4" w:space="0"/>
                  </w:tcBorders>
                  <w:vAlign w:val="center"/>
                </w:tcPr>
                <w:p>
                  <w:pPr>
                    <w:widowControl/>
                    <w:jc w:val="left"/>
                    <w:rPr>
                      <w:rFonts w:ascii="宋体" w:hAnsi="宋体" w:eastAsia="宋体" w:cs="宋体"/>
                      <w:kern w:val="0"/>
                      <w:sz w:val="22"/>
                    </w:rPr>
                  </w:pPr>
                </w:p>
              </w:tc>
              <w:tc>
                <w:tcPr>
                  <w:tcW w:w="720" w:type="dxa"/>
                  <w:vMerge w:val="continue"/>
                  <w:tcBorders>
                    <w:top w:val="single" w:color="000000" w:sz="4" w:space="0"/>
                    <w:bottom w:val="single" w:color="000000" w:sz="4" w:space="0"/>
                    <w:right w:val="single" w:color="000000" w:sz="4" w:space="0"/>
                  </w:tcBorders>
                  <w:vAlign w:val="center"/>
                </w:tcPr>
                <w:p>
                  <w:pPr>
                    <w:widowControl/>
                    <w:jc w:val="left"/>
                    <w:rPr>
                      <w:rFonts w:ascii="宋体" w:hAnsi="宋体" w:eastAsia="宋体" w:cs="宋体"/>
                      <w:kern w:val="0"/>
                      <w:sz w:val="22"/>
                    </w:rPr>
                  </w:pPr>
                </w:p>
              </w:tc>
              <w:tc>
                <w:tcPr>
                  <w:tcW w:w="990" w:type="dxa"/>
                  <w:vMerge w:val="continue"/>
                  <w:tcBorders>
                    <w:top w:val="single" w:color="000000" w:sz="4" w:space="0"/>
                    <w:bottom w:val="single" w:color="000000" w:sz="4" w:space="0"/>
                    <w:right w:val="single" w:color="000000" w:sz="4" w:space="0"/>
                  </w:tcBorders>
                  <w:vAlign w:val="center"/>
                </w:tcPr>
                <w:p>
                  <w:pPr>
                    <w:widowControl/>
                    <w:jc w:val="left"/>
                    <w:rPr>
                      <w:rFonts w:ascii="宋体" w:hAnsi="宋体" w:eastAsia="宋体" w:cs="宋体"/>
                      <w:kern w:val="0"/>
                      <w:sz w:val="22"/>
                    </w:rPr>
                  </w:pPr>
                </w:p>
              </w:tc>
              <w:tc>
                <w:tcPr>
                  <w:tcW w:w="968" w:type="dxa"/>
                  <w:vMerge w:val="continue"/>
                  <w:tcBorders>
                    <w:top w:val="single" w:color="000000" w:sz="4" w:space="0"/>
                    <w:bottom w:val="single" w:color="000000" w:sz="4" w:space="0"/>
                    <w:right w:val="single" w:color="000000" w:sz="4" w:space="0"/>
                  </w:tcBorders>
                  <w:vAlign w:val="center"/>
                </w:tcPr>
                <w:p>
                  <w:pPr>
                    <w:widowControl/>
                    <w:jc w:val="left"/>
                    <w:rPr>
                      <w:rFonts w:ascii="宋体" w:hAnsi="宋体" w:eastAsia="宋体" w:cs="宋体"/>
                      <w:kern w:val="0"/>
                      <w:sz w:val="22"/>
                    </w:rPr>
                  </w:pPr>
                </w:p>
              </w:tc>
              <w:tc>
                <w:tcPr>
                  <w:tcW w:w="1266" w:type="dxa"/>
                  <w:vMerge w:val="continue"/>
                  <w:tcBorders>
                    <w:top w:val="single" w:color="000000" w:sz="4" w:space="0"/>
                    <w:bottom w:val="single" w:color="000000" w:sz="4" w:space="0"/>
                    <w:right w:val="single" w:color="000000" w:sz="4" w:space="0"/>
                  </w:tcBorders>
                  <w:vAlign w:val="center"/>
                </w:tcPr>
                <w:p>
                  <w:pPr>
                    <w:widowControl/>
                    <w:jc w:val="left"/>
                    <w:rPr>
                      <w:rFonts w:ascii="宋体" w:hAnsi="宋体" w:eastAsia="宋体" w:cs="宋体"/>
                      <w:kern w:val="0"/>
                      <w:sz w:val="22"/>
                    </w:rPr>
                  </w:pPr>
                </w:p>
              </w:tc>
            </w:tr>
            <w:tr>
              <w:tblPrEx>
                <w:tblCellMar>
                  <w:top w:w="0" w:type="dxa"/>
                  <w:left w:w="108" w:type="dxa"/>
                  <w:bottom w:w="0" w:type="dxa"/>
                  <w:right w:w="108" w:type="dxa"/>
                </w:tblCellMar>
              </w:tblPrEx>
              <w:trPr>
                <w:trHeight w:val="285" w:hRule="atLeast"/>
              </w:trPr>
              <w:tc>
                <w:tcPr>
                  <w:tcW w:w="556" w:type="dxa"/>
                  <w:vMerge w:val="restart"/>
                  <w:tcBorders>
                    <w:left w:val="single" w:color="000000" w:sz="4" w:space="0"/>
                    <w:bottom w:val="single" w:color="000000" w:sz="4" w:space="0"/>
                    <w:right w:val="single" w:color="000000" w:sz="4" w:space="0"/>
                  </w:tcBorders>
                  <w:shd w:val="clear" w:color="FFFFFF" w:fill="C0C0C0"/>
                  <w:noWrap/>
                  <w:vAlign w:val="center"/>
                </w:tcPr>
                <w:p>
                  <w:pPr>
                    <w:widowControl/>
                    <w:jc w:val="center"/>
                    <w:rPr>
                      <w:rFonts w:ascii="宋体" w:hAnsi="宋体" w:eastAsia="宋体" w:cs="宋体"/>
                      <w:kern w:val="0"/>
                      <w:sz w:val="22"/>
                    </w:rPr>
                  </w:pPr>
                  <w:r>
                    <w:rPr>
                      <w:rFonts w:hint="eastAsia" w:ascii="宋体" w:hAnsi="宋体" w:eastAsia="宋体" w:cs="宋体"/>
                      <w:kern w:val="0"/>
                      <w:sz w:val="22"/>
                    </w:rPr>
                    <w:t>类</w:t>
                  </w:r>
                </w:p>
              </w:tc>
              <w:tc>
                <w:tcPr>
                  <w:tcW w:w="585" w:type="dxa"/>
                  <w:vMerge w:val="restart"/>
                  <w:tcBorders>
                    <w:bottom w:val="single" w:color="000000" w:sz="4" w:space="0"/>
                    <w:right w:val="single" w:color="000000" w:sz="4" w:space="0"/>
                  </w:tcBorders>
                  <w:shd w:val="clear" w:color="FFFFFF" w:fill="C0C0C0"/>
                  <w:noWrap/>
                  <w:vAlign w:val="center"/>
                </w:tcPr>
                <w:p>
                  <w:pPr>
                    <w:widowControl/>
                    <w:jc w:val="center"/>
                    <w:rPr>
                      <w:rFonts w:ascii="宋体" w:hAnsi="宋体" w:eastAsia="宋体" w:cs="宋体"/>
                      <w:kern w:val="0"/>
                      <w:sz w:val="22"/>
                    </w:rPr>
                  </w:pPr>
                  <w:r>
                    <w:rPr>
                      <w:rFonts w:hint="eastAsia" w:ascii="宋体" w:hAnsi="宋体" w:eastAsia="宋体" w:cs="宋体"/>
                      <w:kern w:val="0"/>
                      <w:sz w:val="22"/>
                    </w:rPr>
                    <w:t>款</w:t>
                  </w:r>
                </w:p>
              </w:tc>
              <w:tc>
                <w:tcPr>
                  <w:tcW w:w="240" w:type="dxa"/>
                  <w:vMerge w:val="restart"/>
                  <w:tcBorders>
                    <w:bottom w:val="single" w:color="000000" w:sz="4" w:space="0"/>
                    <w:right w:val="single" w:color="000000" w:sz="4" w:space="0"/>
                  </w:tcBorders>
                  <w:shd w:val="clear" w:color="FFFFFF" w:fill="C0C0C0"/>
                  <w:noWrap/>
                  <w:vAlign w:val="center"/>
                </w:tcPr>
                <w:p>
                  <w:pPr>
                    <w:widowControl/>
                    <w:jc w:val="center"/>
                    <w:rPr>
                      <w:rFonts w:ascii="宋体" w:hAnsi="宋体" w:eastAsia="宋体" w:cs="宋体"/>
                      <w:kern w:val="0"/>
                      <w:sz w:val="22"/>
                    </w:rPr>
                  </w:pPr>
                  <w:r>
                    <w:rPr>
                      <w:rFonts w:hint="eastAsia" w:ascii="宋体" w:hAnsi="宋体" w:eastAsia="宋体" w:cs="宋体"/>
                      <w:kern w:val="0"/>
                      <w:sz w:val="22"/>
                    </w:rPr>
                    <w:t>项</w:t>
                  </w:r>
                </w:p>
              </w:tc>
              <w:tc>
                <w:tcPr>
                  <w:tcW w:w="2658" w:type="dxa"/>
                  <w:tcBorders>
                    <w:bottom w:val="single" w:color="000000" w:sz="4" w:space="0"/>
                    <w:right w:val="single" w:color="000000" w:sz="4" w:space="0"/>
                  </w:tcBorders>
                  <w:shd w:val="clear" w:color="FFFFFF" w:fill="C0C0C0"/>
                  <w:noWrap/>
                  <w:vAlign w:val="center"/>
                </w:tcPr>
                <w:p>
                  <w:pPr>
                    <w:widowControl/>
                    <w:jc w:val="center"/>
                    <w:rPr>
                      <w:rFonts w:ascii="宋体" w:hAnsi="宋体" w:eastAsia="宋体" w:cs="宋体"/>
                      <w:kern w:val="0"/>
                      <w:sz w:val="22"/>
                    </w:rPr>
                  </w:pPr>
                  <w:r>
                    <w:rPr>
                      <w:rFonts w:hint="eastAsia" w:ascii="宋体" w:hAnsi="宋体" w:eastAsia="宋体" w:cs="宋体"/>
                      <w:kern w:val="0"/>
                      <w:sz w:val="22"/>
                    </w:rPr>
                    <w:t>栏次</w:t>
                  </w:r>
                </w:p>
              </w:tc>
              <w:tc>
                <w:tcPr>
                  <w:tcW w:w="972" w:type="dxa"/>
                  <w:tcBorders>
                    <w:bottom w:val="single" w:color="000000" w:sz="4" w:space="0"/>
                    <w:right w:val="single" w:color="000000" w:sz="4" w:space="0"/>
                  </w:tcBorders>
                  <w:shd w:val="clear" w:color="FFFFFF" w:fill="C0C0C0"/>
                  <w:vAlign w:val="center"/>
                </w:tcPr>
                <w:p>
                  <w:pPr>
                    <w:widowControl/>
                    <w:jc w:val="center"/>
                    <w:rPr>
                      <w:rFonts w:ascii="宋体" w:hAnsi="宋体" w:eastAsia="宋体" w:cs="宋体"/>
                      <w:kern w:val="0"/>
                      <w:sz w:val="22"/>
                    </w:rPr>
                  </w:pPr>
                  <w:r>
                    <w:rPr>
                      <w:rFonts w:ascii="宋体" w:hAnsi="宋体" w:eastAsia="宋体" w:cs="宋体"/>
                      <w:kern w:val="0"/>
                      <w:sz w:val="22"/>
                    </w:rPr>
                    <w:t>1</w:t>
                  </w:r>
                </w:p>
              </w:tc>
              <w:tc>
                <w:tcPr>
                  <w:tcW w:w="900" w:type="dxa"/>
                  <w:tcBorders>
                    <w:bottom w:val="single" w:color="000000" w:sz="4" w:space="0"/>
                    <w:right w:val="single" w:color="000000" w:sz="4" w:space="0"/>
                  </w:tcBorders>
                  <w:shd w:val="clear" w:color="FFFFFF" w:fill="C0C0C0"/>
                  <w:vAlign w:val="center"/>
                </w:tcPr>
                <w:p>
                  <w:pPr>
                    <w:widowControl/>
                    <w:jc w:val="center"/>
                    <w:rPr>
                      <w:rFonts w:ascii="宋体" w:hAnsi="宋体" w:eastAsia="宋体" w:cs="宋体"/>
                      <w:kern w:val="0"/>
                      <w:sz w:val="22"/>
                    </w:rPr>
                  </w:pPr>
                  <w:r>
                    <w:rPr>
                      <w:rFonts w:ascii="宋体" w:hAnsi="宋体" w:eastAsia="宋体" w:cs="宋体"/>
                      <w:kern w:val="0"/>
                      <w:sz w:val="22"/>
                    </w:rPr>
                    <w:t>2</w:t>
                  </w:r>
                </w:p>
              </w:tc>
              <w:tc>
                <w:tcPr>
                  <w:tcW w:w="865" w:type="dxa"/>
                  <w:tcBorders>
                    <w:bottom w:val="single" w:color="000000" w:sz="4" w:space="0"/>
                    <w:right w:val="single" w:color="000000" w:sz="4" w:space="0"/>
                  </w:tcBorders>
                  <w:shd w:val="clear" w:color="FFFFFF" w:fill="C0C0C0"/>
                  <w:vAlign w:val="center"/>
                </w:tcPr>
                <w:p>
                  <w:pPr>
                    <w:widowControl/>
                    <w:jc w:val="center"/>
                    <w:rPr>
                      <w:rFonts w:ascii="宋体" w:hAnsi="宋体" w:eastAsia="宋体" w:cs="宋体"/>
                      <w:kern w:val="0"/>
                      <w:sz w:val="22"/>
                    </w:rPr>
                  </w:pPr>
                  <w:r>
                    <w:rPr>
                      <w:rFonts w:ascii="宋体" w:hAnsi="宋体" w:eastAsia="宋体" w:cs="宋体"/>
                      <w:kern w:val="0"/>
                      <w:sz w:val="22"/>
                    </w:rPr>
                    <w:t>3</w:t>
                  </w:r>
                </w:p>
              </w:tc>
              <w:tc>
                <w:tcPr>
                  <w:tcW w:w="720" w:type="dxa"/>
                  <w:tcBorders>
                    <w:bottom w:val="single" w:color="000000" w:sz="4" w:space="0"/>
                    <w:right w:val="single" w:color="000000" w:sz="4" w:space="0"/>
                  </w:tcBorders>
                  <w:shd w:val="clear" w:color="FFFFFF" w:fill="C0C0C0"/>
                  <w:vAlign w:val="center"/>
                </w:tcPr>
                <w:p>
                  <w:pPr>
                    <w:widowControl/>
                    <w:jc w:val="center"/>
                    <w:rPr>
                      <w:rFonts w:ascii="宋体" w:hAnsi="宋体" w:eastAsia="宋体" w:cs="宋体"/>
                      <w:kern w:val="0"/>
                      <w:sz w:val="22"/>
                    </w:rPr>
                  </w:pPr>
                  <w:r>
                    <w:rPr>
                      <w:rFonts w:ascii="宋体" w:hAnsi="宋体" w:eastAsia="宋体" w:cs="宋体"/>
                      <w:kern w:val="0"/>
                      <w:sz w:val="22"/>
                    </w:rPr>
                    <w:t>4</w:t>
                  </w:r>
                </w:p>
              </w:tc>
              <w:tc>
                <w:tcPr>
                  <w:tcW w:w="990" w:type="dxa"/>
                  <w:tcBorders>
                    <w:bottom w:val="single" w:color="000000" w:sz="4" w:space="0"/>
                    <w:right w:val="single" w:color="000000" w:sz="4" w:space="0"/>
                  </w:tcBorders>
                  <w:shd w:val="clear" w:color="FFFFFF" w:fill="C0C0C0"/>
                  <w:vAlign w:val="center"/>
                </w:tcPr>
                <w:p>
                  <w:pPr>
                    <w:widowControl/>
                    <w:jc w:val="center"/>
                    <w:rPr>
                      <w:rFonts w:ascii="宋体" w:hAnsi="宋体" w:eastAsia="宋体" w:cs="宋体"/>
                      <w:kern w:val="0"/>
                      <w:sz w:val="22"/>
                    </w:rPr>
                  </w:pPr>
                  <w:r>
                    <w:rPr>
                      <w:rFonts w:ascii="宋体" w:hAnsi="宋体" w:eastAsia="宋体" w:cs="宋体"/>
                      <w:kern w:val="0"/>
                      <w:sz w:val="22"/>
                    </w:rPr>
                    <w:t>5</w:t>
                  </w:r>
                </w:p>
              </w:tc>
              <w:tc>
                <w:tcPr>
                  <w:tcW w:w="968" w:type="dxa"/>
                  <w:tcBorders>
                    <w:bottom w:val="single" w:color="000000" w:sz="4" w:space="0"/>
                    <w:right w:val="single" w:color="000000" w:sz="4" w:space="0"/>
                  </w:tcBorders>
                  <w:shd w:val="clear" w:color="FFFFFF" w:fill="C0C0C0"/>
                  <w:vAlign w:val="center"/>
                </w:tcPr>
                <w:p>
                  <w:pPr>
                    <w:widowControl/>
                    <w:jc w:val="center"/>
                    <w:rPr>
                      <w:rFonts w:ascii="宋体" w:hAnsi="宋体" w:eastAsia="宋体" w:cs="宋体"/>
                      <w:kern w:val="0"/>
                      <w:sz w:val="22"/>
                    </w:rPr>
                  </w:pPr>
                  <w:r>
                    <w:rPr>
                      <w:rFonts w:ascii="宋体" w:hAnsi="宋体" w:eastAsia="宋体" w:cs="宋体"/>
                      <w:kern w:val="0"/>
                      <w:sz w:val="22"/>
                    </w:rPr>
                    <w:t>6</w:t>
                  </w:r>
                </w:p>
              </w:tc>
              <w:tc>
                <w:tcPr>
                  <w:tcW w:w="1266" w:type="dxa"/>
                  <w:tcBorders>
                    <w:bottom w:val="single" w:color="000000" w:sz="4" w:space="0"/>
                    <w:right w:val="single" w:color="000000" w:sz="4" w:space="0"/>
                  </w:tcBorders>
                  <w:shd w:val="clear" w:color="FFFFFF" w:fill="C0C0C0"/>
                  <w:vAlign w:val="center"/>
                </w:tcPr>
                <w:p>
                  <w:pPr>
                    <w:widowControl/>
                    <w:jc w:val="center"/>
                    <w:rPr>
                      <w:rFonts w:ascii="宋体" w:hAnsi="宋体" w:eastAsia="宋体" w:cs="宋体"/>
                      <w:kern w:val="0"/>
                      <w:sz w:val="22"/>
                    </w:rPr>
                  </w:pPr>
                  <w:r>
                    <w:rPr>
                      <w:rFonts w:ascii="宋体" w:hAnsi="宋体" w:eastAsia="宋体" w:cs="宋体"/>
                      <w:kern w:val="0"/>
                      <w:sz w:val="22"/>
                    </w:rPr>
                    <w:t>7</w:t>
                  </w:r>
                </w:p>
              </w:tc>
            </w:tr>
            <w:tr>
              <w:tblPrEx>
                <w:tblCellMar>
                  <w:top w:w="0" w:type="dxa"/>
                  <w:left w:w="108" w:type="dxa"/>
                  <w:bottom w:w="0" w:type="dxa"/>
                  <w:right w:w="108" w:type="dxa"/>
                </w:tblCellMar>
              </w:tblPrEx>
              <w:trPr>
                <w:trHeight w:val="285" w:hRule="atLeast"/>
              </w:trPr>
              <w:tc>
                <w:tcPr>
                  <w:tcW w:w="556" w:type="dxa"/>
                  <w:vMerge w:val="continue"/>
                  <w:tcBorders>
                    <w:left w:val="single" w:color="000000" w:sz="4" w:space="0"/>
                    <w:bottom w:val="single" w:color="000000" w:sz="4" w:space="0"/>
                    <w:right w:val="single" w:color="000000" w:sz="4" w:space="0"/>
                  </w:tcBorders>
                  <w:vAlign w:val="center"/>
                </w:tcPr>
                <w:p>
                  <w:pPr>
                    <w:widowControl/>
                    <w:jc w:val="left"/>
                    <w:rPr>
                      <w:rFonts w:ascii="宋体" w:hAnsi="宋体" w:eastAsia="宋体" w:cs="宋体"/>
                      <w:kern w:val="0"/>
                      <w:sz w:val="22"/>
                    </w:rPr>
                  </w:pPr>
                </w:p>
              </w:tc>
              <w:tc>
                <w:tcPr>
                  <w:tcW w:w="585" w:type="dxa"/>
                  <w:vMerge w:val="continue"/>
                  <w:tcBorders>
                    <w:bottom w:val="single" w:color="000000" w:sz="4" w:space="0"/>
                    <w:right w:val="single" w:color="000000" w:sz="4" w:space="0"/>
                  </w:tcBorders>
                  <w:vAlign w:val="center"/>
                </w:tcPr>
                <w:p>
                  <w:pPr>
                    <w:widowControl/>
                    <w:jc w:val="left"/>
                    <w:rPr>
                      <w:rFonts w:ascii="宋体" w:hAnsi="宋体" w:eastAsia="宋体" w:cs="宋体"/>
                      <w:kern w:val="0"/>
                      <w:sz w:val="22"/>
                    </w:rPr>
                  </w:pPr>
                </w:p>
              </w:tc>
              <w:tc>
                <w:tcPr>
                  <w:tcW w:w="240" w:type="dxa"/>
                  <w:vMerge w:val="continue"/>
                  <w:tcBorders>
                    <w:bottom w:val="single" w:color="000000" w:sz="4" w:space="0"/>
                    <w:right w:val="single" w:color="000000" w:sz="4" w:space="0"/>
                  </w:tcBorders>
                  <w:vAlign w:val="center"/>
                </w:tcPr>
                <w:p>
                  <w:pPr>
                    <w:widowControl/>
                    <w:jc w:val="left"/>
                    <w:rPr>
                      <w:rFonts w:ascii="宋体" w:hAnsi="宋体" w:eastAsia="宋体" w:cs="宋体"/>
                      <w:kern w:val="0"/>
                      <w:sz w:val="22"/>
                    </w:rPr>
                  </w:pPr>
                </w:p>
              </w:tc>
              <w:tc>
                <w:tcPr>
                  <w:tcW w:w="2658" w:type="dxa"/>
                  <w:tcBorders>
                    <w:bottom w:val="single" w:color="000000" w:sz="4" w:space="0"/>
                    <w:right w:val="single" w:color="000000" w:sz="4" w:space="0"/>
                  </w:tcBorders>
                  <w:shd w:val="clear" w:color="FFFFFF" w:fill="C0C0C0"/>
                  <w:noWrap/>
                  <w:vAlign w:val="center"/>
                </w:tcPr>
                <w:p>
                  <w:pPr>
                    <w:widowControl/>
                    <w:jc w:val="center"/>
                    <w:rPr>
                      <w:rFonts w:ascii="宋体" w:hAnsi="宋体" w:eastAsia="宋体" w:cs="宋体"/>
                      <w:kern w:val="0"/>
                      <w:sz w:val="22"/>
                    </w:rPr>
                  </w:pPr>
                  <w:r>
                    <w:rPr>
                      <w:rFonts w:hint="eastAsia" w:ascii="宋体" w:hAnsi="宋体" w:eastAsia="宋体" w:cs="宋体"/>
                      <w:kern w:val="0"/>
                      <w:sz w:val="22"/>
                    </w:rPr>
                    <w:t>合计</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19562.51</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17635.7</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1926.81</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201</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一般公共服务支出</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1381.29</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1381.29</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20103</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政府办公厅（室）及相关机构事务</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1075.16</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1075.16</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2010301</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 xml:space="preserve">  </w:t>
                  </w:r>
                  <w:r>
                    <w:rPr>
                      <w:rFonts w:hint="eastAsia" w:ascii="宋体" w:hAnsi="宋体" w:eastAsia="宋体" w:cs="宋体"/>
                      <w:kern w:val="0"/>
                      <w:sz w:val="22"/>
                    </w:rPr>
                    <w:t>行政运行</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1075.16</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1075.16</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20106</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财政事务</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278.02</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278.02</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2010601</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 xml:space="preserve">  </w:t>
                  </w:r>
                  <w:r>
                    <w:rPr>
                      <w:rFonts w:hint="eastAsia" w:ascii="宋体" w:hAnsi="宋体" w:eastAsia="宋体" w:cs="宋体"/>
                      <w:kern w:val="0"/>
                      <w:sz w:val="22"/>
                    </w:rPr>
                    <w:t>行政运行</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276.02</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276.02</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2010602</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 xml:space="preserve">  </w:t>
                  </w:r>
                  <w:r>
                    <w:rPr>
                      <w:rFonts w:hint="eastAsia" w:ascii="宋体" w:hAnsi="宋体" w:eastAsia="宋体" w:cs="宋体"/>
                      <w:kern w:val="0"/>
                      <w:sz w:val="22"/>
                    </w:rPr>
                    <w:t>一般行政管理事务</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20107</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税收事务</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28.1</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28.1</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2010799</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 xml:space="preserve">  </w:t>
                  </w:r>
                  <w:r>
                    <w:rPr>
                      <w:rFonts w:hint="eastAsia" w:ascii="宋体" w:hAnsi="宋体" w:eastAsia="宋体" w:cs="宋体"/>
                      <w:kern w:val="0"/>
                      <w:sz w:val="22"/>
                    </w:rPr>
                    <w:t>其他税收事务支出</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28.1</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28.1</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204</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公共安全支出</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340.58</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340.58</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20402</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公安</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227.78</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227.78</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2040299</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 xml:space="preserve">  </w:t>
                  </w:r>
                  <w:r>
                    <w:rPr>
                      <w:rFonts w:hint="eastAsia" w:ascii="宋体" w:hAnsi="宋体" w:eastAsia="宋体" w:cs="宋体"/>
                      <w:kern w:val="0"/>
                      <w:sz w:val="22"/>
                    </w:rPr>
                    <w:t>其他公安支出</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227.78</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227.78</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20499</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其他公共安全支出</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112.8</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112.8</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2049901</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 xml:space="preserve">  </w:t>
                  </w:r>
                  <w:r>
                    <w:rPr>
                      <w:rFonts w:hint="eastAsia" w:ascii="宋体" w:hAnsi="宋体" w:eastAsia="宋体" w:cs="宋体"/>
                      <w:kern w:val="0"/>
                      <w:sz w:val="22"/>
                    </w:rPr>
                    <w:t>其他公共安全支出</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112.8</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112.8</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205</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教育支出</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586.56</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586.56</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20502</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普通教育</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586.56</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586.56</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2050299</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 xml:space="preserve">  </w:t>
                  </w:r>
                  <w:r>
                    <w:rPr>
                      <w:rFonts w:hint="eastAsia" w:ascii="宋体" w:hAnsi="宋体" w:eastAsia="宋体" w:cs="宋体"/>
                      <w:kern w:val="0"/>
                      <w:sz w:val="22"/>
                    </w:rPr>
                    <w:t>其他普通教育支出</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586.56</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586.56</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207</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文化旅游体育与传媒支出</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104.77</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104.77</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20701</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文化和旅游</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104.77</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104.77</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2070109</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 xml:space="preserve">  </w:t>
                  </w:r>
                  <w:r>
                    <w:rPr>
                      <w:rFonts w:hint="eastAsia" w:ascii="宋体" w:hAnsi="宋体" w:eastAsia="宋体" w:cs="宋体"/>
                      <w:kern w:val="0"/>
                      <w:sz w:val="22"/>
                    </w:rPr>
                    <w:t>群众文化</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104.77</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104.77</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208</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社会保障和就业支出</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169.27</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77.82</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91.46</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20801</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人力资源和社会保障管理事务</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91.46</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91.46</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2080199</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 xml:space="preserve">  </w:t>
                  </w:r>
                  <w:r>
                    <w:rPr>
                      <w:rFonts w:hint="eastAsia" w:ascii="宋体" w:hAnsi="宋体" w:eastAsia="宋体" w:cs="宋体"/>
                      <w:kern w:val="0"/>
                      <w:sz w:val="22"/>
                    </w:rPr>
                    <w:t>其他人力资源和社会保障管理事务支出</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91.46</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91.46</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20808</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抚恤</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30.81</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30.81</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2080899</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 xml:space="preserve">  </w:t>
                  </w:r>
                  <w:r>
                    <w:rPr>
                      <w:rFonts w:hint="eastAsia" w:ascii="宋体" w:hAnsi="宋体" w:eastAsia="宋体" w:cs="宋体"/>
                      <w:kern w:val="0"/>
                      <w:sz w:val="22"/>
                    </w:rPr>
                    <w:t>其他优抚支出</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30.81</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30.81</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20809</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退役安置</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47.01</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47.01</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2080901</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 xml:space="preserve">  </w:t>
                  </w:r>
                  <w:r>
                    <w:rPr>
                      <w:rFonts w:hint="eastAsia" w:ascii="宋体" w:hAnsi="宋体" w:eastAsia="宋体" w:cs="宋体"/>
                      <w:kern w:val="0"/>
                      <w:sz w:val="22"/>
                    </w:rPr>
                    <w:t>退役士兵安置</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47.01</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47.01</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210</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卫生健康支出</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281.51</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259.04</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22.48</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21001</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卫生健康管理事务</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139.88</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139.88</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2100101</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 xml:space="preserve">  </w:t>
                  </w:r>
                  <w:r>
                    <w:rPr>
                      <w:rFonts w:hint="eastAsia" w:ascii="宋体" w:hAnsi="宋体" w:eastAsia="宋体" w:cs="宋体"/>
                      <w:kern w:val="0"/>
                      <w:sz w:val="22"/>
                    </w:rPr>
                    <w:t>行政运行</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139.88</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139.88</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21003</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基层医疗卫生机构</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92.54</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92.54</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2100302</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 xml:space="preserve">  </w:t>
                  </w:r>
                  <w:r>
                    <w:rPr>
                      <w:rFonts w:hint="eastAsia" w:ascii="宋体" w:hAnsi="宋体" w:eastAsia="宋体" w:cs="宋体"/>
                      <w:kern w:val="0"/>
                      <w:sz w:val="22"/>
                    </w:rPr>
                    <w:t>乡镇卫生院</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92.54</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92.54</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21007</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计划生育事务</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26.62</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26.62</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2100799</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 xml:space="preserve">  </w:t>
                  </w:r>
                  <w:r>
                    <w:rPr>
                      <w:rFonts w:hint="eastAsia" w:ascii="宋体" w:hAnsi="宋体" w:eastAsia="宋体" w:cs="宋体"/>
                      <w:kern w:val="0"/>
                      <w:sz w:val="22"/>
                    </w:rPr>
                    <w:t>其他计划生育事务支出</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26.62</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26.62</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21099</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其他卫生健康支出</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22.48</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22.48</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2109901</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 xml:space="preserve">  </w:t>
                  </w:r>
                  <w:r>
                    <w:rPr>
                      <w:rFonts w:hint="eastAsia" w:ascii="宋体" w:hAnsi="宋体" w:eastAsia="宋体" w:cs="宋体"/>
                      <w:kern w:val="0"/>
                      <w:sz w:val="22"/>
                    </w:rPr>
                    <w:t>其他卫生健康支出</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22.48</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22.48</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211</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节能环保支出</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52.2</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52.2</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21104</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自然生态保护</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52.2</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52.2</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2110402</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 xml:space="preserve">  </w:t>
                  </w:r>
                  <w:r>
                    <w:rPr>
                      <w:rFonts w:hint="eastAsia" w:ascii="宋体" w:hAnsi="宋体" w:eastAsia="宋体" w:cs="宋体"/>
                      <w:kern w:val="0"/>
                      <w:sz w:val="22"/>
                    </w:rPr>
                    <w:t>农村环境保护</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50</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50</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2110499</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 xml:space="preserve">  </w:t>
                  </w:r>
                  <w:r>
                    <w:rPr>
                      <w:rFonts w:hint="eastAsia" w:ascii="宋体" w:hAnsi="宋体" w:eastAsia="宋体" w:cs="宋体"/>
                      <w:kern w:val="0"/>
                      <w:sz w:val="22"/>
                    </w:rPr>
                    <w:t>其他自然生态保护支出</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2.2</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2.2</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212</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城乡社区支出</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12457.68</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10644.8</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1812.88</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21202</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城乡社区规划与管理</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2306.65</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513.77</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1792.88</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2120201</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 xml:space="preserve">  </w:t>
                  </w:r>
                  <w:r>
                    <w:rPr>
                      <w:rFonts w:hint="eastAsia" w:ascii="宋体" w:hAnsi="宋体" w:eastAsia="宋体" w:cs="宋体"/>
                      <w:kern w:val="0"/>
                      <w:sz w:val="22"/>
                    </w:rPr>
                    <w:t>城乡社区规划与管理</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2306.65</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513.77</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1792.88</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21203</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城乡社区公共设施</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6924.61</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6904.61</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20</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2120399</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 xml:space="preserve">  </w:t>
                  </w:r>
                  <w:r>
                    <w:rPr>
                      <w:rFonts w:hint="eastAsia" w:ascii="宋体" w:hAnsi="宋体" w:eastAsia="宋体" w:cs="宋体"/>
                      <w:kern w:val="0"/>
                      <w:sz w:val="22"/>
                    </w:rPr>
                    <w:t>其他城乡社区公共设施支出</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6924.61</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6904.61</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20</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21208</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国有土地使用权出让收入及对应专项债务收入安排的支出</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5</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5</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2120804</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 xml:space="preserve">  </w:t>
                  </w:r>
                  <w:r>
                    <w:rPr>
                      <w:rFonts w:hint="eastAsia" w:ascii="宋体" w:hAnsi="宋体" w:eastAsia="宋体" w:cs="宋体"/>
                      <w:kern w:val="0"/>
                      <w:sz w:val="22"/>
                    </w:rPr>
                    <w:t>农村基础设施建设支出</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5</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5</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21299</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其他城乡社区支出</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3221.42</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3221.42</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2129901</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 xml:space="preserve">  2129901</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3221.42</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3221.42</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213</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农林水支出</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3547.64</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3547.64</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21301</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农业</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160.68</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160.68</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2130101</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 xml:space="preserve">  </w:t>
                  </w:r>
                  <w:r>
                    <w:rPr>
                      <w:rFonts w:hint="eastAsia" w:ascii="宋体" w:hAnsi="宋体" w:eastAsia="宋体" w:cs="宋体"/>
                      <w:kern w:val="0"/>
                      <w:sz w:val="22"/>
                    </w:rPr>
                    <w:t>行政运行</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139.92</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139.92</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2130152</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 xml:space="preserve">  </w:t>
                  </w:r>
                  <w:r>
                    <w:rPr>
                      <w:rFonts w:hint="eastAsia" w:ascii="宋体" w:hAnsi="宋体" w:eastAsia="宋体" w:cs="宋体"/>
                      <w:kern w:val="0"/>
                      <w:sz w:val="22"/>
                    </w:rPr>
                    <w:t>对高校毕业生到基层任职补助</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20.76</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20.76</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21399</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其他农林水支出</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3386.96</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3386.96</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2139999</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 xml:space="preserve">  </w:t>
                  </w:r>
                  <w:r>
                    <w:rPr>
                      <w:rFonts w:hint="eastAsia" w:ascii="宋体" w:hAnsi="宋体" w:eastAsia="宋体" w:cs="宋体"/>
                      <w:kern w:val="0"/>
                      <w:sz w:val="22"/>
                    </w:rPr>
                    <w:t>其他农林水支出</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3386.96</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3386.96</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214</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交通运输支出</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633</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633</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21401</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公路水路运输</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633</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633</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2140104</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 xml:space="preserve">  </w:t>
                  </w:r>
                  <w:r>
                    <w:rPr>
                      <w:rFonts w:hint="eastAsia" w:ascii="宋体" w:hAnsi="宋体" w:eastAsia="宋体" w:cs="宋体"/>
                      <w:kern w:val="0"/>
                      <w:sz w:val="22"/>
                    </w:rPr>
                    <w:t>公路建设</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633</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633</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224</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灾害防治及应急管理支出</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8</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8</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22403</w:t>
                  </w:r>
                </w:p>
              </w:tc>
              <w:tc>
                <w:tcPr>
                  <w:tcW w:w="2658" w:type="dxa"/>
                  <w:tcBorders>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森林消防事务</w:t>
                  </w:r>
                </w:p>
              </w:tc>
              <w:tc>
                <w:tcPr>
                  <w:tcW w:w="972"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8</w:t>
                  </w:r>
                </w:p>
              </w:tc>
              <w:tc>
                <w:tcPr>
                  <w:tcW w:w="90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8</w:t>
                  </w:r>
                </w:p>
              </w:tc>
              <w:tc>
                <w:tcPr>
                  <w:tcW w:w="865"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285" w:hRule="atLeast"/>
              </w:trPr>
              <w:tc>
                <w:tcPr>
                  <w:tcW w:w="1381" w:type="dxa"/>
                  <w:gridSpan w:val="3"/>
                  <w:tcBorders>
                    <w:left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2240304</w:t>
                  </w:r>
                </w:p>
              </w:tc>
              <w:tc>
                <w:tcPr>
                  <w:tcW w:w="2658" w:type="dxa"/>
                  <w:tcBorders>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 xml:space="preserve">  </w:t>
                  </w:r>
                  <w:r>
                    <w:rPr>
                      <w:rFonts w:hint="eastAsia" w:ascii="宋体" w:hAnsi="宋体" w:eastAsia="宋体" w:cs="宋体"/>
                      <w:kern w:val="0"/>
                      <w:sz w:val="22"/>
                    </w:rPr>
                    <w:t>森林消防应急救援</w:t>
                  </w:r>
                </w:p>
              </w:tc>
              <w:tc>
                <w:tcPr>
                  <w:tcW w:w="972" w:type="dxa"/>
                  <w:tcBorders>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8</w:t>
                  </w:r>
                </w:p>
              </w:tc>
              <w:tc>
                <w:tcPr>
                  <w:tcW w:w="900" w:type="dxa"/>
                  <w:tcBorders>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8</w:t>
                  </w:r>
                </w:p>
              </w:tc>
              <w:tc>
                <w:tcPr>
                  <w:tcW w:w="865" w:type="dxa"/>
                  <w:tcBorders>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720" w:type="dxa"/>
                  <w:tcBorders>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90" w:type="dxa"/>
                  <w:tcBorders>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968" w:type="dxa"/>
                  <w:tcBorders>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266" w:type="dxa"/>
                  <w:tcBorders>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285" w:hRule="atLeast"/>
              </w:trPr>
              <w:tc>
                <w:tcPr>
                  <w:tcW w:w="10720" w:type="dxa"/>
                  <w:gridSpan w:val="11"/>
                  <w:tcBorders>
                    <w:left w:val="single" w:color="000000" w:sz="4" w:space="0"/>
                    <w:bottom w:val="single" w:color="000000" w:sz="4" w:space="0"/>
                    <w:right w:val="single" w:color="000000" w:sz="4" w:space="0"/>
                  </w:tcBorders>
                  <w:noWrap/>
                  <w:vAlign w:val="center"/>
                </w:tcPr>
                <w:p>
                  <w:pPr>
                    <w:jc w:val="left"/>
                    <w:rPr>
                      <w:rFonts w:ascii="宋体" w:eastAsia="宋体" w:cs="宋体"/>
                      <w:sz w:val="24"/>
                      <w:szCs w:val="24"/>
                    </w:rPr>
                  </w:pPr>
                  <w:r>
                    <w:rPr>
                      <w:rFonts w:hint="eastAsia"/>
                    </w:rPr>
                    <w:t>注：本表反映部门本年度取得的各项收入情况。</w:t>
                  </w:r>
                </w:p>
                <w:p>
                  <w:pPr>
                    <w:widowControl/>
                    <w:jc w:val="right"/>
                    <w:rPr>
                      <w:rFonts w:ascii="宋体" w:hAnsi="宋体" w:eastAsia="宋体" w:cs="宋体"/>
                      <w:kern w:val="0"/>
                      <w:sz w:val="22"/>
                    </w:rPr>
                  </w:pPr>
                </w:p>
              </w:tc>
            </w:tr>
          </w:tbl>
          <w:p>
            <w:pPr>
              <w:widowControl/>
              <w:jc w:val="center"/>
              <w:textAlignment w:val="bottom"/>
              <w:rPr>
                <w:rFonts w:ascii="黑体" w:hAnsi="宋体" w:eastAsia="黑体" w:cs="黑体"/>
                <w:color w:val="000000"/>
                <w:kern w:val="0"/>
                <w:sz w:val="32"/>
                <w:szCs w:val="32"/>
              </w:rPr>
            </w:pPr>
          </w:p>
          <w:p>
            <w:pPr>
              <w:widowControl/>
              <w:jc w:val="center"/>
              <w:textAlignment w:val="bottom"/>
              <w:rPr>
                <w:rFonts w:ascii="黑体" w:hAnsi="宋体" w:eastAsia="黑体" w:cs="黑体"/>
                <w:color w:val="000000"/>
                <w:kern w:val="0"/>
                <w:sz w:val="32"/>
                <w:szCs w:val="32"/>
              </w:rPr>
            </w:pPr>
          </w:p>
          <w:p>
            <w:pPr>
              <w:widowControl/>
              <w:jc w:val="center"/>
              <w:textAlignment w:val="bottom"/>
              <w:rPr>
                <w:rFonts w:ascii="黑体" w:hAnsi="宋体" w:eastAsia="黑体" w:cs="黑体"/>
                <w:color w:val="000000"/>
                <w:kern w:val="0"/>
                <w:sz w:val="32"/>
                <w:szCs w:val="32"/>
              </w:rPr>
            </w:pPr>
          </w:p>
          <w:p>
            <w:pPr>
              <w:widowControl/>
              <w:jc w:val="center"/>
              <w:textAlignment w:val="bottom"/>
              <w:rPr>
                <w:rFonts w:ascii="黑体" w:hAnsi="宋体" w:eastAsia="黑体" w:cs="黑体"/>
                <w:color w:val="000000"/>
                <w:kern w:val="0"/>
                <w:sz w:val="32"/>
                <w:szCs w:val="32"/>
              </w:rPr>
            </w:pPr>
          </w:p>
          <w:p>
            <w:pPr>
              <w:widowControl/>
              <w:jc w:val="center"/>
              <w:textAlignment w:val="bottom"/>
              <w:rPr>
                <w:rFonts w:ascii="黑体" w:hAnsi="宋体" w:eastAsia="黑体" w:cs="黑体"/>
                <w:color w:val="000000"/>
                <w:kern w:val="0"/>
                <w:sz w:val="32"/>
                <w:szCs w:val="32"/>
              </w:rPr>
            </w:pPr>
          </w:p>
          <w:p>
            <w:pPr>
              <w:widowControl/>
              <w:jc w:val="center"/>
              <w:textAlignment w:val="bottom"/>
              <w:rPr>
                <w:rFonts w:ascii="黑体" w:hAnsi="宋体" w:eastAsia="黑体" w:cs="黑体"/>
                <w:color w:val="000000"/>
                <w:kern w:val="0"/>
                <w:sz w:val="32"/>
                <w:szCs w:val="32"/>
              </w:rPr>
            </w:pPr>
          </w:p>
          <w:p>
            <w:pPr>
              <w:widowControl/>
              <w:jc w:val="center"/>
              <w:textAlignment w:val="bottom"/>
              <w:rPr>
                <w:rFonts w:ascii="黑体" w:hAnsi="宋体" w:eastAsia="黑体" w:cs="黑体"/>
                <w:color w:val="000000"/>
                <w:kern w:val="0"/>
                <w:sz w:val="32"/>
                <w:szCs w:val="32"/>
              </w:rPr>
            </w:pPr>
          </w:p>
          <w:p>
            <w:pPr>
              <w:widowControl/>
              <w:jc w:val="center"/>
              <w:textAlignment w:val="bottom"/>
              <w:rPr>
                <w:rFonts w:ascii="黑体" w:hAnsi="宋体" w:eastAsia="黑体" w:cs="黑体"/>
                <w:color w:val="000000"/>
                <w:kern w:val="0"/>
                <w:sz w:val="32"/>
                <w:szCs w:val="32"/>
              </w:rPr>
            </w:pPr>
          </w:p>
          <w:p>
            <w:pPr>
              <w:widowControl/>
              <w:jc w:val="both"/>
              <w:textAlignment w:val="bottom"/>
              <w:rPr>
                <w:rFonts w:ascii="黑体" w:hAnsi="宋体" w:eastAsia="黑体" w:cs="黑体"/>
                <w:color w:val="000000"/>
                <w:kern w:val="0"/>
                <w:sz w:val="32"/>
                <w:szCs w:val="32"/>
              </w:rPr>
            </w:pPr>
          </w:p>
          <w:p>
            <w:pPr>
              <w:widowControl/>
              <w:textAlignment w:val="bottom"/>
              <w:rPr>
                <w:rFonts w:ascii="黑体" w:hAnsi="宋体" w:eastAsia="黑体" w:cs="黑体"/>
                <w:color w:val="000000"/>
                <w:sz w:val="32"/>
                <w:szCs w:val="32"/>
              </w:rPr>
            </w:pPr>
          </w:p>
        </w:tc>
      </w:tr>
      <w:tr>
        <w:tblPrEx>
          <w:tblCellMar>
            <w:top w:w="0" w:type="dxa"/>
            <w:left w:w="0" w:type="dxa"/>
            <w:bottom w:w="0" w:type="dxa"/>
            <w:right w:w="0" w:type="dxa"/>
          </w:tblCellMar>
        </w:tblPrEx>
        <w:trPr>
          <w:gridAfter w:val="3"/>
          <w:wAfter w:w="1890" w:type="dxa"/>
          <w:trHeight w:val="715" w:hRule="atLeast"/>
          <w:jc w:val="center"/>
        </w:trPr>
        <w:tc>
          <w:tcPr>
            <w:tcW w:w="10736" w:type="dxa"/>
            <w:gridSpan w:val="13"/>
            <w:tcBorders>
              <w:top w:val="nil"/>
              <w:left w:val="nil"/>
              <w:bottom w:val="nil"/>
              <w:right w:val="nil"/>
            </w:tcBorders>
            <w:noWrap/>
            <w:tcMar>
              <w:top w:w="13" w:type="dxa"/>
              <w:left w:w="13" w:type="dxa"/>
              <w:bottom w:w="0" w:type="dxa"/>
              <w:right w:w="13" w:type="dxa"/>
            </w:tcMar>
            <w:vAlign w:val="center"/>
          </w:tcPr>
          <w:p>
            <w:pPr>
              <w:tabs>
                <w:tab w:val="left" w:pos="2730"/>
                <w:tab w:val="center" w:pos="6530"/>
              </w:tabs>
              <w:ind w:left="919" w:leftChars="0" w:firstLine="638" w:firstLineChars="0"/>
              <w:jc w:val="left"/>
              <w:rPr>
                <w:rFonts w:ascii="黑体" w:hAnsi="宋体" w:eastAsia="黑体" w:cs="宋体"/>
                <w:sz w:val="32"/>
                <w:szCs w:val="32"/>
              </w:rPr>
            </w:pPr>
            <w:r>
              <w:rPr>
                <w:rFonts w:hint="eastAsia"/>
                <w:lang w:eastAsia="zh-CN"/>
              </w:rPr>
              <w:tab/>
            </w:r>
            <w:r>
              <w:rPr>
                <w:rFonts w:hint="eastAsia"/>
                <w:lang w:val="en-US" w:eastAsia="zh-CN"/>
              </w:rPr>
              <w:t xml:space="preserve">                 </w:t>
            </w:r>
            <w:r>
              <w:br w:type="page"/>
            </w:r>
            <w:r>
              <w:rPr>
                <w:rFonts w:hint="eastAsia" w:ascii="黑体" w:eastAsia="黑体"/>
                <w:sz w:val="32"/>
                <w:szCs w:val="32"/>
              </w:rPr>
              <w:t>支出决算表</w:t>
            </w:r>
          </w:p>
        </w:tc>
      </w:tr>
      <w:tr>
        <w:tblPrEx>
          <w:tblCellMar>
            <w:top w:w="0" w:type="dxa"/>
            <w:left w:w="0" w:type="dxa"/>
            <w:bottom w:w="0" w:type="dxa"/>
            <w:right w:w="0" w:type="dxa"/>
          </w:tblCellMar>
        </w:tblPrEx>
        <w:trPr>
          <w:trHeight w:val="285" w:hRule="atLeast"/>
          <w:jc w:val="center"/>
        </w:trPr>
        <w:tc>
          <w:tcPr>
            <w:tcW w:w="641" w:type="dxa"/>
            <w:tcBorders>
              <w:top w:val="nil"/>
              <w:left w:val="nil"/>
              <w:bottom w:val="nil"/>
              <w:right w:val="nil"/>
            </w:tcBorders>
            <w:noWrap/>
            <w:tcMar>
              <w:top w:w="13" w:type="dxa"/>
              <w:left w:w="13" w:type="dxa"/>
              <w:bottom w:w="0" w:type="dxa"/>
              <w:right w:w="13" w:type="dxa"/>
            </w:tcMar>
            <w:vAlign w:val="center"/>
          </w:tcPr>
          <w:p>
            <w:pPr>
              <w:rPr>
                <w:rFonts w:ascii="宋体" w:eastAsia="宋体" w:cs="宋体"/>
                <w:sz w:val="24"/>
                <w:szCs w:val="24"/>
              </w:rPr>
            </w:pPr>
          </w:p>
        </w:tc>
        <w:tc>
          <w:tcPr>
            <w:tcW w:w="90" w:type="dxa"/>
            <w:tcBorders>
              <w:top w:val="nil"/>
              <w:left w:val="nil"/>
              <w:bottom w:val="nil"/>
              <w:right w:val="nil"/>
            </w:tcBorders>
            <w:noWrap/>
            <w:tcMar>
              <w:top w:w="13" w:type="dxa"/>
              <w:left w:w="13" w:type="dxa"/>
              <w:bottom w:w="0" w:type="dxa"/>
              <w:right w:w="13" w:type="dxa"/>
            </w:tcMar>
            <w:vAlign w:val="center"/>
          </w:tcPr>
          <w:p>
            <w:pPr>
              <w:rPr>
                <w:rFonts w:ascii="宋体" w:hAnsi="宋体" w:eastAsia="宋体" w:cs="宋体"/>
                <w:sz w:val="20"/>
                <w:szCs w:val="20"/>
              </w:rPr>
            </w:pPr>
          </w:p>
        </w:tc>
        <w:tc>
          <w:tcPr>
            <w:tcW w:w="1409" w:type="dxa"/>
            <w:tcBorders>
              <w:top w:val="nil"/>
              <w:left w:val="nil"/>
              <w:bottom w:val="nil"/>
              <w:right w:val="nil"/>
            </w:tcBorders>
            <w:noWrap/>
            <w:tcMar>
              <w:top w:w="13" w:type="dxa"/>
              <w:left w:w="13" w:type="dxa"/>
              <w:bottom w:w="0" w:type="dxa"/>
              <w:right w:w="13" w:type="dxa"/>
            </w:tcMar>
            <w:vAlign w:val="center"/>
          </w:tcPr>
          <w:p>
            <w:pPr>
              <w:rPr>
                <w:rFonts w:ascii="宋体" w:hAnsi="宋体" w:eastAsia="宋体" w:cs="宋体"/>
                <w:sz w:val="20"/>
                <w:szCs w:val="20"/>
              </w:rPr>
            </w:pPr>
          </w:p>
        </w:tc>
        <w:tc>
          <w:tcPr>
            <w:tcW w:w="3015" w:type="dxa"/>
            <w:gridSpan w:val="3"/>
            <w:tcBorders>
              <w:top w:val="nil"/>
              <w:left w:val="nil"/>
              <w:bottom w:val="nil"/>
              <w:right w:val="nil"/>
            </w:tcBorders>
            <w:noWrap/>
            <w:tcMar>
              <w:top w:w="13" w:type="dxa"/>
              <w:left w:w="13" w:type="dxa"/>
              <w:bottom w:w="0" w:type="dxa"/>
              <w:right w:w="13" w:type="dxa"/>
            </w:tcMar>
            <w:vAlign w:val="center"/>
          </w:tcPr>
          <w:p>
            <w:pPr>
              <w:ind w:left="418" w:leftChars="0" w:hanging="418" w:hangingChars="209"/>
              <w:rPr>
                <w:rFonts w:ascii="宋体" w:hAnsi="宋体" w:eastAsia="宋体" w:cs="宋体"/>
                <w:sz w:val="20"/>
                <w:szCs w:val="20"/>
              </w:rPr>
            </w:pPr>
          </w:p>
        </w:tc>
        <w:tc>
          <w:tcPr>
            <w:tcW w:w="2375" w:type="dxa"/>
            <w:gridSpan w:val="4"/>
            <w:tcBorders>
              <w:top w:val="nil"/>
              <w:left w:val="nil"/>
              <w:bottom w:val="nil"/>
              <w:right w:val="nil"/>
            </w:tcBorders>
            <w:noWrap/>
            <w:tcMar>
              <w:top w:w="13" w:type="dxa"/>
              <w:left w:w="13" w:type="dxa"/>
              <w:bottom w:w="0" w:type="dxa"/>
              <w:right w:w="13" w:type="dxa"/>
            </w:tcMar>
            <w:vAlign w:val="center"/>
          </w:tcPr>
          <w:p>
            <w:pPr>
              <w:rPr>
                <w:rFonts w:ascii="宋体" w:hAnsi="宋体" w:eastAsia="宋体" w:cs="宋体"/>
                <w:sz w:val="20"/>
                <w:szCs w:val="20"/>
              </w:rPr>
            </w:pPr>
          </w:p>
        </w:tc>
        <w:tc>
          <w:tcPr>
            <w:tcW w:w="796" w:type="dxa"/>
            <w:tcBorders>
              <w:top w:val="nil"/>
              <w:left w:val="nil"/>
              <w:bottom w:val="nil"/>
              <w:right w:val="nil"/>
            </w:tcBorders>
            <w:noWrap/>
            <w:tcMar>
              <w:top w:w="13" w:type="dxa"/>
              <w:left w:w="13" w:type="dxa"/>
              <w:bottom w:w="0" w:type="dxa"/>
              <w:right w:w="13" w:type="dxa"/>
            </w:tcMar>
            <w:vAlign w:val="center"/>
          </w:tcPr>
          <w:p>
            <w:pPr>
              <w:rPr>
                <w:rFonts w:ascii="宋体" w:hAnsi="宋体" w:eastAsia="宋体" w:cs="宋体"/>
                <w:sz w:val="20"/>
                <w:szCs w:val="20"/>
              </w:rPr>
            </w:pPr>
          </w:p>
        </w:tc>
        <w:tc>
          <w:tcPr>
            <w:tcW w:w="2410" w:type="dxa"/>
            <w:gridSpan w:val="2"/>
            <w:tcBorders>
              <w:top w:val="nil"/>
              <w:left w:val="nil"/>
              <w:bottom w:val="nil"/>
              <w:right w:val="nil"/>
            </w:tcBorders>
            <w:noWrap/>
            <w:tcMar>
              <w:top w:w="13" w:type="dxa"/>
              <w:left w:w="13" w:type="dxa"/>
              <w:bottom w:w="0" w:type="dxa"/>
              <w:right w:w="13" w:type="dxa"/>
            </w:tcMar>
            <w:vAlign w:val="center"/>
          </w:tcPr>
          <w:p>
            <w:pPr>
              <w:rPr>
                <w:rFonts w:ascii="宋体" w:hAnsi="宋体" w:eastAsia="宋体" w:cs="宋体"/>
                <w:sz w:val="20"/>
                <w:szCs w:val="20"/>
              </w:rPr>
            </w:pPr>
            <w:r>
              <w:rPr>
                <w:rFonts w:hint="eastAsia" w:ascii="宋体" w:hAnsi="宋体" w:eastAsia="宋体"/>
                <w:sz w:val="20"/>
                <w:szCs w:val="20"/>
              </w:rPr>
              <w:t>公开</w:t>
            </w:r>
            <w:r>
              <w:rPr>
                <w:rFonts w:ascii="宋体" w:hAnsi="宋体" w:eastAsia="宋体"/>
                <w:sz w:val="20"/>
                <w:szCs w:val="20"/>
              </w:rPr>
              <w:t>03</w:t>
            </w:r>
            <w:r>
              <w:rPr>
                <w:rFonts w:hint="eastAsia" w:ascii="宋体" w:hAnsi="宋体" w:eastAsia="宋体"/>
                <w:sz w:val="20"/>
                <w:szCs w:val="20"/>
              </w:rPr>
              <w:t>表</w:t>
            </w:r>
          </w:p>
        </w:tc>
        <w:tc>
          <w:tcPr>
            <w:tcW w:w="446" w:type="dxa"/>
            <w:tcBorders>
              <w:top w:val="nil"/>
              <w:left w:val="nil"/>
              <w:bottom w:val="nil"/>
              <w:right w:val="nil"/>
            </w:tcBorders>
            <w:noWrap/>
            <w:tcMar>
              <w:top w:w="13" w:type="dxa"/>
              <w:left w:w="13" w:type="dxa"/>
              <w:bottom w:w="0" w:type="dxa"/>
              <w:right w:w="13" w:type="dxa"/>
            </w:tcMar>
            <w:vAlign w:val="center"/>
          </w:tcPr>
          <w:p>
            <w:pPr>
              <w:rPr>
                <w:rFonts w:ascii="宋体" w:hAnsi="宋体" w:eastAsia="宋体" w:cs="宋体"/>
                <w:sz w:val="20"/>
                <w:szCs w:val="20"/>
              </w:rPr>
            </w:pPr>
          </w:p>
        </w:tc>
        <w:tc>
          <w:tcPr>
            <w:tcW w:w="240" w:type="dxa"/>
            <w:tcBorders>
              <w:top w:val="nil"/>
              <w:left w:val="nil"/>
              <w:bottom w:val="nil"/>
              <w:right w:val="nil"/>
            </w:tcBorders>
            <w:noWrap/>
            <w:tcMar>
              <w:top w:w="13" w:type="dxa"/>
              <w:left w:w="13" w:type="dxa"/>
              <w:bottom w:w="0" w:type="dxa"/>
              <w:right w:w="13" w:type="dxa"/>
            </w:tcMar>
            <w:vAlign w:val="center"/>
          </w:tcPr>
          <w:p>
            <w:pPr>
              <w:rPr>
                <w:rFonts w:ascii="宋体" w:hAnsi="宋体" w:eastAsia="宋体" w:cs="宋体"/>
                <w:sz w:val="20"/>
                <w:szCs w:val="20"/>
              </w:rPr>
            </w:pPr>
          </w:p>
        </w:tc>
        <w:tc>
          <w:tcPr>
            <w:tcW w:w="1204" w:type="dxa"/>
            <w:tcBorders>
              <w:top w:val="nil"/>
              <w:left w:val="nil"/>
              <w:bottom w:val="nil"/>
              <w:right w:val="nil"/>
            </w:tcBorders>
            <w:noWrap/>
            <w:tcMar>
              <w:top w:w="13" w:type="dxa"/>
              <w:left w:w="13" w:type="dxa"/>
              <w:bottom w:w="0" w:type="dxa"/>
              <w:right w:w="13" w:type="dxa"/>
            </w:tcMar>
            <w:vAlign w:val="bottom"/>
          </w:tcPr>
          <w:p>
            <w:pPr>
              <w:jc w:val="both"/>
              <w:rPr>
                <w:rFonts w:ascii="宋体" w:hAnsi="宋体" w:eastAsia="宋体" w:cs="宋体"/>
                <w:sz w:val="20"/>
                <w:szCs w:val="20"/>
              </w:rPr>
            </w:pPr>
          </w:p>
        </w:tc>
      </w:tr>
      <w:tr>
        <w:tblPrEx>
          <w:tblCellMar>
            <w:top w:w="0" w:type="dxa"/>
            <w:left w:w="0" w:type="dxa"/>
            <w:bottom w:w="0" w:type="dxa"/>
            <w:right w:w="0" w:type="dxa"/>
          </w:tblCellMar>
        </w:tblPrEx>
        <w:trPr>
          <w:gridAfter w:val="3"/>
          <w:wAfter w:w="1890" w:type="dxa"/>
          <w:trHeight w:val="285" w:hRule="atLeast"/>
          <w:jc w:val="center"/>
        </w:trPr>
        <w:tc>
          <w:tcPr>
            <w:tcW w:w="7006" w:type="dxa"/>
            <w:gridSpan w:val="9"/>
            <w:tcBorders>
              <w:top w:val="nil"/>
              <w:left w:val="nil"/>
              <w:bottom w:val="nil"/>
              <w:right w:val="nil"/>
            </w:tcBorders>
            <w:noWrap/>
            <w:tcMar>
              <w:top w:w="13" w:type="dxa"/>
              <w:left w:w="13" w:type="dxa"/>
              <w:bottom w:w="0" w:type="dxa"/>
              <w:right w:w="13" w:type="dxa"/>
            </w:tcMar>
            <w:vAlign w:val="center"/>
          </w:tcPr>
          <w:p>
            <w:pPr>
              <w:ind w:firstLine="400" w:firstLineChars="200"/>
              <w:rPr>
                <w:rFonts w:ascii="宋体" w:hAnsi="宋体" w:eastAsia="宋体" w:cs="宋体"/>
                <w:sz w:val="20"/>
                <w:szCs w:val="20"/>
              </w:rPr>
            </w:pPr>
            <w:r>
              <w:rPr>
                <w:rFonts w:hint="eastAsia" w:ascii="宋体" w:hAnsi="宋体" w:eastAsia="宋体"/>
                <w:sz w:val="20"/>
                <w:szCs w:val="20"/>
              </w:rPr>
              <w:t>部门：石家庄市鹿泉区铜冶镇人民政府</w:t>
            </w:r>
          </w:p>
        </w:tc>
        <w:tc>
          <w:tcPr>
            <w:tcW w:w="524" w:type="dxa"/>
            <w:tcBorders>
              <w:top w:val="nil"/>
              <w:left w:val="nil"/>
              <w:bottom w:val="nil"/>
              <w:right w:val="nil"/>
            </w:tcBorders>
            <w:noWrap/>
            <w:tcMar>
              <w:top w:w="13" w:type="dxa"/>
              <w:left w:w="13" w:type="dxa"/>
              <w:bottom w:w="0" w:type="dxa"/>
              <w:right w:w="13" w:type="dxa"/>
            </w:tcMar>
            <w:vAlign w:val="center"/>
          </w:tcPr>
          <w:p>
            <w:pPr>
              <w:rPr>
                <w:rFonts w:ascii="宋体" w:hAnsi="宋体" w:eastAsia="宋体" w:cs="宋体"/>
                <w:sz w:val="20"/>
                <w:szCs w:val="20"/>
              </w:rPr>
            </w:pPr>
          </w:p>
        </w:tc>
        <w:tc>
          <w:tcPr>
            <w:tcW w:w="3206" w:type="dxa"/>
            <w:gridSpan w:val="3"/>
            <w:tcBorders>
              <w:top w:val="nil"/>
              <w:left w:val="nil"/>
              <w:bottom w:val="nil"/>
              <w:right w:val="nil"/>
            </w:tcBorders>
            <w:noWrap/>
            <w:tcMar>
              <w:top w:w="13" w:type="dxa"/>
              <w:left w:w="13" w:type="dxa"/>
              <w:bottom w:w="0" w:type="dxa"/>
              <w:right w:w="13" w:type="dxa"/>
            </w:tcMar>
            <w:vAlign w:val="bottom"/>
          </w:tcPr>
          <w:p>
            <w:pPr>
              <w:jc w:val="right"/>
              <w:rPr>
                <w:rFonts w:ascii="宋体" w:hAnsi="宋体" w:eastAsia="宋体" w:cs="宋体"/>
                <w:sz w:val="20"/>
                <w:szCs w:val="20"/>
              </w:rPr>
            </w:pPr>
            <w:r>
              <w:rPr>
                <w:rFonts w:hint="eastAsia" w:ascii="宋体" w:hAnsi="宋体" w:eastAsia="宋体"/>
                <w:sz w:val="20"/>
                <w:szCs w:val="20"/>
              </w:rPr>
              <w:t>金额单位：万元</w:t>
            </w:r>
          </w:p>
        </w:tc>
      </w:tr>
      <w:tr>
        <w:tblPrEx>
          <w:tblCellMar>
            <w:top w:w="0" w:type="dxa"/>
            <w:left w:w="0" w:type="dxa"/>
            <w:bottom w:w="0" w:type="dxa"/>
            <w:right w:w="0" w:type="dxa"/>
          </w:tblCellMar>
        </w:tblPrEx>
        <w:trPr>
          <w:gridAfter w:val="3"/>
          <w:wAfter w:w="1890" w:type="dxa"/>
          <w:trHeight w:val="285" w:hRule="atLeast"/>
          <w:jc w:val="center"/>
        </w:trPr>
        <w:tc>
          <w:tcPr>
            <w:tcW w:w="7006" w:type="dxa"/>
            <w:gridSpan w:val="9"/>
            <w:tcBorders>
              <w:top w:val="nil"/>
              <w:left w:val="nil"/>
              <w:bottom w:val="nil"/>
              <w:right w:val="nil"/>
            </w:tcBorders>
            <w:noWrap/>
            <w:tcMar>
              <w:top w:w="13" w:type="dxa"/>
              <w:left w:w="13" w:type="dxa"/>
              <w:bottom w:w="0" w:type="dxa"/>
              <w:right w:w="13" w:type="dxa"/>
            </w:tcMar>
            <w:vAlign w:val="center"/>
          </w:tcPr>
          <w:p>
            <w:pPr>
              <w:rPr>
                <w:rFonts w:hint="eastAsia" w:ascii="宋体" w:hAnsi="宋体" w:eastAsia="宋体"/>
                <w:sz w:val="20"/>
                <w:szCs w:val="20"/>
              </w:rPr>
            </w:pPr>
          </w:p>
        </w:tc>
        <w:tc>
          <w:tcPr>
            <w:tcW w:w="524" w:type="dxa"/>
            <w:tcBorders>
              <w:top w:val="nil"/>
              <w:left w:val="nil"/>
              <w:bottom w:val="nil"/>
              <w:right w:val="nil"/>
            </w:tcBorders>
            <w:noWrap/>
            <w:tcMar>
              <w:top w:w="13" w:type="dxa"/>
              <w:left w:w="13" w:type="dxa"/>
              <w:bottom w:w="0" w:type="dxa"/>
              <w:right w:w="13" w:type="dxa"/>
            </w:tcMar>
            <w:vAlign w:val="center"/>
          </w:tcPr>
          <w:p>
            <w:pPr>
              <w:rPr>
                <w:rFonts w:ascii="宋体" w:hAnsi="宋体" w:eastAsia="宋体" w:cs="宋体"/>
                <w:sz w:val="20"/>
                <w:szCs w:val="20"/>
              </w:rPr>
            </w:pPr>
          </w:p>
        </w:tc>
        <w:tc>
          <w:tcPr>
            <w:tcW w:w="3206" w:type="dxa"/>
            <w:gridSpan w:val="3"/>
            <w:tcBorders>
              <w:top w:val="nil"/>
              <w:left w:val="nil"/>
              <w:bottom w:val="nil"/>
              <w:right w:val="nil"/>
            </w:tcBorders>
            <w:noWrap/>
            <w:tcMar>
              <w:top w:w="13" w:type="dxa"/>
              <w:left w:w="13" w:type="dxa"/>
              <w:bottom w:w="0" w:type="dxa"/>
              <w:right w:w="13" w:type="dxa"/>
            </w:tcMar>
            <w:vAlign w:val="bottom"/>
          </w:tcPr>
          <w:p>
            <w:pPr>
              <w:jc w:val="right"/>
              <w:rPr>
                <w:rFonts w:hint="eastAsia" w:ascii="宋体" w:hAnsi="宋体" w:eastAsia="宋体"/>
                <w:sz w:val="20"/>
                <w:szCs w:val="20"/>
              </w:rPr>
            </w:pPr>
          </w:p>
        </w:tc>
      </w:tr>
      <w:tr>
        <w:tblPrEx>
          <w:tblCellMar>
            <w:top w:w="0" w:type="dxa"/>
            <w:left w:w="0" w:type="dxa"/>
            <w:bottom w:w="0" w:type="dxa"/>
            <w:right w:w="0" w:type="dxa"/>
          </w:tblCellMar>
        </w:tblPrEx>
        <w:trPr>
          <w:gridAfter w:val="3"/>
          <w:wAfter w:w="1890" w:type="dxa"/>
          <w:trHeight w:val="308" w:hRule="atLeast"/>
          <w:jc w:val="center"/>
        </w:trPr>
        <w:tc>
          <w:tcPr>
            <w:tcW w:w="3150" w:type="dxa"/>
            <w:gridSpan w:val="4"/>
            <w:tcBorders>
              <w:top w:val="single" w:color="000000" w:sz="4" w:space="0"/>
              <w:left w:val="single" w:color="000000" w:sz="4" w:space="0"/>
              <w:bottom w:val="single" w:color="000000" w:sz="4" w:space="0"/>
              <w:right w:val="single" w:color="000000" w:sz="4" w:space="0"/>
            </w:tcBorders>
            <w:shd w:val="clear" w:color="auto" w:fill="FFFFFF" w:themeFill="background1"/>
            <w:noWrap/>
            <w:tcMar>
              <w:top w:w="13" w:type="dxa"/>
              <w:left w:w="13" w:type="dxa"/>
              <w:bottom w:w="0" w:type="dxa"/>
              <w:right w:w="13" w:type="dxa"/>
            </w:tcMar>
            <w:vAlign w:val="center"/>
          </w:tcPr>
          <w:p>
            <w:pPr>
              <w:jc w:val="center"/>
              <w:rPr>
                <w:rFonts w:ascii="宋体" w:eastAsia="宋体" w:cs="宋体"/>
                <w:sz w:val="22"/>
              </w:rPr>
            </w:pPr>
            <w:r>
              <w:rPr>
                <w:rFonts w:hint="eastAsia"/>
                <w:sz w:val="22"/>
              </w:rPr>
              <w:t>项目</w:t>
            </w:r>
          </w:p>
        </w:tc>
        <w:tc>
          <w:tcPr>
            <w:tcW w:w="1908" w:type="dxa"/>
            <w:vMerge w:val="restart"/>
            <w:tcBorders>
              <w:top w:val="single" w:color="000000" w:sz="4" w:space="0"/>
              <w:left w:val="nil"/>
              <w:bottom w:val="single" w:color="000000" w:sz="4" w:space="0"/>
              <w:right w:val="single" w:color="000000" w:sz="4" w:space="0"/>
            </w:tcBorders>
            <w:shd w:val="clear" w:color="auto" w:fill="FFFFFF" w:themeFill="background1"/>
            <w:tcMar>
              <w:top w:w="13" w:type="dxa"/>
              <w:left w:w="13" w:type="dxa"/>
              <w:bottom w:w="0" w:type="dxa"/>
              <w:right w:w="13" w:type="dxa"/>
            </w:tcMar>
            <w:vAlign w:val="center"/>
          </w:tcPr>
          <w:p>
            <w:pPr>
              <w:jc w:val="center"/>
              <w:rPr>
                <w:rFonts w:ascii="宋体" w:hAnsi="宋体" w:eastAsia="宋体" w:cs="宋体"/>
                <w:sz w:val="22"/>
              </w:rPr>
            </w:pPr>
            <w:r>
              <w:rPr>
                <w:rFonts w:hint="eastAsia" w:ascii="宋体" w:hAnsi="宋体" w:eastAsia="宋体"/>
                <w:sz w:val="22"/>
              </w:rPr>
              <w:t>本年支出合计</w:t>
            </w:r>
          </w:p>
        </w:tc>
        <w:tc>
          <w:tcPr>
            <w:tcW w:w="796" w:type="dxa"/>
            <w:gridSpan w:val="2"/>
            <w:vMerge w:val="restart"/>
            <w:tcBorders>
              <w:top w:val="single" w:color="000000" w:sz="4" w:space="0"/>
              <w:left w:val="nil"/>
              <w:bottom w:val="single" w:color="000000" w:sz="4" w:space="0"/>
              <w:right w:val="single" w:color="000000" w:sz="4" w:space="0"/>
            </w:tcBorders>
            <w:shd w:val="clear" w:color="auto" w:fill="FFFFFF" w:themeFill="background1"/>
            <w:tcMar>
              <w:top w:w="13" w:type="dxa"/>
              <w:left w:w="13" w:type="dxa"/>
              <w:bottom w:w="0" w:type="dxa"/>
              <w:right w:w="13" w:type="dxa"/>
            </w:tcMar>
            <w:vAlign w:val="center"/>
          </w:tcPr>
          <w:p>
            <w:pPr>
              <w:jc w:val="center"/>
              <w:rPr>
                <w:rFonts w:ascii="宋体" w:hAnsi="宋体" w:eastAsia="宋体" w:cs="宋体"/>
                <w:sz w:val="22"/>
              </w:rPr>
            </w:pPr>
            <w:r>
              <w:rPr>
                <w:rFonts w:hint="eastAsia" w:ascii="宋体" w:hAnsi="宋体" w:eastAsia="宋体"/>
                <w:sz w:val="22"/>
              </w:rPr>
              <w:t>基本支出</w:t>
            </w:r>
          </w:p>
        </w:tc>
        <w:tc>
          <w:tcPr>
            <w:tcW w:w="906" w:type="dxa"/>
            <w:vMerge w:val="restart"/>
            <w:tcBorders>
              <w:top w:val="single" w:color="000000" w:sz="4" w:space="0"/>
              <w:left w:val="nil"/>
              <w:bottom w:val="single" w:color="000000" w:sz="4" w:space="0"/>
              <w:right w:val="single" w:color="000000" w:sz="4" w:space="0"/>
            </w:tcBorders>
            <w:shd w:val="clear" w:color="auto" w:fill="FFFFFF" w:themeFill="background1"/>
            <w:tcMar>
              <w:top w:w="13" w:type="dxa"/>
              <w:left w:w="13" w:type="dxa"/>
              <w:bottom w:w="0" w:type="dxa"/>
              <w:right w:w="13" w:type="dxa"/>
            </w:tcMar>
            <w:vAlign w:val="center"/>
          </w:tcPr>
          <w:p>
            <w:pPr>
              <w:jc w:val="center"/>
              <w:rPr>
                <w:rFonts w:ascii="宋体" w:hAnsi="宋体" w:eastAsia="宋体" w:cs="宋体"/>
                <w:sz w:val="22"/>
              </w:rPr>
            </w:pPr>
            <w:r>
              <w:rPr>
                <w:rFonts w:hint="eastAsia" w:ascii="宋体" w:hAnsi="宋体" w:eastAsia="宋体"/>
                <w:sz w:val="22"/>
              </w:rPr>
              <w:t>项目支出</w:t>
            </w:r>
          </w:p>
        </w:tc>
        <w:tc>
          <w:tcPr>
            <w:tcW w:w="246" w:type="dxa"/>
            <w:vMerge w:val="restart"/>
            <w:tcBorders>
              <w:top w:val="single" w:color="000000" w:sz="4" w:space="0"/>
              <w:left w:val="nil"/>
              <w:bottom w:val="single" w:color="000000" w:sz="4" w:space="0"/>
              <w:right w:val="single" w:color="000000" w:sz="4" w:space="0"/>
            </w:tcBorders>
            <w:shd w:val="clear" w:color="auto" w:fill="FFFFFF" w:themeFill="background1"/>
            <w:tcMar>
              <w:top w:w="13" w:type="dxa"/>
              <w:left w:w="13" w:type="dxa"/>
              <w:bottom w:w="0" w:type="dxa"/>
              <w:right w:w="13" w:type="dxa"/>
            </w:tcMar>
            <w:vAlign w:val="center"/>
          </w:tcPr>
          <w:p>
            <w:pPr>
              <w:jc w:val="center"/>
              <w:rPr>
                <w:rFonts w:ascii="宋体" w:hAnsi="宋体" w:eastAsia="宋体" w:cs="宋体"/>
                <w:sz w:val="22"/>
              </w:rPr>
            </w:pPr>
            <w:r>
              <w:rPr>
                <w:rFonts w:hint="eastAsia" w:ascii="宋体" w:hAnsi="宋体" w:eastAsia="宋体"/>
                <w:sz w:val="22"/>
              </w:rPr>
              <w:t>上缴上级支出</w:t>
            </w:r>
          </w:p>
        </w:tc>
        <w:tc>
          <w:tcPr>
            <w:tcW w:w="524" w:type="dxa"/>
            <w:vMerge w:val="restart"/>
            <w:tcBorders>
              <w:top w:val="single" w:color="000000" w:sz="4" w:space="0"/>
              <w:left w:val="nil"/>
              <w:bottom w:val="single" w:color="000000" w:sz="4" w:space="0"/>
              <w:right w:val="single" w:color="000000" w:sz="4" w:space="0"/>
            </w:tcBorders>
            <w:shd w:val="clear" w:color="auto" w:fill="FFFFFF" w:themeFill="background1"/>
            <w:tcMar>
              <w:top w:w="13" w:type="dxa"/>
              <w:left w:w="13" w:type="dxa"/>
              <w:bottom w:w="0" w:type="dxa"/>
              <w:right w:w="13" w:type="dxa"/>
            </w:tcMar>
            <w:vAlign w:val="center"/>
          </w:tcPr>
          <w:p>
            <w:pPr>
              <w:jc w:val="center"/>
              <w:rPr>
                <w:rFonts w:ascii="宋体" w:hAnsi="宋体" w:eastAsia="宋体" w:cs="宋体"/>
                <w:sz w:val="22"/>
              </w:rPr>
            </w:pPr>
            <w:r>
              <w:rPr>
                <w:rFonts w:hint="eastAsia" w:ascii="宋体" w:hAnsi="宋体" w:eastAsia="宋体"/>
                <w:sz w:val="22"/>
              </w:rPr>
              <w:t>经营支出</w:t>
            </w:r>
          </w:p>
        </w:tc>
        <w:tc>
          <w:tcPr>
            <w:tcW w:w="3206" w:type="dxa"/>
            <w:gridSpan w:val="3"/>
            <w:vMerge w:val="restart"/>
            <w:tcBorders>
              <w:top w:val="single" w:color="000000" w:sz="4" w:space="0"/>
              <w:left w:val="nil"/>
              <w:bottom w:val="single" w:color="000000" w:sz="4" w:space="0"/>
              <w:right w:val="single" w:color="000000" w:sz="4" w:space="0"/>
            </w:tcBorders>
            <w:shd w:val="clear" w:color="auto" w:fill="FFFFFF" w:themeFill="background1"/>
            <w:tcMar>
              <w:top w:w="13" w:type="dxa"/>
              <w:left w:w="13" w:type="dxa"/>
              <w:bottom w:w="0" w:type="dxa"/>
              <w:right w:w="13" w:type="dxa"/>
            </w:tcMar>
            <w:vAlign w:val="center"/>
          </w:tcPr>
          <w:p>
            <w:pPr>
              <w:jc w:val="center"/>
              <w:rPr>
                <w:rFonts w:ascii="宋体" w:hAnsi="宋体" w:eastAsia="宋体" w:cs="宋体"/>
                <w:sz w:val="22"/>
              </w:rPr>
            </w:pPr>
            <w:r>
              <w:rPr>
                <w:rFonts w:hint="eastAsia" w:ascii="宋体" w:hAnsi="宋体" w:eastAsia="宋体"/>
                <w:sz w:val="22"/>
              </w:rPr>
              <w:t>对附属单位补助支出</w:t>
            </w:r>
          </w:p>
        </w:tc>
      </w:tr>
      <w:tr>
        <w:tblPrEx>
          <w:tblCellMar>
            <w:top w:w="0" w:type="dxa"/>
            <w:left w:w="0" w:type="dxa"/>
            <w:bottom w:w="0" w:type="dxa"/>
            <w:right w:w="0" w:type="dxa"/>
          </w:tblCellMar>
        </w:tblPrEx>
        <w:trPr>
          <w:gridAfter w:val="3"/>
          <w:wAfter w:w="1890" w:type="dxa"/>
          <w:trHeight w:val="312" w:hRule="atLeast"/>
          <w:jc w:val="center"/>
        </w:trPr>
        <w:tc>
          <w:tcPr>
            <w:tcW w:w="641" w:type="dxa"/>
            <w:vMerge w:val="restart"/>
            <w:tcBorders>
              <w:top w:val="nil"/>
              <w:left w:val="single" w:color="000000" w:sz="4" w:space="0"/>
              <w:bottom w:val="single" w:color="000000" w:sz="4" w:space="0"/>
              <w:right w:val="single" w:color="000000" w:sz="4" w:space="0"/>
            </w:tcBorders>
            <w:shd w:val="clear" w:color="auto" w:fill="FFFFFF" w:themeFill="background1"/>
            <w:tcMar>
              <w:top w:w="13" w:type="dxa"/>
              <w:left w:w="13" w:type="dxa"/>
              <w:bottom w:w="0" w:type="dxa"/>
              <w:right w:w="13" w:type="dxa"/>
            </w:tcMar>
            <w:vAlign w:val="center"/>
          </w:tcPr>
          <w:p>
            <w:pPr>
              <w:jc w:val="center"/>
              <w:rPr>
                <w:rFonts w:ascii="宋体" w:hAnsi="宋体" w:eastAsia="宋体" w:cs="宋体"/>
                <w:sz w:val="22"/>
              </w:rPr>
            </w:pPr>
            <w:r>
              <w:rPr>
                <w:rFonts w:hint="eastAsia" w:ascii="宋体" w:hAnsi="宋体" w:eastAsia="宋体"/>
                <w:sz w:val="22"/>
              </w:rPr>
              <w:t>功能分类科目编码</w:t>
            </w:r>
          </w:p>
        </w:tc>
        <w:tc>
          <w:tcPr>
            <w:tcW w:w="2509" w:type="dxa"/>
            <w:gridSpan w:val="3"/>
            <w:vMerge w:val="restart"/>
            <w:tcBorders>
              <w:top w:val="nil"/>
              <w:left w:val="nil"/>
              <w:bottom w:val="single" w:color="000000" w:sz="4" w:space="0"/>
              <w:right w:val="single" w:color="000000" w:sz="4" w:space="0"/>
            </w:tcBorders>
            <w:shd w:val="clear" w:color="auto" w:fill="FFFFFF" w:themeFill="background1"/>
            <w:noWrap/>
            <w:tcMar>
              <w:top w:w="13" w:type="dxa"/>
              <w:left w:w="13" w:type="dxa"/>
              <w:bottom w:w="0" w:type="dxa"/>
              <w:right w:w="13" w:type="dxa"/>
            </w:tcMar>
            <w:vAlign w:val="center"/>
          </w:tcPr>
          <w:p>
            <w:pPr>
              <w:jc w:val="center"/>
              <w:rPr>
                <w:rFonts w:ascii="宋体" w:eastAsia="宋体" w:cs="宋体"/>
                <w:sz w:val="22"/>
              </w:rPr>
            </w:pPr>
            <w:r>
              <w:rPr>
                <w:rFonts w:hint="eastAsia"/>
                <w:sz w:val="22"/>
              </w:rPr>
              <w:t>科目名称</w:t>
            </w:r>
          </w:p>
        </w:tc>
        <w:tc>
          <w:tcPr>
            <w:tcW w:w="1908" w:type="dxa"/>
            <w:vMerge w:val="continue"/>
            <w:tcBorders>
              <w:top w:val="single" w:color="000000" w:sz="4" w:space="0"/>
              <w:left w:val="nil"/>
              <w:bottom w:val="single" w:color="000000" w:sz="4" w:space="0"/>
              <w:right w:val="single" w:color="000000" w:sz="4" w:space="0"/>
            </w:tcBorders>
            <w:shd w:val="clear" w:color="auto" w:fill="FFFFFF" w:themeFill="background1"/>
            <w:vAlign w:val="center"/>
          </w:tcPr>
          <w:p>
            <w:pPr>
              <w:rPr>
                <w:rFonts w:ascii="宋体" w:eastAsia="宋体" w:cs="宋体"/>
                <w:sz w:val="24"/>
                <w:szCs w:val="24"/>
              </w:rPr>
            </w:pPr>
          </w:p>
        </w:tc>
        <w:tc>
          <w:tcPr>
            <w:tcW w:w="796" w:type="dxa"/>
            <w:gridSpan w:val="2"/>
            <w:vMerge w:val="continue"/>
            <w:tcBorders>
              <w:top w:val="single" w:color="000000" w:sz="4" w:space="0"/>
              <w:left w:val="nil"/>
              <w:bottom w:val="single" w:color="000000" w:sz="4" w:space="0"/>
              <w:right w:val="single" w:color="000000" w:sz="4" w:space="0"/>
            </w:tcBorders>
            <w:shd w:val="clear" w:color="auto" w:fill="FFFFFF" w:themeFill="background1"/>
            <w:vAlign w:val="center"/>
          </w:tcPr>
          <w:p>
            <w:pPr>
              <w:rPr>
                <w:rFonts w:ascii="宋体" w:eastAsia="宋体" w:cs="宋体"/>
                <w:sz w:val="24"/>
                <w:szCs w:val="24"/>
              </w:rPr>
            </w:pPr>
          </w:p>
        </w:tc>
        <w:tc>
          <w:tcPr>
            <w:tcW w:w="906" w:type="dxa"/>
            <w:vMerge w:val="continue"/>
            <w:tcBorders>
              <w:top w:val="single" w:color="000000" w:sz="4" w:space="0"/>
              <w:left w:val="nil"/>
              <w:bottom w:val="single" w:color="000000" w:sz="4" w:space="0"/>
              <w:right w:val="single" w:color="000000" w:sz="4" w:space="0"/>
            </w:tcBorders>
            <w:shd w:val="clear" w:color="auto" w:fill="FFFFFF" w:themeFill="background1"/>
            <w:vAlign w:val="center"/>
          </w:tcPr>
          <w:p>
            <w:pPr>
              <w:rPr>
                <w:rFonts w:ascii="宋体" w:eastAsia="宋体" w:cs="宋体"/>
                <w:sz w:val="24"/>
                <w:szCs w:val="24"/>
              </w:rPr>
            </w:pPr>
          </w:p>
        </w:tc>
        <w:tc>
          <w:tcPr>
            <w:tcW w:w="246" w:type="dxa"/>
            <w:vMerge w:val="continue"/>
            <w:tcBorders>
              <w:top w:val="single" w:color="000000" w:sz="4" w:space="0"/>
              <w:left w:val="nil"/>
              <w:bottom w:val="single" w:color="000000" w:sz="4" w:space="0"/>
              <w:right w:val="single" w:color="000000" w:sz="4" w:space="0"/>
            </w:tcBorders>
            <w:shd w:val="clear" w:color="auto" w:fill="FFFFFF" w:themeFill="background1"/>
            <w:vAlign w:val="center"/>
          </w:tcPr>
          <w:p>
            <w:pPr>
              <w:rPr>
                <w:rFonts w:ascii="宋体" w:eastAsia="宋体" w:cs="宋体"/>
                <w:sz w:val="24"/>
                <w:szCs w:val="24"/>
              </w:rPr>
            </w:pPr>
          </w:p>
        </w:tc>
        <w:tc>
          <w:tcPr>
            <w:tcW w:w="524" w:type="dxa"/>
            <w:vMerge w:val="continue"/>
            <w:tcBorders>
              <w:top w:val="single" w:color="000000" w:sz="4" w:space="0"/>
              <w:left w:val="nil"/>
              <w:bottom w:val="single" w:color="000000" w:sz="4" w:space="0"/>
              <w:right w:val="single" w:color="000000" w:sz="4" w:space="0"/>
            </w:tcBorders>
            <w:shd w:val="clear" w:color="auto" w:fill="FFFFFF" w:themeFill="background1"/>
            <w:vAlign w:val="center"/>
          </w:tcPr>
          <w:p>
            <w:pPr>
              <w:rPr>
                <w:rFonts w:ascii="宋体" w:eastAsia="宋体" w:cs="宋体"/>
                <w:sz w:val="24"/>
                <w:szCs w:val="24"/>
              </w:rPr>
            </w:pPr>
          </w:p>
        </w:tc>
        <w:tc>
          <w:tcPr>
            <w:tcW w:w="3206" w:type="dxa"/>
            <w:gridSpan w:val="3"/>
            <w:vMerge w:val="continue"/>
            <w:tcBorders>
              <w:top w:val="single" w:color="000000" w:sz="4" w:space="0"/>
              <w:left w:val="nil"/>
              <w:bottom w:val="single" w:color="000000" w:sz="4" w:space="0"/>
              <w:right w:val="single" w:color="000000" w:sz="4" w:space="0"/>
            </w:tcBorders>
            <w:shd w:val="clear" w:color="auto" w:fill="FFFFFF" w:themeFill="background1"/>
            <w:vAlign w:val="center"/>
          </w:tcPr>
          <w:p>
            <w:pPr>
              <w:rPr>
                <w:rFonts w:ascii="宋体" w:eastAsia="宋体" w:cs="宋体"/>
                <w:sz w:val="24"/>
                <w:szCs w:val="24"/>
              </w:rPr>
            </w:pPr>
          </w:p>
        </w:tc>
      </w:tr>
      <w:tr>
        <w:tblPrEx>
          <w:tblCellMar>
            <w:top w:w="0" w:type="dxa"/>
            <w:left w:w="0" w:type="dxa"/>
            <w:bottom w:w="0" w:type="dxa"/>
            <w:right w:w="0" w:type="dxa"/>
          </w:tblCellMar>
        </w:tblPrEx>
        <w:trPr>
          <w:gridAfter w:val="3"/>
          <w:wAfter w:w="1890" w:type="dxa"/>
          <w:trHeight w:val="312" w:hRule="atLeast"/>
          <w:jc w:val="center"/>
        </w:trPr>
        <w:tc>
          <w:tcPr>
            <w:tcW w:w="641" w:type="dxa"/>
            <w:vMerge w:val="continue"/>
            <w:tcBorders>
              <w:top w:val="nil"/>
              <w:left w:val="single" w:color="000000" w:sz="4" w:space="0"/>
              <w:bottom w:val="single" w:color="000000" w:sz="4" w:space="0"/>
              <w:right w:val="single" w:color="000000" w:sz="4" w:space="0"/>
            </w:tcBorders>
            <w:shd w:val="clear" w:color="auto" w:fill="FFFFFF" w:themeFill="background1"/>
            <w:vAlign w:val="center"/>
          </w:tcPr>
          <w:p>
            <w:pPr>
              <w:rPr>
                <w:rFonts w:ascii="宋体" w:eastAsia="宋体" w:cs="宋体"/>
                <w:sz w:val="24"/>
                <w:szCs w:val="24"/>
              </w:rPr>
            </w:pPr>
          </w:p>
        </w:tc>
        <w:tc>
          <w:tcPr>
            <w:tcW w:w="2509" w:type="dxa"/>
            <w:gridSpan w:val="3"/>
            <w:vMerge w:val="continue"/>
            <w:tcBorders>
              <w:top w:val="nil"/>
              <w:left w:val="nil"/>
              <w:bottom w:val="single" w:color="000000" w:sz="4" w:space="0"/>
              <w:right w:val="single" w:color="000000" w:sz="4" w:space="0"/>
            </w:tcBorders>
            <w:shd w:val="clear" w:color="auto" w:fill="FFFFFF" w:themeFill="background1"/>
            <w:vAlign w:val="center"/>
          </w:tcPr>
          <w:p>
            <w:pPr>
              <w:rPr>
                <w:rFonts w:ascii="宋体" w:eastAsia="宋体" w:cs="宋体"/>
                <w:sz w:val="22"/>
              </w:rPr>
            </w:pPr>
          </w:p>
        </w:tc>
        <w:tc>
          <w:tcPr>
            <w:tcW w:w="1908" w:type="dxa"/>
            <w:vMerge w:val="continue"/>
            <w:tcBorders>
              <w:top w:val="single" w:color="000000" w:sz="4" w:space="0"/>
              <w:left w:val="nil"/>
              <w:bottom w:val="single" w:color="000000" w:sz="4" w:space="0"/>
              <w:right w:val="single" w:color="000000" w:sz="4" w:space="0"/>
            </w:tcBorders>
            <w:shd w:val="clear" w:color="auto" w:fill="FFFFFF" w:themeFill="background1"/>
            <w:vAlign w:val="center"/>
          </w:tcPr>
          <w:p>
            <w:pPr>
              <w:rPr>
                <w:rFonts w:ascii="宋体" w:eastAsia="宋体" w:cs="宋体"/>
                <w:sz w:val="24"/>
                <w:szCs w:val="24"/>
              </w:rPr>
            </w:pPr>
          </w:p>
        </w:tc>
        <w:tc>
          <w:tcPr>
            <w:tcW w:w="796" w:type="dxa"/>
            <w:gridSpan w:val="2"/>
            <w:vMerge w:val="continue"/>
            <w:tcBorders>
              <w:top w:val="single" w:color="000000" w:sz="4" w:space="0"/>
              <w:left w:val="nil"/>
              <w:bottom w:val="single" w:color="000000" w:sz="4" w:space="0"/>
              <w:right w:val="single" w:color="000000" w:sz="4" w:space="0"/>
            </w:tcBorders>
            <w:shd w:val="clear" w:color="auto" w:fill="FFFFFF" w:themeFill="background1"/>
            <w:vAlign w:val="center"/>
          </w:tcPr>
          <w:p>
            <w:pPr>
              <w:rPr>
                <w:rFonts w:ascii="宋体" w:eastAsia="宋体" w:cs="宋体"/>
                <w:sz w:val="24"/>
                <w:szCs w:val="24"/>
              </w:rPr>
            </w:pPr>
          </w:p>
        </w:tc>
        <w:tc>
          <w:tcPr>
            <w:tcW w:w="906" w:type="dxa"/>
            <w:vMerge w:val="continue"/>
            <w:tcBorders>
              <w:top w:val="single" w:color="000000" w:sz="4" w:space="0"/>
              <w:left w:val="nil"/>
              <w:bottom w:val="single" w:color="000000" w:sz="4" w:space="0"/>
              <w:right w:val="single" w:color="000000" w:sz="4" w:space="0"/>
            </w:tcBorders>
            <w:shd w:val="clear" w:color="auto" w:fill="FFFFFF" w:themeFill="background1"/>
            <w:vAlign w:val="center"/>
          </w:tcPr>
          <w:p>
            <w:pPr>
              <w:rPr>
                <w:rFonts w:ascii="宋体" w:eastAsia="宋体" w:cs="宋体"/>
                <w:sz w:val="24"/>
                <w:szCs w:val="24"/>
              </w:rPr>
            </w:pPr>
          </w:p>
        </w:tc>
        <w:tc>
          <w:tcPr>
            <w:tcW w:w="246" w:type="dxa"/>
            <w:vMerge w:val="continue"/>
            <w:tcBorders>
              <w:top w:val="single" w:color="000000" w:sz="4" w:space="0"/>
              <w:left w:val="nil"/>
              <w:bottom w:val="single" w:color="000000" w:sz="4" w:space="0"/>
              <w:right w:val="single" w:color="000000" w:sz="4" w:space="0"/>
            </w:tcBorders>
            <w:shd w:val="clear" w:color="auto" w:fill="FFFFFF" w:themeFill="background1"/>
            <w:vAlign w:val="center"/>
          </w:tcPr>
          <w:p>
            <w:pPr>
              <w:rPr>
                <w:rFonts w:ascii="宋体" w:eastAsia="宋体" w:cs="宋体"/>
                <w:sz w:val="24"/>
                <w:szCs w:val="24"/>
              </w:rPr>
            </w:pPr>
          </w:p>
        </w:tc>
        <w:tc>
          <w:tcPr>
            <w:tcW w:w="524" w:type="dxa"/>
            <w:vMerge w:val="continue"/>
            <w:tcBorders>
              <w:top w:val="single" w:color="000000" w:sz="4" w:space="0"/>
              <w:left w:val="nil"/>
              <w:bottom w:val="single" w:color="000000" w:sz="4" w:space="0"/>
              <w:right w:val="single" w:color="000000" w:sz="4" w:space="0"/>
            </w:tcBorders>
            <w:shd w:val="clear" w:color="auto" w:fill="FFFFFF" w:themeFill="background1"/>
            <w:vAlign w:val="center"/>
          </w:tcPr>
          <w:p>
            <w:pPr>
              <w:rPr>
                <w:rFonts w:ascii="宋体" w:eastAsia="宋体" w:cs="宋体"/>
                <w:sz w:val="24"/>
                <w:szCs w:val="24"/>
              </w:rPr>
            </w:pPr>
          </w:p>
        </w:tc>
        <w:tc>
          <w:tcPr>
            <w:tcW w:w="3206" w:type="dxa"/>
            <w:gridSpan w:val="3"/>
            <w:vMerge w:val="continue"/>
            <w:tcBorders>
              <w:top w:val="single" w:color="000000" w:sz="4" w:space="0"/>
              <w:left w:val="nil"/>
              <w:bottom w:val="single" w:color="000000" w:sz="4" w:space="0"/>
              <w:right w:val="single" w:color="000000" w:sz="4" w:space="0"/>
            </w:tcBorders>
            <w:shd w:val="clear" w:color="auto" w:fill="FFFFFF" w:themeFill="background1"/>
            <w:vAlign w:val="center"/>
          </w:tcPr>
          <w:p>
            <w:pPr>
              <w:rPr>
                <w:rFonts w:ascii="宋体" w:eastAsia="宋体" w:cs="宋体"/>
                <w:sz w:val="24"/>
                <w:szCs w:val="24"/>
              </w:rPr>
            </w:pPr>
          </w:p>
        </w:tc>
      </w:tr>
      <w:tr>
        <w:tblPrEx>
          <w:tblCellMar>
            <w:top w:w="0" w:type="dxa"/>
            <w:left w:w="0" w:type="dxa"/>
            <w:bottom w:w="0" w:type="dxa"/>
            <w:right w:w="0" w:type="dxa"/>
          </w:tblCellMar>
        </w:tblPrEx>
        <w:trPr>
          <w:gridAfter w:val="3"/>
          <w:wAfter w:w="1890" w:type="dxa"/>
          <w:trHeight w:val="312" w:hRule="atLeast"/>
          <w:jc w:val="center"/>
        </w:trPr>
        <w:tc>
          <w:tcPr>
            <w:tcW w:w="641" w:type="dxa"/>
            <w:vMerge w:val="continue"/>
            <w:tcBorders>
              <w:top w:val="nil"/>
              <w:left w:val="single" w:color="000000" w:sz="4" w:space="0"/>
              <w:bottom w:val="single" w:color="000000" w:sz="4" w:space="0"/>
              <w:right w:val="single" w:color="000000" w:sz="4" w:space="0"/>
            </w:tcBorders>
            <w:shd w:val="clear" w:color="auto" w:fill="FFFFFF" w:themeFill="background1"/>
            <w:vAlign w:val="center"/>
          </w:tcPr>
          <w:p>
            <w:pPr>
              <w:rPr>
                <w:rFonts w:ascii="宋体" w:eastAsia="宋体" w:cs="宋体"/>
                <w:sz w:val="24"/>
                <w:szCs w:val="24"/>
              </w:rPr>
            </w:pPr>
          </w:p>
        </w:tc>
        <w:tc>
          <w:tcPr>
            <w:tcW w:w="2509" w:type="dxa"/>
            <w:gridSpan w:val="3"/>
            <w:vMerge w:val="continue"/>
            <w:tcBorders>
              <w:top w:val="nil"/>
              <w:left w:val="nil"/>
              <w:bottom w:val="single" w:color="000000" w:sz="4" w:space="0"/>
              <w:right w:val="single" w:color="000000" w:sz="4" w:space="0"/>
            </w:tcBorders>
            <w:shd w:val="clear" w:color="auto" w:fill="FFFFFF" w:themeFill="background1"/>
            <w:vAlign w:val="center"/>
          </w:tcPr>
          <w:p>
            <w:pPr>
              <w:rPr>
                <w:rFonts w:ascii="宋体" w:eastAsia="宋体" w:cs="宋体"/>
                <w:sz w:val="22"/>
              </w:rPr>
            </w:pPr>
          </w:p>
        </w:tc>
        <w:tc>
          <w:tcPr>
            <w:tcW w:w="1908" w:type="dxa"/>
            <w:vMerge w:val="continue"/>
            <w:tcBorders>
              <w:top w:val="single" w:color="000000" w:sz="4" w:space="0"/>
              <w:left w:val="nil"/>
              <w:bottom w:val="single" w:color="000000" w:sz="4" w:space="0"/>
              <w:right w:val="single" w:color="000000" w:sz="4" w:space="0"/>
            </w:tcBorders>
            <w:shd w:val="clear" w:color="auto" w:fill="FFFFFF" w:themeFill="background1"/>
            <w:vAlign w:val="center"/>
          </w:tcPr>
          <w:p>
            <w:pPr>
              <w:rPr>
                <w:rFonts w:ascii="宋体" w:eastAsia="宋体" w:cs="宋体"/>
                <w:sz w:val="24"/>
                <w:szCs w:val="24"/>
              </w:rPr>
            </w:pPr>
          </w:p>
        </w:tc>
        <w:tc>
          <w:tcPr>
            <w:tcW w:w="796" w:type="dxa"/>
            <w:gridSpan w:val="2"/>
            <w:vMerge w:val="continue"/>
            <w:tcBorders>
              <w:top w:val="single" w:color="000000" w:sz="4" w:space="0"/>
              <w:left w:val="nil"/>
              <w:bottom w:val="single" w:color="000000" w:sz="4" w:space="0"/>
              <w:right w:val="single" w:color="000000" w:sz="4" w:space="0"/>
            </w:tcBorders>
            <w:shd w:val="clear" w:color="auto" w:fill="FFFFFF" w:themeFill="background1"/>
            <w:vAlign w:val="center"/>
          </w:tcPr>
          <w:p>
            <w:pPr>
              <w:rPr>
                <w:rFonts w:ascii="宋体" w:eastAsia="宋体" w:cs="宋体"/>
                <w:sz w:val="24"/>
                <w:szCs w:val="24"/>
              </w:rPr>
            </w:pPr>
          </w:p>
        </w:tc>
        <w:tc>
          <w:tcPr>
            <w:tcW w:w="906" w:type="dxa"/>
            <w:vMerge w:val="continue"/>
            <w:tcBorders>
              <w:top w:val="single" w:color="000000" w:sz="4" w:space="0"/>
              <w:left w:val="nil"/>
              <w:bottom w:val="single" w:color="000000" w:sz="4" w:space="0"/>
              <w:right w:val="single" w:color="000000" w:sz="4" w:space="0"/>
            </w:tcBorders>
            <w:shd w:val="clear" w:color="auto" w:fill="FFFFFF" w:themeFill="background1"/>
            <w:vAlign w:val="center"/>
          </w:tcPr>
          <w:p>
            <w:pPr>
              <w:rPr>
                <w:rFonts w:ascii="宋体" w:eastAsia="宋体" w:cs="宋体"/>
                <w:sz w:val="24"/>
                <w:szCs w:val="24"/>
              </w:rPr>
            </w:pPr>
          </w:p>
        </w:tc>
        <w:tc>
          <w:tcPr>
            <w:tcW w:w="246" w:type="dxa"/>
            <w:vMerge w:val="continue"/>
            <w:tcBorders>
              <w:top w:val="single" w:color="000000" w:sz="4" w:space="0"/>
              <w:left w:val="nil"/>
              <w:bottom w:val="single" w:color="000000" w:sz="4" w:space="0"/>
              <w:right w:val="single" w:color="000000" w:sz="4" w:space="0"/>
            </w:tcBorders>
            <w:shd w:val="clear" w:color="auto" w:fill="FFFFFF" w:themeFill="background1"/>
            <w:vAlign w:val="center"/>
          </w:tcPr>
          <w:p>
            <w:pPr>
              <w:rPr>
                <w:rFonts w:ascii="宋体" w:eastAsia="宋体" w:cs="宋体"/>
                <w:sz w:val="24"/>
                <w:szCs w:val="24"/>
              </w:rPr>
            </w:pPr>
          </w:p>
        </w:tc>
        <w:tc>
          <w:tcPr>
            <w:tcW w:w="524" w:type="dxa"/>
            <w:vMerge w:val="continue"/>
            <w:tcBorders>
              <w:top w:val="single" w:color="000000" w:sz="4" w:space="0"/>
              <w:left w:val="nil"/>
              <w:bottom w:val="single" w:color="000000" w:sz="4" w:space="0"/>
              <w:right w:val="single" w:color="000000" w:sz="4" w:space="0"/>
            </w:tcBorders>
            <w:shd w:val="clear" w:color="auto" w:fill="FFFFFF" w:themeFill="background1"/>
            <w:vAlign w:val="center"/>
          </w:tcPr>
          <w:p>
            <w:pPr>
              <w:rPr>
                <w:rFonts w:ascii="宋体" w:eastAsia="宋体" w:cs="宋体"/>
                <w:sz w:val="24"/>
                <w:szCs w:val="24"/>
              </w:rPr>
            </w:pPr>
          </w:p>
        </w:tc>
        <w:tc>
          <w:tcPr>
            <w:tcW w:w="3206" w:type="dxa"/>
            <w:gridSpan w:val="3"/>
            <w:vMerge w:val="continue"/>
            <w:tcBorders>
              <w:top w:val="single" w:color="000000" w:sz="4" w:space="0"/>
              <w:left w:val="nil"/>
              <w:bottom w:val="single" w:color="000000" w:sz="4" w:space="0"/>
              <w:right w:val="single" w:color="000000" w:sz="4" w:space="0"/>
            </w:tcBorders>
            <w:shd w:val="clear" w:color="auto" w:fill="FFFFFF" w:themeFill="background1"/>
            <w:vAlign w:val="center"/>
          </w:tcPr>
          <w:p>
            <w:pPr>
              <w:rPr>
                <w:rFonts w:ascii="宋体" w:eastAsia="宋体" w:cs="宋体"/>
                <w:sz w:val="24"/>
                <w:szCs w:val="24"/>
              </w:rPr>
            </w:pPr>
          </w:p>
        </w:tc>
      </w:tr>
      <w:tr>
        <w:tblPrEx>
          <w:tblCellMar>
            <w:top w:w="0" w:type="dxa"/>
            <w:left w:w="0" w:type="dxa"/>
            <w:bottom w:w="0" w:type="dxa"/>
            <w:right w:w="0" w:type="dxa"/>
          </w:tblCellMar>
        </w:tblPrEx>
        <w:trPr>
          <w:gridAfter w:val="3"/>
          <w:wAfter w:w="1890" w:type="dxa"/>
          <w:trHeight w:val="308" w:hRule="atLeast"/>
          <w:jc w:val="center"/>
        </w:trPr>
        <w:tc>
          <w:tcPr>
            <w:tcW w:w="3150" w:type="dxa"/>
            <w:gridSpan w:val="4"/>
            <w:tcBorders>
              <w:top w:val="nil"/>
              <w:left w:val="single" w:color="000000" w:sz="4" w:space="0"/>
              <w:bottom w:val="single" w:color="000000" w:sz="4" w:space="0"/>
              <w:right w:val="single" w:color="000000" w:sz="4" w:space="0"/>
            </w:tcBorders>
            <w:shd w:val="clear" w:color="auto" w:fill="FFFFFF" w:themeFill="background1"/>
            <w:noWrap/>
            <w:tcMar>
              <w:top w:w="13" w:type="dxa"/>
              <w:left w:w="13" w:type="dxa"/>
              <w:bottom w:w="0" w:type="dxa"/>
              <w:right w:w="13" w:type="dxa"/>
            </w:tcMar>
            <w:vAlign w:val="center"/>
          </w:tcPr>
          <w:p>
            <w:pPr>
              <w:jc w:val="center"/>
              <w:rPr>
                <w:rFonts w:ascii="宋体" w:eastAsia="宋体" w:cs="宋体"/>
                <w:sz w:val="22"/>
              </w:rPr>
            </w:pPr>
            <w:r>
              <w:rPr>
                <w:rFonts w:hint="eastAsia"/>
                <w:sz w:val="22"/>
              </w:rPr>
              <w:t>栏次</w:t>
            </w:r>
          </w:p>
        </w:tc>
        <w:tc>
          <w:tcPr>
            <w:tcW w:w="1908" w:type="dxa"/>
            <w:tcBorders>
              <w:top w:val="nil"/>
              <w:left w:val="nil"/>
              <w:bottom w:val="single" w:color="000000" w:sz="4" w:space="0"/>
              <w:right w:val="single" w:color="000000" w:sz="4" w:space="0"/>
            </w:tcBorders>
            <w:shd w:val="clear" w:color="auto" w:fill="FFFFFF" w:themeFill="background1"/>
            <w:tcMar>
              <w:top w:w="13" w:type="dxa"/>
              <w:left w:w="13" w:type="dxa"/>
              <w:bottom w:w="0" w:type="dxa"/>
              <w:right w:w="13" w:type="dxa"/>
            </w:tcMar>
            <w:vAlign w:val="center"/>
          </w:tcPr>
          <w:p>
            <w:pPr>
              <w:jc w:val="center"/>
              <w:rPr>
                <w:rFonts w:ascii="宋体" w:eastAsia="宋体" w:cs="宋体"/>
                <w:sz w:val="24"/>
                <w:szCs w:val="24"/>
              </w:rPr>
            </w:pPr>
            <w:r>
              <w:t>1</w:t>
            </w:r>
          </w:p>
        </w:tc>
        <w:tc>
          <w:tcPr>
            <w:tcW w:w="796" w:type="dxa"/>
            <w:gridSpan w:val="2"/>
            <w:tcBorders>
              <w:top w:val="nil"/>
              <w:left w:val="nil"/>
              <w:bottom w:val="single" w:color="000000" w:sz="4" w:space="0"/>
              <w:right w:val="single" w:color="000000" w:sz="4" w:space="0"/>
            </w:tcBorders>
            <w:shd w:val="clear" w:color="auto" w:fill="FFFFFF" w:themeFill="background1"/>
            <w:tcMar>
              <w:top w:w="13" w:type="dxa"/>
              <w:left w:w="13" w:type="dxa"/>
              <w:bottom w:w="0" w:type="dxa"/>
              <w:right w:w="13" w:type="dxa"/>
            </w:tcMar>
            <w:vAlign w:val="center"/>
          </w:tcPr>
          <w:p>
            <w:pPr>
              <w:jc w:val="center"/>
              <w:rPr>
                <w:rFonts w:ascii="宋体" w:eastAsia="宋体" w:cs="宋体"/>
                <w:sz w:val="24"/>
                <w:szCs w:val="24"/>
              </w:rPr>
            </w:pPr>
            <w:r>
              <w:t>2</w:t>
            </w:r>
          </w:p>
        </w:tc>
        <w:tc>
          <w:tcPr>
            <w:tcW w:w="906" w:type="dxa"/>
            <w:tcBorders>
              <w:top w:val="nil"/>
              <w:left w:val="nil"/>
              <w:bottom w:val="single" w:color="000000" w:sz="4" w:space="0"/>
              <w:right w:val="single" w:color="000000" w:sz="4" w:space="0"/>
            </w:tcBorders>
            <w:shd w:val="clear" w:color="auto" w:fill="FFFFFF" w:themeFill="background1"/>
            <w:tcMar>
              <w:top w:w="13" w:type="dxa"/>
              <w:left w:w="13" w:type="dxa"/>
              <w:bottom w:w="0" w:type="dxa"/>
              <w:right w:w="13" w:type="dxa"/>
            </w:tcMar>
            <w:vAlign w:val="center"/>
          </w:tcPr>
          <w:p>
            <w:pPr>
              <w:jc w:val="center"/>
              <w:rPr>
                <w:rFonts w:ascii="宋体" w:eastAsia="宋体" w:cs="宋体"/>
                <w:sz w:val="24"/>
                <w:szCs w:val="24"/>
              </w:rPr>
            </w:pPr>
            <w:r>
              <w:t>3</w:t>
            </w:r>
          </w:p>
        </w:tc>
        <w:tc>
          <w:tcPr>
            <w:tcW w:w="246" w:type="dxa"/>
            <w:tcBorders>
              <w:top w:val="nil"/>
              <w:left w:val="nil"/>
              <w:bottom w:val="single" w:color="000000" w:sz="4" w:space="0"/>
              <w:right w:val="single" w:color="000000" w:sz="4" w:space="0"/>
            </w:tcBorders>
            <w:shd w:val="clear" w:color="auto" w:fill="FFFFFF" w:themeFill="background1"/>
            <w:tcMar>
              <w:top w:w="13" w:type="dxa"/>
              <w:left w:w="13" w:type="dxa"/>
              <w:bottom w:w="0" w:type="dxa"/>
              <w:right w:w="13" w:type="dxa"/>
            </w:tcMar>
            <w:vAlign w:val="center"/>
          </w:tcPr>
          <w:p>
            <w:pPr>
              <w:jc w:val="center"/>
              <w:rPr>
                <w:rFonts w:ascii="宋体" w:eastAsia="宋体" w:cs="宋体"/>
                <w:sz w:val="24"/>
                <w:szCs w:val="24"/>
              </w:rPr>
            </w:pPr>
            <w:r>
              <w:t>4</w:t>
            </w:r>
          </w:p>
        </w:tc>
        <w:tc>
          <w:tcPr>
            <w:tcW w:w="524" w:type="dxa"/>
            <w:tcBorders>
              <w:top w:val="nil"/>
              <w:left w:val="nil"/>
              <w:bottom w:val="single" w:color="000000" w:sz="4" w:space="0"/>
              <w:right w:val="single" w:color="000000" w:sz="4" w:space="0"/>
            </w:tcBorders>
            <w:shd w:val="clear" w:color="auto" w:fill="FFFFFF" w:themeFill="background1"/>
            <w:tcMar>
              <w:top w:w="13" w:type="dxa"/>
              <w:left w:w="13" w:type="dxa"/>
              <w:bottom w:w="0" w:type="dxa"/>
              <w:right w:w="13" w:type="dxa"/>
            </w:tcMar>
            <w:vAlign w:val="center"/>
          </w:tcPr>
          <w:p>
            <w:pPr>
              <w:jc w:val="center"/>
              <w:rPr>
                <w:rFonts w:ascii="宋体" w:eastAsia="宋体" w:cs="宋体"/>
                <w:sz w:val="24"/>
                <w:szCs w:val="24"/>
              </w:rPr>
            </w:pPr>
            <w:r>
              <w:t>5</w:t>
            </w:r>
          </w:p>
        </w:tc>
        <w:tc>
          <w:tcPr>
            <w:tcW w:w="3206" w:type="dxa"/>
            <w:gridSpan w:val="3"/>
            <w:tcBorders>
              <w:top w:val="nil"/>
              <w:left w:val="nil"/>
              <w:bottom w:val="single" w:color="000000" w:sz="4" w:space="0"/>
              <w:right w:val="single" w:color="000000" w:sz="4" w:space="0"/>
            </w:tcBorders>
            <w:shd w:val="clear" w:color="auto" w:fill="FFFFFF" w:themeFill="background1"/>
            <w:tcMar>
              <w:top w:w="13" w:type="dxa"/>
              <w:left w:w="13" w:type="dxa"/>
              <w:bottom w:w="0" w:type="dxa"/>
              <w:right w:w="13" w:type="dxa"/>
            </w:tcMar>
            <w:vAlign w:val="center"/>
          </w:tcPr>
          <w:p>
            <w:pPr>
              <w:jc w:val="center"/>
              <w:rPr>
                <w:rFonts w:ascii="宋体" w:eastAsia="宋体" w:cs="宋体"/>
                <w:sz w:val="24"/>
                <w:szCs w:val="24"/>
              </w:rPr>
            </w:pPr>
            <w:r>
              <w:t>6</w:t>
            </w:r>
          </w:p>
        </w:tc>
      </w:tr>
      <w:tr>
        <w:tblPrEx>
          <w:tblCellMar>
            <w:top w:w="0" w:type="dxa"/>
            <w:left w:w="0" w:type="dxa"/>
            <w:bottom w:w="0" w:type="dxa"/>
            <w:right w:w="0" w:type="dxa"/>
          </w:tblCellMar>
        </w:tblPrEx>
        <w:trPr>
          <w:gridAfter w:val="3"/>
          <w:wAfter w:w="1890" w:type="dxa"/>
          <w:trHeight w:val="308" w:hRule="atLeast"/>
          <w:jc w:val="center"/>
        </w:trPr>
        <w:tc>
          <w:tcPr>
            <w:tcW w:w="3150" w:type="dxa"/>
            <w:gridSpan w:val="4"/>
            <w:tcBorders>
              <w:top w:val="nil"/>
              <w:left w:val="single" w:color="000000" w:sz="4" w:space="0"/>
              <w:bottom w:val="single" w:color="000000" w:sz="4" w:space="0"/>
              <w:right w:val="single" w:color="000000" w:sz="4" w:space="0"/>
            </w:tcBorders>
            <w:shd w:val="clear" w:color="auto" w:fill="FFFFFF" w:themeFill="background1"/>
            <w:noWrap/>
            <w:tcMar>
              <w:top w:w="13" w:type="dxa"/>
              <w:left w:w="13" w:type="dxa"/>
              <w:bottom w:w="0" w:type="dxa"/>
              <w:right w:w="13" w:type="dxa"/>
            </w:tcMar>
            <w:vAlign w:val="center"/>
          </w:tcPr>
          <w:p>
            <w:pPr>
              <w:jc w:val="center"/>
              <w:rPr>
                <w:rFonts w:ascii="宋体" w:eastAsia="宋体" w:cs="宋体"/>
                <w:sz w:val="22"/>
              </w:rPr>
            </w:pPr>
            <w:r>
              <w:rPr>
                <w:rFonts w:hint="eastAsia"/>
                <w:sz w:val="22"/>
              </w:rPr>
              <w:t>合计</w:t>
            </w:r>
          </w:p>
        </w:tc>
        <w:tc>
          <w:tcPr>
            <w:tcW w:w="1908" w:type="dxa"/>
            <w:tcBorders>
              <w:top w:val="nil"/>
              <w:left w:val="nil"/>
              <w:bottom w:val="single" w:color="000000" w:sz="4" w:space="0"/>
              <w:right w:val="single" w:color="000000" w:sz="4" w:space="0"/>
            </w:tcBorders>
            <w:shd w:val="clear" w:color="auto" w:fill="FFFFFF" w:themeFill="background1"/>
            <w:noWrap/>
            <w:tcMar>
              <w:top w:w="13" w:type="dxa"/>
              <w:left w:w="13" w:type="dxa"/>
              <w:bottom w:w="0" w:type="dxa"/>
              <w:right w:w="13" w:type="dxa"/>
            </w:tcMar>
            <w:vAlign w:val="center"/>
          </w:tcPr>
          <w:p>
            <w:pPr>
              <w:jc w:val="right"/>
              <w:rPr>
                <w:rFonts w:ascii="宋体" w:eastAsia="宋体" w:cs="宋体"/>
                <w:sz w:val="24"/>
                <w:szCs w:val="24"/>
              </w:rPr>
            </w:pPr>
            <w:r>
              <w:t>19562.51</w:t>
            </w:r>
          </w:p>
        </w:tc>
        <w:tc>
          <w:tcPr>
            <w:tcW w:w="796" w:type="dxa"/>
            <w:gridSpan w:val="2"/>
            <w:tcBorders>
              <w:top w:val="nil"/>
              <w:left w:val="nil"/>
              <w:bottom w:val="single" w:color="000000" w:sz="4" w:space="0"/>
              <w:right w:val="single" w:color="000000" w:sz="4" w:space="0"/>
            </w:tcBorders>
            <w:shd w:val="clear" w:color="auto" w:fill="FFFFFF" w:themeFill="background1"/>
            <w:noWrap/>
            <w:tcMar>
              <w:top w:w="13" w:type="dxa"/>
              <w:left w:w="13" w:type="dxa"/>
              <w:bottom w:w="0" w:type="dxa"/>
              <w:right w:w="13" w:type="dxa"/>
            </w:tcMar>
            <w:vAlign w:val="center"/>
          </w:tcPr>
          <w:p>
            <w:pPr>
              <w:jc w:val="right"/>
              <w:rPr>
                <w:rFonts w:ascii="宋体" w:eastAsia="宋体" w:cs="宋体"/>
                <w:sz w:val="24"/>
                <w:szCs w:val="24"/>
              </w:rPr>
            </w:pPr>
            <w:r>
              <w:t>1632.99</w:t>
            </w:r>
          </w:p>
        </w:tc>
        <w:tc>
          <w:tcPr>
            <w:tcW w:w="906" w:type="dxa"/>
            <w:tcBorders>
              <w:top w:val="nil"/>
              <w:left w:val="nil"/>
              <w:bottom w:val="single" w:color="000000" w:sz="4" w:space="0"/>
              <w:right w:val="single" w:color="000000" w:sz="4" w:space="0"/>
            </w:tcBorders>
            <w:shd w:val="clear" w:color="auto" w:fill="FFFFFF" w:themeFill="background1"/>
            <w:noWrap/>
            <w:tcMar>
              <w:top w:w="13" w:type="dxa"/>
              <w:left w:w="13" w:type="dxa"/>
              <w:bottom w:w="0" w:type="dxa"/>
              <w:right w:w="13" w:type="dxa"/>
            </w:tcMar>
            <w:vAlign w:val="center"/>
          </w:tcPr>
          <w:p>
            <w:pPr>
              <w:jc w:val="right"/>
              <w:rPr>
                <w:rFonts w:ascii="宋体" w:eastAsia="宋体" w:cs="宋体"/>
                <w:sz w:val="24"/>
                <w:szCs w:val="24"/>
              </w:rPr>
            </w:pPr>
            <w:r>
              <w:t>17929.52</w:t>
            </w:r>
          </w:p>
        </w:tc>
        <w:tc>
          <w:tcPr>
            <w:tcW w:w="246" w:type="dxa"/>
            <w:tcBorders>
              <w:top w:val="nil"/>
              <w:left w:val="nil"/>
              <w:bottom w:val="single" w:color="000000" w:sz="4" w:space="0"/>
              <w:right w:val="single" w:color="000000" w:sz="4" w:space="0"/>
            </w:tcBorders>
            <w:shd w:val="clear" w:color="auto" w:fill="FFFFFF" w:themeFill="background1"/>
            <w:noWrap/>
            <w:tcMar>
              <w:top w:w="13" w:type="dxa"/>
              <w:left w:w="13" w:type="dxa"/>
              <w:bottom w:w="0" w:type="dxa"/>
              <w:right w:w="13" w:type="dxa"/>
            </w:tcMar>
            <w:vAlign w:val="center"/>
          </w:tcPr>
          <w:p>
            <w:pPr>
              <w:jc w:val="right"/>
              <w:rPr>
                <w:rFonts w:ascii="宋体" w:eastAsia="宋体" w:cs="宋体"/>
                <w:sz w:val="24"/>
                <w:szCs w:val="24"/>
              </w:rPr>
            </w:pPr>
            <w:r>
              <w:t>0</w:t>
            </w:r>
          </w:p>
        </w:tc>
        <w:tc>
          <w:tcPr>
            <w:tcW w:w="524" w:type="dxa"/>
            <w:tcBorders>
              <w:top w:val="nil"/>
              <w:left w:val="nil"/>
              <w:bottom w:val="single" w:color="000000" w:sz="4" w:space="0"/>
              <w:right w:val="single" w:color="000000" w:sz="4" w:space="0"/>
            </w:tcBorders>
            <w:shd w:val="clear" w:color="auto" w:fill="FFFFFF" w:themeFill="background1"/>
            <w:noWrap/>
            <w:tcMar>
              <w:top w:w="13" w:type="dxa"/>
              <w:left w:w="13" w:type="dxa"/>
              <w:bottom w:w="0" w:type="dxa"/>
              <w:right w:w="13" w:type="dxa"/>
            </w:tcMar>
            <w:vAlign w:val="center"/>
          </w:tcPr>
          <w:p>
            <w:pPr>
              <w:jc w:val="right"/>
              <w:rPr>
                <w:rFonts w:ascii="宋体" w:eastAsia="宋体" w:cs="宋体"/>
                <w:sz w:val="24"/>
                <w:szCs w:val="24"/>
              </w:rPr>
            </w:pPr>
            <w:r>
              <w:t>0</w:t>
            </w:r>
          </w:p>
        </w:tc>
        <w:tc>
          <w:tcPr>
            <w:tcW w:w="3206" w:type="dxa"/>
            <w:gridSpan w:val="3"/>
            <w:tcBorders>
              <w:top w:val="nil"/>
              <w:left w:val="nil"/>
              <w:bottom w:val="single" w:color="000000" w:sz="4" w:space="0"/>
              <w:right w:val="single" w:color="000000" w:sz="4" w:space="0"/>
            </w:tcBorders>
            <w:shd w:val="clear" w:color="auto" w:fill="FFFFFF" w:themeFill="background1"/>
            <w:noWrap/>
            <w:tcMar>
              <w:top w:w="13" w:type="dxa"/>
              <w:left w:w="13" w:type="dxa"/>
              <w:bottom w:w="0" w:type="dxa"/>
              <w:right w:w="13" w:type="dxa"/>
            </w:tcMar>
            <w:vAlign w:val="center"/>
          </w:tcPr>
          <w:p>
            <w:pPr>
              <w:jc w:val="right"/>
              <w:rPr>
                <w:rFonts w:ascii="宋体" w:eastAsia="宋体" w:cs="宋体"/>
                <w:sz w:val="24"/>
                <w:szCs w:val="24"/>
              </w:rPr>
            </w:pPr>
            <w: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201</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hint="eastAsia" w:ascii="宋体" w:hAnsi="宋体" w:eastAsia="宋体"/>
                <w:sz w:val="22"/>
              </w:rPr>
              <w:t>一般公共服务支出</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1381.29</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1353.19</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28.1</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20103</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hint="eastAsia" w:ascii="宋体" w:hAnsi="宋体" w:eastAsia="宋体"/>
                <w:sz w:val="22"/>
              </w:rPr>
              <w:t>政府办公厅（室）及相关机构事务</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1075.16</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1075.16</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2010301</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 xml:space="preserve">  </w:t>
            </w:r>
            <w:r>
              <w:rPr>
                <w:rFonts w:hint="eastAsia" w:ascii="宋体" w:hAnsi="宋体" w:eastAsia="宋体"/>
                <w:sz w:val="22"/>
              </w:rPr>
              <w:t>行政运行</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1075.16</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1075.16</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20106</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hint="eastAsia" w:ascii="宋体" w:hAnsi="宋体" w:eastAsia="宋体"/>
                <w:sz w:val="22"/>
              </w:rPr>
              <w:t>财政事务</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278.02</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278.02</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2010601</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 xml:space="preserve">  </w:t>
            </w:r>
            <w:r>
              <w:rPr>
                <w:rFonts w:hint="eastAsia" w:ascii="宋体" w:hAnsi="宋体" w:eastAsia="宋体"/>
                <w:sz w:val="22"/>
              </w:rPr>
              <w:t>行政运行</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276.02</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276.02</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2010602</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 xml:space="preserve">  </w:t>
            </w:r>
            <w:r>
              <w:rPr>
                <w:rFonts w:hint="eastAsia" w:ascii="宋体" w:hAnsi="宋体" w:eastAsia="宋体"/>
                <w:sz w:val="22"/>
              </w:rPr>
              <w:t>一般行政管理事务</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2</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2</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45"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20107</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hint="eastAsia" w:ascii="宋体" w:hAnsi="宋体" w:eastAsia="宋体"/>
                <w:sz w:val="22"/>
              </w:rPr>
              <w:t>税收事务</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28.1</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28.1</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2010799</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 xml:space="preserve">  </w:t>
            </w:r>
            <w:r>
              <w:rPr>
                <w:rFonts w:hint="eastAsia" w:ascii="宋体" w:hAnsi="宋体" w:eastAsia="宋体"/>
                <w:sz w:val="22"/>
              </w:rPr>
              <w:t>其他税收事务支出</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28.1</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28.1</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204</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hint="eastAsia" w:ascii="宋体" w:hAnsi="宋体" w:eastAsia="宋体"/>
                <w:sz w:val="22"/>
              </w:rPr>
              <w:t>公共安全支出</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340.58</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340.58</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20402</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hint="eastAsia" w:ascii="宋体" w:hAnsi="宋体" w:eastAsia="宋体"/>
                <w:sz w:val="22"/>
              </w:rPr>
              <w:t>公安</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227.78</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227.78</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2040299</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 xml:space="preserve">  </w:t>
            </w:r>
            <w:r>
              <w:rPr>
                <w:rFonts w:hint="eastAsia" w:ascii="宋体" w:hAnsi="宋体" w:eastAsia="宋体"/>
                <w:sz w:val="22"/>
              </w:rPr>
              <w:t>其他公安支出</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227.78</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227.78</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20499</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hint="eastAsia" w:ascii="宋体" w:hAnsi="宋体" w:eastAsia="宋体"/>
                <w:sz w:val="22"/>
              </w:rPr>
              <w:t>其他公共安全支出</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112.8</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112.8</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2049901</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 xml:space="preserve">  </w:t>
            </w:r>
            <w:r>
              <w:rPr>
                <w:rFonts w:hint="eastAsia" w:ascii="宋体" w:hAnsi="宋体" w:eastAsia="宋体"/>
                <w:sz w:val="22"/>
              </w:rPr>
              <w:t>其他公共安全支出</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112.8</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112.8</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253"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205</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hint="eastAsia" w:ascii="宋体" w:hAnsi="宋体" w:eastAsia="宋体"/>
                <w:sz w:val="22"/>
              </w:rPr>
              <w:t>教育支出</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586.56</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586.56</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20502</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hint="eastAsia" w:ascii="宋体" w:hAnsi="宋体" w:eastAsia="宋体"/>
                <w:sz w:val="22"/>
              </w:rPr>
              <w:t>普通教育</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586.56</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586.56</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2050299</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 xml:space="preserve">  </w:t>
            </w:r>
            <w:r>
              <w:rPr>
                <w:rFonts w:hint="eastAsia" w:ascii="宋体" w:hAnsi="宋体" w:eastAsia="宋体"/>
                <w:sz w:val="22"/>
              </w:rPr>
              <w:t>其他普通教育支出</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586.56</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586.56</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207</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hint="eastAsia" w:ascii="宋体" w:hAnsi="宋体" w:eastAsia="宋体"/>
                <w:sz w:val="22"/>
              </w:rPr>
              <w:t>文化旅游体育与传媒支出</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104.77</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104.77</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20701</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hint="eastAsia" w:ascii="宋体" w:hAnsi="宋体" w:eastAsia="宋体"/>
                <w:sz w:val="22"/>
              </w:rPr>
              <w:t>文化和旅游</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104.77</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104.77</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2070109</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 xml:space="preserve">  </w:t>
            </w:r>
            <w:r>
              <w:rPr>
                <w:rFonts w:hint="eastAsia" w:ascii="宋体" w:hAnsi="宋体" w:eastAsia="宋体"/>
                <w:sz w:val="22"/>
              </w:rPr>
              <w:t>群众文化</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104.77</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104.77</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208</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hint="eastAsia" w:ascii="宋体" w:hAnsi="宋体" w:eastAsia="宋体"/>
                <w:sz w:val="22"/>
              </w:rPr>
              <w:t>社会保障和就业支出</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169.27</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169.27</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20801</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hint="eastAsia" w:ascii="宋体" w:hAnsi="宋体" w:eastAsia="宋体"/>
                <w:sz w:val="22"/>
              </w:rPr>
              <w:t>人力资源和社会保障管理事务</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91.46</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91.46</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2080199</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 xml:space="preserve">  </w:t>
            </w:r>
            <w:r>
              <w:rPr>
                <w:rFonts w:hint="eastAsia" w:ascii="宋体" w:hAnsi="宋体" w:eastAsia="宋体"/>
                <w:sz w:val="22"/>
              </w:rPr>
              <w:t>其他人力资源和社会保障管理事务支出</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91.46</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91.46</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20808</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hint="eastAsia" w:ascii="宋体" w:hAnsi="宋体" w:eastAsia="宋体"/>
                <w:sz w:val="22"/>
              </w:rPr>
              <w:t>抚恤</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30.81</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30.81</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2080899</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 xml:space="preserve">  </w:t>
            </w:r>
            <w:r>
              <w:rPr>
                <w:rFonts w:hint="eastAsia" w:ascii="宋体" w:hAnsi="宋体" w:eastAsia="宋体"/>
                <w:sz w:val="22"/>
              </w:rPr>
              <w:t>其他优抚支出</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30.81</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30.81</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20809</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hint="eastAsia" w:ascii="宋体" w:hAnsi="宋体" w:eastAsia="宋体"/>
                <w:sz w:val="22"/>
              </w:rPr>
              <w:t>退役安置</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47.01</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47.01</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2080901</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 xml:space="preserve">  </w:t>
            </w:r>
            <w:r>
              <w:rPr>
                <w:rFonts w:hint="eastAsia" w:ascii="宋体" w:hAnsi="宋体" w:eastAsia="宋体"/>
                <w:sz w:val="22"/>
              </w:rPr>
              <w:t>退役士兵安置</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47.01</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47.01</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210</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hint="eastAsia" w:ascii="宋体" w:hAnsi="宋体" w:eastAsia="宋体"/>
                <w:sz w:val="22"/>
              </w:rPr>
              <w:t>卫生健康支出</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281.51</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139.88</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141.63</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21001</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hint="eastAsia" w:ascii="宋体" w:hAnsi="宋体" w:eastAsia="宋体"/>
                <w:sz w:val="22"/>
              </w:rPr>
              <w:t>卫生健康管理事务</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139.88</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139.88</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2100101</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 xml:space="preserve">  </w:t>
            </w:r>
            <w:r>
              <w:rPr>
                <w:rFonts w:hint="eastAsia" w:ascii="宋体" w:hAnsi="宋体" w:eastAsia="宋体"/>
                <w:sz w:val="22"/>
              </w:rPr>
              <w:t>行政运行</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139.88</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139.88</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21003</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hint="eastAsia" w:ascii="宋体" w:hAnsi="宋体" w:eastAsia="宋体"/>
                <w:sz w:val="22"/>
              </w:rPr>
              <w:t>基层医疗卫生机构</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92.54</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92.54</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2100302</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 xml:space="preserve">  </w:t>
            </w:r>
            <w:r>
              <w:rPr>
                <w:rFonts w:hint="eastAsia" w:ascii="宋体" w:hAnsi="宋体" w:eastAsia="宋体"/>
                <w:sz w:val="22"/>
              </w:rPr>
              <w:t>乡镇卫生院</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92.54</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92.54</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21007</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hint="eastAsia" w:ascii="宋体" w:hAnsi="宋体" w:eastAsia="宋体"/>
                <w:sz w:val="22"/>
              </w:rPr>
              <w:t>计划生育事务</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26.62</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26.62</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2100799</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 xml:space="preserve">  </w:t>
            </w:r>
            <w:r>
              <w:rPr>
                <w:rFonts w:hint="eastAsia" w:ascii="宋体" w:hAnsi="宋体" w:eastAsia="宋体"/>
                <w:sz w:val="22"/>
              </w:rPr>
              <w:t>其他计划生育事务支出</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26.62</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26.62</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21099</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hint="eastAsia" w:ascii="宋体" w:hAnsi="宋体" w:eastAsia="宋体"/>
                <w:sz w:val="22"/>
              </w:rPr>
              <w:t>其他卫生健康支出</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22.48</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22.48</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2109901</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 xml:space="preserve">  </w:t>
            </w:r>
            <w:r>
              <w:rPr>
                <w:rFonts w:hint="eastAsia" w:ascii="宋体" w:hAnsi="宋体" w:eastAsia="宋体"/>
                <w:sz w:val="22"/>
              </w:rPr>
              <w:t>其他卫生健康支出</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22.48</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22.48</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211</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hint="eastAsia" w:ascii="宋体" w:hAnsi="宋体" w:eastAsia="宋体"/>
                <w:sz w:val="22"/>
              </w:rPr>
              <w:t>节能环保支出</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52.2</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52.2</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21104</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hint="eastAsia" w:ascii="宋体" w:hAnsi="宋体" w:eastAsia="宋体"/>
                <w:sz w:val="22"/>
              </w:rPr>
              <w:t>自然生态保护</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52.2</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52.2</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2110402</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 xml:space="preserve">  </w:t>
            </w:r>
            <w:r>
              <w:rPr>
                <w:rFonts w:hint="eastAsia" w:ascii="宋体" w:hAnsi="宋体" w:eastAsia="宋体"/>
                <w:sz w:val="22"/>
              </w:rPr>
              <w:t>农村环境保护</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50</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50</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2110499</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 xml:space="preserve">  </w:t>
            </w:r>
            <w:r>
              <w:rPr>
                <w:rFonts w:hint="eastAsia" w:ascii="宋体" w:hAnsi="宋体" w:eastAsia="宋体"/>
                <w:sz w:val="22"/>
              </w:rPr>
              <w:t>其他自然生态保护支出</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2.2</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2.2</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212</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hint="eastAsia" w:ascii="宋体" w:hAnsi="宋体" w:eastAsia="宋体"/>
                <w:sz w:val="22"/>
              </w:rPr>
              <w:t>城乡社区支出</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12457.68</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12457.68</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21202</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hint="eastAsia" w:ascii="宋体" w:hAnsi="宋体" w:eastAsia="宋体"/>
                <w:sz w:val="22"/>
              </w:rPr>
              <w:t>城乡社区规划与管理</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2306.65</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2306.65</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2120201</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 xml:space="preserve">  </w:t>
            </w:r>
            <w:r>
              <w:rPr>
                <w:rFonts w:hint="eastAsia" w:ascii="宋体" w:hAnsi="宋体" w:eastAsia="宋体"/>
                <w:sz w:val="22"/>
              </w:rPr>
              <w:t>城乡社区规划与管理</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2306.65</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2306.65</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21203</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hint="eastAsia" w:ascii="宋体" w:hAnsi="宋体" w:eastAsia="宋体"/>
                <w:sz w:val="22"/>
              </w:rPr>
              <w:t>城乡社区公共设施</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6924.61</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6924.61</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2120399</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 xml:space="preserve">  </w:t>
            </w:r>
            <w:r>
              <w:rPr>
                <w:rFonts w:hint="eastAsia" w:ascii="宋体" w:hAnsi="宋体" w:eastAsia="宋体"/>
                <w:sz w:val="22"/>
              </w:rPr>
              <w:t>其他城乡社区公共设施支出</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6924.61</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6924.61</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21208</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hint="eastAsia" w:ascii="宋体" w:hAnsi="宋体" w:eastAsia="宋体"/>
                <w:sz w:val="22"/>
              </w:rPr>
              <w:t>国有土地使用权出让收入及对应专项债务收入安排的支出</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5</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5</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2120804</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 xml:space="preserve">  </w:t>
            </w:r>
            <w:r>
              <w:rPr>
                <w:rFonts w:hint="eastAsia" w:ascii="宋体" w:hAnsi="宋体" w:eastAsia="宋体"/>
                <w:sz w:val="22"/>
              </w:rPr>
              <w:t>农村基础设施建设支出</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5</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5</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21299</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hint="eastAsia" w:ascii="宋体" w:hAnsi="宋体" w:eastAsia="宋体"/>
                <w:sz w:val="22"/>
              </w:rPr>
              <w:t>其他城乡社区支出</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3221.42</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3221.42</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2129901</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 xml:space="preserve">  2129901</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3221.42</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3221.42</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213</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hint="eastAsia" w:ascii="宋体" w:hAnsi="宋体" w:eastAsia="宋体"/>
                <w:sz w:val="22"/>
              </w:rPr>
              <w:t>农林水支出</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3547.64</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139.92</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3407.72</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21301</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hint="eastAsia" w:ascii="宋体" w:hAnsi="宋体" w:eastAsia="宋体"/>
                <w:sz w:val="22"/>
              </w:rPr>
              <w:t>农业</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160.68</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139.92</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20.76</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2130101</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 xml:space="preserve">  </w:t>
            </w:r>
            <w:r>
              <w:rPr>
                <w:rFonts w:hint="eastAsia" w:ascii="宋体" w:hAnsi="宋体" w:eastAsia="宋体"/>
                <w:sz w:val="22"/>
              </w:rPr>
              <w:t>行政运行</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139.92</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139.92</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2130152</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 xml:space="preserve">  </w:t>
            </w:r>
            <w:r>
              <w:rPr>
                <w:rFonts w:hint="eastAsia" w:ascii="宋体" w:hAnsi="宋体" w:eastAsia="宋体"/>
                <w:sz w:val="22"/>
              </w:rPr>
              <w:t>对高校毕业生到基层任职补助</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20.76</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20.76</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21399</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hint="eastAsia" w:ascii="宋体" w:hAnsi="宋体" w:eastAsia="宋体"/>
                <w:sz w:val="22"/>
              </w:rPr>
              <w:t>其他农林水支出</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3386.96</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3386.96</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2139999</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 xml:space="preserve">  </w:t>
            </w:r>
            <w:r>
              <w:rPr>
                <w:rFonts w:hint="eastAsia" w:ascii="宋体" w:hAnsi="宋体" w:eastAsia="宋体"/>
                <w:sz w:val="22"/>
              </w:rPr>
              <w:t>其他农林水支出</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3386.96</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3386.96</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214</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hint="eastAsia" w:ascii="宋体" w:hAnsi="宋体" w:eastAsia="宋体"/>
                <w:sz w:val="22"/>
              </w:rPr>
              <w:t>交通运输支出</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633</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633</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21401</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hint="eastAsia" w:ascii="宋体" w:hAnsi="宋体" w:eastAsia="宋体"/>
                <w:sz w:val="22"/>
              </w:rPr>
              <w:t>公路水路运输</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633</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633</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2140104</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 xml:space="preserve">  </w:t>
            </w:r>
            <w:r>
              <w:rPr>
                <w:rFonts w:hint="eastAsia" w:ascii="宋体" w:hAnsi="宋体" w:eastAsia="宋体"/>
                <w:sz w:val="22"/>
              </w:rPr>
              <w:t>公路建设</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633</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633</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224</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hint="eastAsia" w:ascii="宋体" w:hAnsi="宋体" w:eastAsia="宋体"/>
                <w:sz w:val="22"/>
              </w:rPr>
              <w:t>灾害防治及应急管理支出</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8</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8</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22403</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hint="eastAsia" w:ascii="宋体" w:hAnsi="宋体" w:eastAsia="宋体"/>
                <w:sz w:val="22"/>
              </w:rPr>
              <w:t>森林消防事务</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8</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8</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3"/>
          <w:wAfter w:w="1890" w:type="dxa"/>
          <w:trHeight w:val="308" w:hRule="atLeast"/>
          <w:jc w:val="center"/>
        </w:trPr>
        <w:tc>
          <w:tcPr>
            <w:tcW w:w="641" w:type="dxa"/>
            <w:tcBorders>
              <w:top w:val="nil"/>
              <w:left w:val="single" w:color="000000" w:sz="4" w:space="0"/>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2240304</w:t>
            </w:r>
          </w:p>
        </w:tc>
        <w:tc>
          <w:tcPr>
            <w:tcW w:w="2509"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rPr>
                <w:rFonts w:ascii="宋体" w:hAnsi="宋体" w:eastAsia="宋体" w:cs="宋体"/>
                <w:sz w:val="22"/>
              </w:rPr>
            </w:pPr>
            <w:r>
              <w:rPr>
                <w:rFonts w:ascii="宋体" w:hAnsi="宋体" w:eastAsia="宋体"/>
                <w:sz w:val="22"/>
              </w:rPr>
              <w:t xml:space="preserve">  </w:t>
            </w:r>
            <w:r>
              <w:rPr>
                <w:rFonts w:hint="eastAsia" w:ascii="宋体" w:hAnsi="宋体" w:eastAsia="宋体"/>
                <w:sz w:val="22"/>
              </w:rPr>
              <w:t>森林消防应急救援</w:t>
            </w:r>
          </w:p>
        </w:tc>
        <w:tc>
          <w:tcPr>
            <w:tcW w:w="1908"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8</w:t>
            </w:r>
          </w:p>
        </w:tc>
        <w:tc>
          <w:tcPr>
            <w:tcW w:w="796" w:type="dxa"/>
            <w:gridSpan w:val="2"/>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90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8</w:t>
            </w:r>
          </w:p>
        </w:tc>
        <w:tc>
          <w:tcPr>
            <w:tcW w:w="246"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524" w:type="dxa"/>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c>
          <w:tcPr>
            <w:tcW w:w="3206" w:type="dxa"/>
            <w:gridSpan w:val="3"/>
            <w:tcBorders>
              <w:top w:val="nil"/>
              <w:left w:val="nil"/>
              <w:bottom w:val="single" w:color="000000" w:sz="4" w:space="0"/>
              <w:right w:val="single" w:color="000000" w:sz="4" w:space="0"/>
            </w:tcBorders>
            <w:noWrap/>
            <w:tcMar>
              <w:top w:w="13" w:type="dxa"/>
              <w:left w:w="13" w:type="dxa"/>
              <w:bottom w:w="0" w:type="dxa"/>
              <w:right w:w="13" w:type="dxa"/>
            </w:tcMar>
            <w:vAlign w:val="center"/>
          </w:tcPr>
          <w:p>
            <w:pPr>
              <w:jc w:val="right"/>
              <w:rPr>
                <w:rFonts w:ascii="宋体" w:hAnsi="宋体" w:eastAsia="宋体" w:cs="宋体"/>
                <w:sz w:val="22"/>
              </w:rPr>
            </w:pPr>
            <w:r>
              <w:rPr>
                <w:rFonts w:ascii="宋体" w:hAnsi="宋体" w:eastAsia="宋体"/>
                <w:sz w:val="22"/>
              </w:rPr>
              <w:t>0</w:t>
            </w:r>
          </w:p>
        </w:tc>
      </w:tr>
      <w:tr>
        <w:tblPrEx>
          <w:tblCellMar>
            <w:top w:w="0" w:type="dxa"/>
            <w:left w:w="0" w:type="dxa"/>
            <w:bottom w:w="0" w:type="dxa"/>
            <w:right w:w="0" w:type="dxa"/>
          </w:tblCellMar>
        </w:tblPrEx>
        <w:trPr>
          <w:gridAfter w:val="4"/>
          <w:wAfter w:w="2973" w:type="dxa"/>
          <w:trHeight w:val="308" w:hRule="atLeast"/>
          <w:jc w:val="center"/>
        </w:trPr>
        <w:tc>
          <w:tcPr>
            <w:tcW w:w="9653" w:type="dxa"/>
            <w:gridSpan w:val="12"/>
            <w:tcBorders>
              <w:top w:val="nil"/>
              <w:left w:val="nil"/>
              <w:bottom w:val="nil"/>
              <w:right w:val="nil"/>
            </w:tcBorders>
            <w:noWrap/>
            <w:tcMar>
              <w:top w:w="13" w:type="dxa"/>
              <w:left w:w="13" w:type="dxa"/>
              <w:bottom w:w="0" w:type="dxa"/>
              <w:right w:w="13" w:type="dxa"/>
            </w:tcMar>
            <w:vAlign w:val="center"/>
          </w:tcPr>
          <w:p>
            <w:pPr>
              <w:rPr>
                <w:rFonts w:ascii="宋体" w:hAnsi="宋体" w:eastAsia="宋体" w:cs="宋体"/>
                <w:sz w:val="22"/>
              </w:rPr>
            </w:pPr>
            <w:r>
              <w:rPr>
                <w:rFonts w:hint="eastAsia" w:ascii="宋体" w:hAnsi="宋体" w:eastAsia="宋体"/>
                <w:sz w:val="22"/>
              </w:rPr>
              <w:t>注：本表反映部门本年度各项支出情况。</w:t>
            </w:r>
          </w:p>
        </w:tc>
      </w:tr>
    </w:tbl>
    <w:p>
      <w:pPr>
        <w:rPr>
          <w:rFonts w:ascii="宋体" w:hAnsi="宋体" w:eastAsia="宋体"/>
          <w:sz w:val="22"/>
        </w:rPr>
      </w:pPr>
      <w:r>
        <w:rPr>
          <w:rFonts w:ascii="宋体" w:hAnsi="宋体" w:eastAsia="宋体"/>
          <w:sz w:val="22"/>
        </w:rPr>
        <w:t xml:space="preserve"> </w:t>
      </w:r>
      <w:r>
        <w:rPr>
          <w:rFonts w:ascii="宋体" w:hAnsi="宋体" w:eastAsia="宋体"/>
          <w:sz w:val="22"/>
        </w:rPr>
        <w:br w:type="page"/>
      </w:r>
    </w:p>
    <w:tbl>
      <w:tblPr>
        <w:tblStyle w:val="7"/>
        <w:tblW w:w="9520" w:type="dxa"/>
        <w:jc w:val="center"/>
        <w:tblLayout w:type="fixed"/>
        <w:tblCellMar>
          <w:top w:w="0" w:type="dxa"/>
          <w:left w:w="0" w:type="dxa"/>
          <w:bottom w:w="0" w:type="dxa"/>
          <w:right w:w="0" w:type="dxa"/>
        </w:tblCellMar>
      </w:tblPr>
      <w:tblGrid>
        <w:gridCol w:w="2384"/>
        <w:gridCol w:w="360"/>
        <w:gridCol w:w="900"/>
        <w:gridCol w:w="2520"/>
        <w:gridCol w:w="540"/>
        <w:gridCol w:w="1172"/>
        <w:gridCol w:w="855"/>
        <w:gridCol w:w="789"/>
      </w:tblGrid>
      <w:tr>
        <w:tblPrEx>
          <w:tblCellMar>
            <w:top w:w="0" w:type="dxa"/>
            <w:left w:w="0" w:type="dxa"/>
            <w:bottom w:w="0" w:type="dxa"/>
            <w:right w:w="0" w:type="dxa"/>
          </w:tblCellMar>
        </w:tblPrEx>
        <w:trPr>
          <w:trHeight w:val="406" w:hRule="atLeast"/>
          <w:jc w:val="center"/>
        </w:trPr>
        <w:tc>
          <w:tcPr>
            <w:tcW w:w="9520" w:type="dxa"/>
            <w:gridSpan w:val="8"/>
            <w:tcBorders>
              <w:top w:val="nil"/>
              <w:left w:val="nil"/>
              <w:bottom w:val="nil"/>
              <w:right w:val="nil"/>
            </w:tcBorders>
            <w:noWrap/>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rPr>
              <w:t>财政拨款收入支出决算总表</w:t>
            </w:r>
          </w:p>
        </w:tc>
      </w:tr>
      <w:tr>
        <w:tblPrEx>
          <w:tblCellMar>
            <w:top w:w="0" w:type="dxa"/>
            <w:left w:w="0" w:type="dxa"/>
            <w:bottom w:w="0" w:type="dxa"/>
            <w:right w:w="0" w:type="dxa"/>
          </w:tblCellMar>
        </w:tblPrEx>
        <w:trPr>
          <w:trHeight w:val="90" w:hRule="atLeast"/>
          <w:jc w:val="center"/>
        </w:trPr>
        <w:tc>
          <w:tcPr>
            <w:tcW w:w="2384"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36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90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52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54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816" w:type="dxa"/>
            <w:gridSpan w:val="3"/>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w:t>
            </w:r>
            <w:r>
              <w:rPr>
                <w:rFonts w:ascii="宋体" w:hAnsi="宋体" w:eastAsia="宋体" w:cs="宋体"/>
                <w:color w:val="000000"/>
                <w:kern w:val="0"/>
                <w:sz w:val="20"/>
                <w:szCs w:val="20"/>
              </w:rPr>
              <w:t>04</w:t>
            </w:r>
            <w:r>
              <w:rPr>
                <w:rFonts w:hint="eastAsia" w:ascii="宋体" w:hAnsi="宋体" w:eastAsia="宋体" w:cs="宋体"/>
                <w:color w:val="000000"/>
                <w:kern w:val="0"/>
                <w:sz w:val="20"/>
                <w:szCs w:val="20"/>
              </w:rPr>
              <w:t>表</w:t>
            </w:r>
          </w:p>
        </w:tc>
      </w:tr>
      <w:tr>
        <w:tblPrEx>
          <w:tblCellMar>
            <w:top w:w="0" w:type="dxa"/>
            <w:left w:w="0" w:type="dxa"/>
            <w:bottom w:w="0" w:type="dxa"/>
            <w:right w:w="0" w:type="dxa"/>
          </w:tblCellMar>
        </w:tblPrEx>
        <w:trPr>
          <w:trHeight w:val="90" w:hRule="atLeast"/>
          <w:jc w:val="center"/>
        </w:trPr>
        <w:tc>
          <w:tcPr>
            <w:tcW w:w="3644" w:type="dxa"/>
            <w:gridSpan w:val="3"/>
            <w:tcBorders>
              <w:top w:val="nil"/>
              <w:left w:val="nil"/>
              <w:bottom w:val="nil"/>
              <w:right w:val="nil"/>
            </w:tcBorders>
            <w:noWrap/>
            <w:tcMar>
              <w:top w:w="15" w:type="dxa"/>
              <w:left w:w="15" w:type="dxa"/>
              <w:right w:w="15" w:type="dxa"/>
            </w:tcMar>
            <w:vAlign w:val="top"/>
          </w:tcPr>
          <w:p>
            <w:pPr>
              <w:jc w:val="left"/>
              <w:rPr>
                <w:rFonts w:ascii="Arial" w:hAnsi="Arial" w:cs="Arial"/>
                <w:color w:val="000000"/>
                <w:sz w:val="20"/>
                <w:szCs w:val="20"/>
              </w:rPr>
            </w:pPr>
            <w:r>
              <w:rPr>
                <w:rFonts w:hint="eastAsia" w:ascii="宋体" w:hAnsi="宋体" w:eastAsia="宋体" w:cs="宋体"/>
                <w:color w:val="000000"/>
                <w:kern w:val="0"/>
                <w:sz w:val="20"/>
                <w:szCs w:val="20"/>
              </w:rPr>
              <w:t>部门：</w:t>
            </w:r>
            <w:r>
              <w:rPr>
                <w:rFonts w:hint="eastAsia" w:ascii="宋体" w:hAnsi="宋体" w:eastAsia="宋体" w:cs="宋体"/>
                <w:color w:val="000000"/>
                <w:kern w:val="0"/>
                <w:sz w:val="20"/>
                <w:szCs w:val="20"/>
                <w:lang w:eastAsia="zh-CN"/>
              </w:rPr>
              <w:t>石家庄市鹿泉区铜冶镇人民政府</w:t>
            </w:r>
          </w:p>
        </w:tc>
        <w:tc>
          <w:tcPr>
            <w:tcW w:w="252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54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816" w:type="dxa"/>
            <w:gridSpan w:val="3"/>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90" w:hRule="atLeast"/>
          <w:jc w:val="center"/>
        </w:trPr>
        <w:tc>
          <w:tcPr>
            <w:tcW w:w="3644"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w:t>
            </w:r>
            <w:r>
              <w:rPr>
                <w:rFonts w:ascii="宋体" w:hAnsi="宋体" w:eastAsia="宋体" w:cs="宋体"/>
                <w:color w:val="000000"/>
                <w:kern w:val="0"/>
                <w:sz w:val="22"/>
              </w:rPr>
              <w:t xml:space="preserve">     </w:t>
            </w:r>
            <w:r>
              <w:rPr>
                <w:rFonts w:hint="eastAsia" w:ascii="宋体" w:hAnsi="宋体" w:eastAsia="宋体" w:cs="宋体"/>
                <w:color w:val="000000"/>
                <w:kern w:val="0"/>
                <w:sz w:val="22"/>
              </w:rPr>
              <w:t>入</w:t>
            </w:r>
          </w:p>
        </w:tc>
        <w:tc>
          <w:tcPr>
            <w:tcW w:w="5876" w:type="dxa"/>
            <w:gridSpan w:val="5"/>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w:t>
            </w:r>
            <w:r>
              <w:rPr>
                <w:rFonts w:ascii="宋体" w:hAnsi="宋体" w:eastAsia="宋体" w:cs="宋体"/>
                <w:color w:val="000000"/>
                <w:kern w:val="0"/>
                <w:sz w:val="22"/>
              </w:rPr>
              <w:t xml:space="preserve">     </w:t>
            </w:r>
            <w:r>
              <w:rPr>
                <w:rFonts w:hint="eastAsia" w:ascii="宋体" w:hAnsi="宋体" w:eastAsia="宋体" w:cs="宋体"/>
                <w:color w:val="000000"/>
                <w:kern w:val="0"/>
                <w:sz w:val="22"/>
              </w:rPr>
              <w:t>出</w:t>
            </w:r>
          </w:p>
        </w:tc>
      </w:tr>
      <w:tr>
        <w:tblPrEx>
          <w:tblCellMar>
            <w:top w:w="0" w:type="dxa"/>
            <w:left w:w="0" w:type="dxa"/>
            <w:bottom w:w="0" w:type="dxa"/>
            <w:right w:w="0" w:type="dxa"/>
          </w:tblCellMar>
        </w:tblPrEx>
        <w:trPr>
          <w:trHeight w:val="312" w:hRule="atLeast"/>
          <w:jc w:val="center"/>
        </w:trPr>
        <w:tc>
          <w:tcPr>
            <w:tcW w:w="2384"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36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90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252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4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1172" w:type="dxa"/>
            <w:vMerge w:val="restart"/>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855"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一般公共预算财政拨款</w:t>
            </w:r>
          </w:p>
        </w:tc>
        <w:tc>
          <w:tcPr>
            <w:tcW w:w="789"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政府性基金预算财政拨款</w:t>
            </w:r>
          </w:p>
        </w:tc>
      </w:tr>
      <w:tr>
        <w:tblPrEx>
          <w:tblCellMar>
            <w:top w:w="0" w:type="dxa"/>
            <w:left w:w="0" w:type="dxa"/>
            <w:bottom w:w="0" w:type="dxa"/>
            <w:right w:w="0" w:type="dxa"/>
          </w:tblCellMar>
        </w:tblPrEx>
        <w:trPr>
          <w:trHeight w:val="312" w:hRule="atLeast"/>
          <w:jc w:val="center"/>
        </w:trPr>
        <w:tc>
          <w:tcPr>
            <w:tcW w:w="2384"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36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0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252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54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72"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855"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789"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w:t>
            </w:r>
          </w:p>
        </w:tc>
        <w:tc>
          <w:tcPr>
            <w:tcW w:w="25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栏次</w:t>
            </w:r>
          </w:p>
        </w:tc>
        <w:tc>
          <w:tcPr>
            <w:tcW w:w="54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11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w:t>
            </w: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w:t>
            </w: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w:t>
            </w:r>
          </w:p>
        </w:tc>
      </w:tr>
      <w:tr>
        <w:tblPrEx>
          <w:tblCellMar>
            <w:top w:w="0" w:type="dxa"/>
            <w:left w:w="0" w:type="dxa"/>
            <w:bottom w:w="0" w:type="dxa"/>
            <w:right w:w="0" w:type="dxa"/>
          </w:tblCellMar>
        </w:tblPrEx>
        <w:trPr>
          <w:trHeight w:val="90" w:hRule="atLeast"/>
          <w:jc w:val="center"/>
        </w:trPr>
        <w:tc>
          <w:tcPr>
            <w:tcW w:w="23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17630.70</w:t>
            </w:r>
          </w:p>
        </w:tc>
        <w:tc>
          <w:tcPr>
            <w:tcW w:w="25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30</w:t>
            </w:r>
          </w:p>
        </w:tc>
        <w:tc>
          <w:tcPr>
            <w:tcW w:w="117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1381.29</w:t>
            </w: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1381.29</w:t>
            </w: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5.00</w:t>
            </w:r>
          </w:p>
        </w:tc>
        <w:tc>
          <w:tcPr>
            <w:tcW w:w="25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31</w:t>
            </w:r>
          </w:p>
        </w:tc>
        <w:tc>
          <w:tcPr>
            <w:tcW w:w="117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25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32</w:t>
            </w:r>
          </w:p>
        </w:tc>
        <w:tc>
          <w:tcPr>
            <w:tcW w:w="117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25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33</w:t>
            </w:r>
          </w:p>
        </w:tc>
        <w:tc>
          <w:tcPr>
            <w:tcW w:w="117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340.58</w:t>
            </w: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340.58</w:t>
            </w: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25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34</w:t>
            </w:r>
          </w:p>
        </w:tc>
        <w:tc>
          <w:tcPr>
            <w:tcW w:w="117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586.56</w:t>
            </w: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586.56</w:t>
            </w: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6</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25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35</w:t>
            </w:r>
          </w:p>
        </w:tc>
        <w:tc>
          <w:tcPr>
            <w:tcW w:w="117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7</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25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36</w:t>
            </w:r>
          </w:p>
        </w:tc>
        <w:tc>
          <w:tcPr>
            <w:tcW w:w="117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104.77</w:t>
            </w: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104.77</w:t>
            </w: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8</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25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37</w:t>
            </w:r>
          </w:p>
        </w:tc>
        <w:tc>
          <w:tcPr>
            <w:tcW w:w="117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77.82</w:t>
            </w: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77.82</w:t>
            </w: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9</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25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38</w:t>
            </w:r>
          </w:p>
        </w:tc>
        <w:tc>
          <w:tcPr>
            <w:tcW w:w="117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259.04</w:t>
            </w: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259.04</w:t>
            </w: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10</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25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39</w:t>
            </w:r>
          </w:p>
        </w:tc>
        <w:tc>
          <w:tcPr>
            <w:tcW w:w="117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52.20</w:t>
            </w: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52.2</w:t>
            </w: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11</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25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40</w:t>
            </w:r>
          </w:p>
        </w:tc>
        <w:tc>
          <w:tcPr>
            <w:tcW w:w="117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10644.80</w:t>
            </w: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10639.80</w:t>
            </w: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5.00</w:t>
            </w:r>
          </w:p>
        </w:tc>
      </w:tr>
      <w:tr>
        <w:tblPrEx>
          <w:tblCellMar>
            <w:top w:w="0" w:type="dxa"/>
            <w:left w:w="0" w:type="dxa"/>
            <w:bottom w:w="0" w:type="dxa"/>
            <w:right w:w="0" w:type="dxa"/>
          </w:tblCellMar>
        </w:tblPrEx>
        <w:trPr>
          <w:trHeight w:val="90" w:hRule="atLeast"/>
          <w:jc w:val="center"/>
        </w:trPr>
        <w:tc>
          <w:tcPr>
            <w:tcW w:w="23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12</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25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41</w:t>
            </w:r>
          </w:p>
        </w:tc>
        <w:tc>
          <w:tcPr>
            <w:tcW w:w="117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3547.64</w:t>
            </w: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3547.64</w:t>
            </w: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13</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25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42</w:t>
            </w:r>
          </w:p>
        </w:tc>
        <w:tc>
          <w:tcPr>
            <w:tcW w:w="117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633.00</w:t>
            </w: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633.00</w:t>
            </w: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14</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25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43</w:t>
            </w:r>
          </w:p>
        </w:tc>
        <w:tc>
          <w:tcPr>
            <w:tcW w:w="117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15</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25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44</w:t>
            </w:r>
          </w:p>
        </w:tc>
        <w:tc>
          <w:tcPr>
            <w:tcW w:w="117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16</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25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45</w:t>
            </w:r>
          </w:p>
        </w:tc>
        <w:tc>
          <w:tcPr>
            <w:tcW w:w="117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17</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25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46</w:t>
            </w:r>
          </w:p>
        </w:tc>
        <w:tc>
          <w:tcPr>
            <w:tcW w:w="117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18</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Cs w:val="21"/>
              </w:rPr>
            </w:pPr>
          </w:p>
        </w:tc>
        <w:tc>
          <w:tcPr>
            <w:tcW w:w="25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十八、自然资源海洋气象等支出</w:t>
            </w:r>
          </w:p>
        </w:tc>
        <w:tc>
          <w:tcPr>
            <w:tcW w:w="5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47</w:t>
            </w:r>
          </w:p>
        </w:tc>
        <w:tc>
          <w:tcPr>
            <w:tcW w:w="117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19</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25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48</w:t>
            </w:r>
          </w:p>
        </w:tc>
        <w:tc>
          <w:tcPr>
            <w:tcW w:w="117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20</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25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49</w:t>
            </w:r>
          </w:p>
        </w:tc>
        <w:tc>
          <w:tcPr>
            <w:tcW w:w="117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21</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25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rPr>
              <w:t>二十一、灾害防治及应急管理支出</w:t>
            </w:r>
          </w:p>
        </w:tc>
        <w:tc>
          <w:tcPr>
            <w:tcW w:w="5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50</w:t>
            </w:r>
          </w:p>
        </w:tc>
        <w:tc>
          <w:tcPr>
            <w:tcW w:w="117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8.00</w:t>
            </w: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8.00</w:t>
            </w: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22</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25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51</w:t>
            </w:r>
          </w:p>
        </w:tc>
        <w:tc>
          <w:tcPr>
            <w:tcW w:w="117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23</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25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52</w:t>
            </w:r>
          </w:p>
        </w:tc>
        <w:tc>
          <w:tcPr>
            <w:tcW w:w="117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24</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17635.70</w:t>
            </w:r>
          </w:p>
        </w:tc>
        <w:tc>
          <w:tcPr>
            <w:tcW w:w="25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53</w:t>
            </w:r>
          </w:p>
        </w:tc>
        <w:tc>
          <w:tcPr>
            <w:tcW w:w="117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17635.70</w:t>
            </w: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17630.70</w:t>
            </w: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5.00</w:t>
            </w:r>
          </w:p>
        </w:tc>
      </w:tr>
      <w:tr>
        <w:tblPrEx>
          <w:tblCellMar>
            <w:top w:w="0" w:type="dxa"/>
            <w:left w:w="0" w:type="dxa"/>
            <w:bottom w:w="0" w:type="dxa"/>
            <w:right w:w="0" w:type="dxa"/>
          </w:tblCellMar>
        </w:tblPrEx>
        <w:trPr>
          <w:trHeight w:val="90" w:hRule="atLeast"/>
          <w:jc w:val="center"/>
        </w:trPr>
        <w:tc>
          <w:tcPr>
            <w:tcW w:w="23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年初财政拨款结转和结余</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25</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25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年末财政拨款结转和结余</w:t>
            </w:r>
          </w:p>
        </w:tc>
        <w:tc>
          <w:tcPr>
            <w:tcW w:w="5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54</w:t>
            </w:r>
          </w:p>
        </w:tc>
        <w:tc>
          <w:tcPr>
            <w:tcW w:w="117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26</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2520"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5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55</w:t>
            </w:r>
          </w:p>
        </w:tc>
        <w:tc>
          <w:tcPr>
            <w:tcW w:w="117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27</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2520"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5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56</w:t>
            </w:r>
          </w:p>
        </w:tc>
        <w:tc>
          <w:tcPr>
            <w:tcW w:w="117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28</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2520"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5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57</w:t>
            </w:r>
          </w:p>
        </w:tc>
        <w:tc>
          <w:tcPr>
            <w:tcW w:w="117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4" w:hRule="atLeast"/>
          <w:jc w:val="center"/>
        </w:trPr>
        <w:tc>
          <w:tcPr>
            <w:tcW w:w="238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3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29</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17635.70</w:t>
            </w:r>
          </w:p>
        </w:tc>
        <w:tc>
          <w:tcPr>
            <w:tcW w:w="25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4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58</w:t>
            </w:r>
          </w:p>
        </w:tc>
        <w:tc>
          <w:tcPr>
            <w:tcW w:w="117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17635.70</w:t>
            </w: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17630.70</w:t>
            </w: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5.00</w:t>
            </w:r>
          </w:p>
        </w:tc>
      </w:tr>
      <w:tr>
        <w:tblPrEx>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注：本表反映部门本年度一般公共预算财政拨款和政府性基金预算财政拨款的总收支和年末结转结余情况。</w:t>
            </w:r>
          </w:p>
        </w:tc>
      </w:tr>
    </w:tbl>
    <w:p>
      <w:r>
        <w:br w:type="page"/>
      </w:r>
    </w:p>
    <w:tbl>
      <w:tblPr>
        <w:tblStyle w:val="7"/>
        <w:tblW w:w="9176" w:type="dxa"/>
        <w:tblInd w:w="95" w:type="dxa"/>
        <w:tblLayout w:type="fixed"/>
        <w:tblCellMar>
          <w:top w:w="0" w:type="dxa"/>
          <w:left w:w="108" w:type="dxa"/>
          <w:bottom w:w="0" w:type="dxa"/>
          <w:right w:w="108" w:type="dxa"/>
        </w:tblCellMar>
      </w:tblPr>
      <w:tblGrid>
        <w:gridCol w:w="524"/>
        <w:gridCol w:w="522"/>
        <w:gridCol w:w="554"/>
        <w:gridCol w:w="3248"/>
        <w:gridCol w:w="1462"/>
        <w:gridCol w:w="974"/>
        <w:gridCol w:w="1892"/>
      </w:tblGrid>
      <w:tr>
        <w:tblPrEx>
          <w:tblCellMar>
            <w:top w:w="0" w:type="dxa"/>
            <w:left w:w="108" w:type="dxa"/>
            <w:bottom w:w="0" w:type="dxa"/>
            <w:right w:w="108" w:type="dxa"/>
          </w:tblCellMar>
        </w:tblPrEx>
        <w:trPr>
          <w:trHeight w:val="285" w:hRule="atLeast"/>
        </w:trPr>
        <w:tc>
          <w:tcPr>
            <w:tcW w:w="9176" w:type="dxa"/>
            <w:gridSpan w:val="7"/>
            <w:tcBorders>
              <w:top w:val="nil"/>
              <w:left w:val="nil"/>
              <w:bottom w:val="nil"/>
              <w:right w:val="nil"/>
            </w:tcBorders>
            <w:noWrap/>
            <w:vAlign w:val="center"/>
          </w:tcPr>
          <w:p>
            <w:pPr>
              <w:widowControl/>
              <w:jc w:val="center"/>
              <w:rPr>
                <w:rFonts w:ascii="宋体" w:hAnsi="宋体" w:eastAsia="宋体" w:cs="宋体"/>
                <w:kern w:val="0"/>
                <w:sz w:val="24"/>
                <w:szCs w:val="24"/>
              </w:rPr>
            </w:pPr>
            <w:r>
              <w:rPr>
                <w:rFonts w:hint="eastAsia" w:ascii="黑体" w:hAnsi="宋体" w:eastAsia="黑体" w:cs="黑体"/>
                <w:color w:val="000000"/>
                <w:kern w:val="0"/>
                <w:sz w:val="32"/>
                <w:szCs w:val="32"/>
              </w:rPr>
              <w:t>一般公共预算财政拨款支出决算表</w:t>
            </w:r>
          </w:p>
        </w:tc>
      </w:tr>
      <w:tr>
        <w:tblPrEx>
          <w:tblCellMar>
            <w:top w:w="0" w:type="dxa"/>
            <w:left w:w="108" w:type="dxa"/>
            <w:bottom w:w="0" w:type="dxa"/>
            <w:right w:w="108" w:type="dxa"/>
          </w:tblCellMar>
        </w:tblPrEx>
        <w:trPr>
          <w:trHeight w:val="285" w:hRule="atLeast"/>
        </w:trPr>
        <w:tc>
          <w:tcPr>
            <w:tcW w:w="524" w:type="dxa"/>
            <w:tcBorders>
              <w:top w:val="nil"/>
              <w:left w:val="nil"/>
              <w:bottom w:val="nil"/>
              <w:right w:val="nil"/>
            </w:tcBorders>
            <w:noWrap/>
            <w:vAlign w:val="center"/>
          </w:tcPr>
          <w:p>
            <w:pPr>
              <w:widowControl/>
              <w:jc w:val="left"/>
              <w:rPr>
                <w:rFonts w:ascii="宋体" w:hAnsi="宋体" w:eastAsia="宋体" w:cs="宋体"/>
                <w:kern w:val="0"/>
                <w:sz w:val="20"/>
                <w:szCs w:val="20"/>
              </w:rPr>
            </w:pPr>
          </w:p>
        </w:tc>
        <w:tc>
          <w:tcPr>
            <w:tcW w:w="522" w:type="dxa"/>
            <w:tcBorders>
              <w:top w:val="nil"/>
              <w:left w:val="nil"/>
              <w:bottom w:val="nil"/>
              <w:right w:val="nil"/>
            </w:tcBorders>
            <w:noWrap/>
            <w:vAlign w:val="center"/>
          </w:tcPr>
          <w:p>
            <w:pPr>
              <w:widowControl/>
              <w:jc w:val="left"/>
              <w:rPr>
                <w:rFonts w:ascii="宋体" w:hAnsi="宋体" w:eastAsia="宋体" w:cs="宋体"/>
                <w:kern w:val="0"/>
                <w:sz w:val="20"/>
                <w:szCs w:val="20"/>
              </w:rPr>
            </w:pPr>
          </w:p>
        </w:tc>
        <w:tc>
          <w:tcPr>
            <w:tcW w:w="554" w:type="dxa"/>
            <w:tcBorders>
              <w:top w:val="nil"/>
              <w:left w:val="nil"/>
              <w:bottom w:val="nil"/>
              <w:right w:val="nil"/>
            </w:tcBorders>
            <w:noWrap/>
            <w:vAlign w:val="center"/>
          </w:tcPr>
          <w:p>
            <w:pPr>
              <w:widowControl/>
              <w:jc w:val="left"/>
              <w:rPr>
                <w:rFonts w:ascii="宋体" w:hAnsi="宋体" w:eastAsia="宋体" w:cs="宋体"/>
                <w:kern w:val="0"/>
                <w:sz w:val="20"/>
                <w:szCs w:val="20"/>
              </w:rPr>
            </w:pPr>
          </w:p>
        </w:tc>
        <w:tc>
          <w:tcPr>
            <w:tcW w:w="3248" w:type="dxa"/>
            <w:tcBorders>
              <w:top w:val="nil"/>
              <w:left w:val="nil"/>
              <w:bottom w:val="nil"/>
              <w:right w:val="nil"/>
            </w:tcBorders>
            <w:noWrap/>
            <w:vAlign w:val="center"/>
          </w:tcPr>
          <w:p>
            <w:pPr>
              <w:widowControl/>
              <w:jc w:val="left"/>
              <w:rPr>
                <w:rFonts w:ascii="宋体" w:hAnsi="宋体" w:eastAsia="宋体" w:cs="宋体"/>
                <w:kern w:val="0"/>
                <w:sz w:val="20"/>
                <w:szCs w:val="20"/>
              </w:rPr>
            </w:pPr>
          </w:p>
        </w:tc>
        <w:tc>
          <w:tcPr>
            <w:tcW w:w="1462" w:type="dxa"/>
            <w:tcBorders>
              <w:top w:val="nil"/>
              <w:left w:val="nil"/>
              <w:bottom w:val="nil"/>
              <w:right w:val="nil"/>
            </w:tcBorders>
            <w:noWrap/>
            <w:vAlign w:val="center"/>
          </w:tcPr>
          <w:p>
            <w:pPr>
              <w:widowControl/>
              <w:jc w:val="left"/>
              <w:rPr>
                <w:rFonts w:ascii="宋体" w:hAnsi="宋体" w:eastAsia="宋体" w:cs="宋体"/>
                <w:kern w:val="0"/>
                <w:sz w:val="20"/>
                <w:szCs w:val="20"/>
              </w:rPr>
            </w:pPr>
          </w:p>
        </w:tc>
        <w:tc>
          <w:tcPr>
            <w:tcW w:w="974" w:type="dxa"/>
            <w:tcBorders>
              <w:top w:val="nil"/>
              <w:left w:val="nil"/>
              <w:bottom w:val="nil"/>
              <w:right w:val="nil"/>
            </w:tcBorders>
            <w:noWrap/>
            <w:vAlign w:val="center"/>
          </w:tcPr>
          <w:p>
            <w:pPr>
              <w:widowControl/>
              <w:jc w:val="left"/>
              <w:rPr>
                <w:rFonts w:ascii="宋体" w:hAnsi="宋体" w:eastAsia="宋体" w:cs="宋体"/>
                <w:kern w:val="0"/>
                <w:sz w:val="20"/>
                <w:szCs w:val="20"/>
              </w:rPr>
            </w:pPr>
          </w:p>
        </w:tc>
        <w:tc>
          <w:tcPr>
            <w:tcW w:w="1892" w:type="dxa"/>
            <w:tcBorders>
              <w:top w:val="nil"/>
              <w:left w:val="nil"/>
              <w:bottom w:val="nil"/>
              <w:right w:val="nil"/>
            </w:tcBorders>
            <w:noWrap/>
            <w:vAlign w:val="bottom"/>
          </w:tcPr>
          <w:p>
            <w:pPr>
              <w:widowControl/>
              <w:jc w:val="right"/>
              <w:rPr>
                <w:rFonts w:ascii="宋体" w:hAnsi="宋体" w:eastAsia="宋体" w:cs="宋体"/>
                <w:kern w:val="0"/>
                <w:sz w:val="20"/>
                <w:szCs w:val="20"/>
              </w:rPr>
            </w:pPr>
            <w:r>
              <w:rPr>
                <w:rFonts w:hint="eastAsia" w:ascii="宋体" w:hAnsi="宋体" w:eastAsia="宋体" w:cs="宋体"/>
                <w:kern w:val="0"/>
                <w:sz w:val="20"/>
                <w:szCs w:val="20"/>
              </w:rPr>
              <w:t>公开</w:t>
            </w:r>
            <w:r>
              <w:rPr>
                <w:rFonts w:ascii="宋体" w:hAnsi="宋体" w:eastAsia="宋体" w:cs="宋体"/>
                <w:kern w:val="0"/>
                <w:sz w:val="20"/>
                <w:szCs w:val="20"/>
              </w:rPr>
              <w:t>05</w:t>
            </w:r>
            <w:r>
              <w:rPr>
                <w:rFonts w:hint="eastAsia" w:ascii="宋体" w:hAnsi="宋体" w:eastAsia="宋体" w:cs="宋体"/>
                <w:kern w:val="0"/>
                <w:sz w:val="20"/>
                <w:szCs w:val="20"/>
              </w:rPr>
              <w:t>表</w:t>
            </w:r>
          </w:p>
        </w:tc>
      </w:tr>
      <w:tr>
        <w:tblPrEx>
          <w:tblCellMar>
            <w:top w:w="0" w:type="dxa"/>
            <w:left w:w="108" w:type="dxa"/>
            <w:bottom w:w="0" w:type="dxa"/>
            <w:right w:w="108" w:type="dxa"/>
          </w:tblCellMar>
        </w:tblPrEx>
        <w:trPr>
          <w:trHeight w:val="285" w:hRule="atLeast"/>
        </w:trPr>
        <w:tc>
          <w:tcPr>
            <w:tcW w:w="7284" w:type="dxa"/>
            <w:gridSpan w:val="6"/>
            <w:tcBorders>
              <w:top w:val="nil"/>
              <w:left w:val="nil"/>
              <w:bottom w:val="nil"/>
              <w:right w:val="nil"/>
            </w:tcBorders>
            <w:noWrap/>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部门：石家庄市鹿泉区铜冶镇人民政府</w:t>
            </w:r>
          </w:p>
        </w:tc>
        <w:tc>
          <w:tcPr>
            <w:tcW w:w="1892" w:type="dxa"/>
            <w:tcBorders>
              <w:top w:val="nil"/>
              <w:left w:val="nil"/>
              <w:bottom w:val="nil"/>
              <w:right w:val="nil"/>
            </w:tcBorders>
            <w:noWrap/>
            <w:vAlign w:val="bottom"/>
          </w:tcPr>
          <w:p>
            <w:pPr>
              <w:widowControl/>
              <w:jc w:val="right"/>
              <w:rPr>
                <w:rFonts w:ascii="宋体" w:hAnsi="宋体" w:eastAsia="宋体" w:cs="宋体"/>
                <w:kern w:val="0"/>
                <w:sz w:val="20"/>
                <w:szCs w:val="20"/>
              </w:rPr>
            </w:pPr>
            <w:r>
              <w:rPr>
                <w:rFonts w:hint="eastAsia" w:ascii="宋体" w:hAnsi="宋体" w:eastAsia="宋体" w:cs="宋体"/>
                <w:kern w:val="0"/>
                <w:sz w:val="20"/>
                <w:szCs w:val="20"/>
              </w:rPr>
              <w:t>金额单位：万元</w:t>
            </w:r>
          </w:p>
        </w:tc>
      </w:tr>
      <w:tr>
        <w:tblPrEx>
          <w:tblCellMar>
            <w:top w:w="0" w:type="dxa"/>
            <w:left w:w="108" w:type="dxa"/>
            <w:bottom w:w="0" w:type="dxa"/>
            <w:right w:w="108" w:type="dxa"/>
          </w:tblCellMar>
        </w:tblPrEx>
        <w:trPr>
          <w:trHeight w:val="308" w:hRule="atLeast"/>
        </w:trPr>
        <w:tc>
          <w:tcPr>
            <w:tcW w:w="4848" w:type="dxa"/>
            <w:gridSpan w:val="4"/>
            <w:tcBorders>
              <w:top w:val="single" w:color="000000" w:sz="4" w:space="0"/>
              <w:left w:val="single" w:color="000000" w:sz="4" w:space="0"/>
              <w:bottom w:val="single" w:color="000000" w:sz="4" w:space="0"/>
              <w:right w:val="single" w:color="000000" w:sz="4" w:space="0"/>
            </w:tcBorders>
            <w:shd w:val="clear" w:color="FFFFFF" w:fill="FFFFFF" w:themeFill="background1"/>
            <w:noWrap/>
            <w:vAlign w:val="center"/>
          </w:tcPr>
          <w:p>
            <w:pPr>
              <w:widowControl/>
              <w:jc w:val="center"/>
              <w:rPr>
                <w:rFonts w:ascii="宋体" w:hAnsi="宋体" w:eastAsia="宋体" w:cs="宋体"/>
                <w:kern w:val="0"/>
                <w:sz w:val="22"/>
              </w:rPr>
            </w:pPr>
            <w:r>
              <w:rPr>
                <w:rFonts w:hint="eastAsia" w:ascii="宋体" w:hAnsi="宋体" w:eastAsia="宋体" w:cs="宋体"/>
                <w:kern w:val="0"/>
                <w:sz w:val="22"/>
              </w:rPr>
              <w:t>项目</w:t>
            </w:r>
          </w:p>
        </w:tc>
        <w:tc>
          <w:tcPr>
            <w:tcW w:w="4328" w:type="dxa"/>
            <w:gridSpan w:val="3"/>
            <w:tcBorders>
              <w:top w:val="single" w:color="000000" w:sz="4" w:space="0"/>
              <w:left w:val="nil"/>
              <w:bottom w:val="single" w:color="000000" w:sz="4" w:space="0"/>
              <w:right w:val="single" w:color="000000" w:sz="4" w:space="0"/>
            </w:tcBorders>
            <w:shd w:val="clear" w:color="FFFFFF" w:fill="FFFFFF" w:themeFill="background1"/>
            <w:vAlign w:val="center"/>
          </w:tcPr>
          <w:p>
            <w:pPr>
              <w:widowControl/>
              <w:jc w:val="center"/>
              <w:rPr>
                <w:rFonts w:ascii="宋体" w:hAnsi="宋体" w:eastAsia="宋体" w:cs="宋体"/>
                <w:kern w:val="0"/>
                <w:sz w:val="22"/>
              </w:rPr>
            </w:pPr>
            <w:r>
              <w:rPr>
                <w:rFonts w:hint="eastAsia" w:ascii="宋体" w:hAnsi="宋体" w:eastAsia="宋体" w:cs="宋体"/>
                <w:kern w:val="0"/>
                <w:sz w:val="22"/>
              </w:rPr>
              <w:t>本年支出</w:t>
            </w:r>
          </w:p>
        </w:tc>
      </w:tr>
      <w:tr>
        <w:tblPrEx>
          <w:tblCellMar>
            <w:top w:w="0" w:type="dxa"/>
            <w:left w:w="108" w:type="dxa"/>
            <w:bottom w:w="0" w:type="dxa"/>
            <w:right w:w="108" w:type="dxa"/>
          </w:tblCellMar>
        </w:tblPrEx>
        <w:trPr>
          <w:trHeight w:val="312" w:hRule="atLeast"/>
        </w:trPr>
        <w:tc>
          <w:tcPr>
            <w:tcW w:w="1600" w:type="dxa"/>
            <w:gridSpan w:val="3"/>
            <w:vMerge w:val="restart"/>
            <w:tcBorders>
              <w:top w:val="nil"/>
              <w:left w:val="single" w:color="000000" w:sz="4" w:space="0"/>
              <w:bottom w:val="single" w:color="000000" w:sz="4" w:space="0"/>
              <w:right w:val="single" w:color="000000" w:sz="4" w:space="0"/>
            </w:tcBorders>
            <w:shd w:val="clear" w:color="FFFFFF" w:fill="FFFFFF" w:themeFill="background1"/>
            <w:vAlign w:val="center"/>
          </w:tcPr>
          <w:p>
            <w:pPr>
              <w:widowControl/>
              <w:jc w:val="center"/>
              <w:rPr>
                <w:rFonts w:ascii="宋体" w:hAnsi="宋体" w:eastAsia="宋体" w:cs="宋体"/>
                <w:kern w:val="0"/>
                <w:sz w:val="22"/>
              </w:rPr>
            </w:pPr>
            <w:r>
              <w:rPr>
                <w:rFonts w:hint="eastAsia" w:ascii="宋体" w:hAnsi="宋体" w:eastAsia="宋体" w:cs="宋体"/>
                <w:kern w:val="0"/>
                <w:sz w:val="22"/>
              </w:rPr>
              <w:t>功能分类科目编码</w:t>
            </w:r>
          </w:p>
        </w:tc>
        <w:tc>
          <w:tcPr>
            <w:tcW w:w="3248" w:type="dxa"/>
            <w:vMerge w:val="restart"/>
            <w:tcBorders>
              <w:top w:val="nil"/>
              <w:left w:val="nil"/>
              <w:bottom w:val="single" w:color="000000" w:sz="4" w:space="0"/>
              <w:right w:val="single" w:color="000000" w:sz="4" w:space="0"/>
            </w:tcBorders>
            <w:shd w:val="clear" w:color="FFFFFF" w:fill="FFFFFF" w:themeFill="background1"/>
            <w:noWrap/>
            <w:vAlign w:val="center"/>
          </w:tcPr>
          <w:p>
            <w:pPr>
              <w:widowControl/>
              <w:jc w:val="center"/>
              <w:rPr>
                <w:rFonts w:ascii="宋体" w:hAnsi="宋体" w:eastAsia="宋体" w:cs="宋体"/>
                <w:kern w:val="0"/>
                <w:sz w:val="22"/>
              </w:rPr>
            </w:pPr>
            <w:r>
              <w:rPr>
                <w:rFonts w:hint="eastAsia" w:ascii="宋体" w:hAnsi="宋体" w:eastAsia="宋体" w:cs="宋体"/>
                <w:kern w:val="0"/>
                <w:sz w:val="22"/>
              </w:rPr>
              <w:t>科目名称</w:t>
            </w:r>
          </w:p>
        </w:tc>
        <w:tc>
          <w:tcPr>
            <w:tcW w:w="1462" w:type="dxa"/>
            <w:vMerge w:val="restart"/>
            <w:tcBorders>
              <w:top w:val="nil"/>
              <w:left w:val="nil"/>
              <w:bottom w:val="single" w:color="000000" w:sz="4" w:space="0"/>
              <w:right w:val="single" w:color="000000" w:sz="4" w:space="0"/>
            </w:tcBorders>
            <w:shd w:val="clear" w:color="FFFFFF" w:fill="FFFFFF" w:themeFill="background1"/>
            <w:vAlign w:val="center"/>
          </w:tcPr>
          <w:p>
            <w:pPr>
              <w:widowControl/>
              <w:jc w:val="center"/>
              <w:rPr>
                <w:rFonts w:ascii="宋体" w:hAnsi="宋体" w:eastAsia="宋体" w:cs="宋体"/>
                <w:kern w:val="0"/>
                <w:sz w:val="22"/>
              </w:rPr>
            </w:pPr>
            <w:r>
              <w:rPr>
                <w:rFonts w:hint="eastAsia" w:ascii="宋体" w:hAnsi="宋体" w:eastAsia="宋体" w:cs="宋体"/>
                <w:kern w:val="0"/>
                <w:sz w:val="22"/>
              </w:rPr>
              <w:t>小计</w:t>
            </w:r>
          </w:p>
        </w:tc>
        <w:tc>
          <w:tcPr>
            <w:tcW w:w="974" w:type="dxa"/>
            <w:vMerge w:val="restart"/>
            <w:tcBorders>
              <w:top w:val="nil"/>
              <w:left w:val="nil"/>
              <w:bottom w:val="single" w:color="000000" w:sz="4" w:space="0"/>
              <w:right w:val="single" w:color="000000" w:sz="4" w:space="0"/>
            </w:tcBorders>
            <w:shd w:val="clear" w:color="FFFFFF" w:fill="FFFFFF" w:themeFill="background1"/>
            <w:vAlign w:val="center"/>
          </w:tcPr>
          <w:p>
            <w:pPr>
              <w:widowControl/>
              <w:jc w:val="center"/>
              <w:rPr>
                <w:rFonts w:ascii="宋体" w:hAnsi="宋体" w:eastAsia="宋体" w:cs="宋体"/>
                <w:kern w:val="0"/>
                <w:sz w:val="22"/>
              </w:rPr>
            </w:pPr>
            <w:r>
              <w:rPr>
                <w:rFonts w:hint="eastAsia" w:ascii="宋体" w:hAnsi="宋体" w:eastAsia="宋体" w:cs="宋体"/>
                <w:kern w:val="0"/>
                <w:sz w:val="22"/>
              </w:rPr>
              <w:t>基本支出</w:t>
            </w:r>
          </w:p>
        </w:tc>
        <w:tc>
          <w:tcPr>
            <w:tcW w:w="1892" w:type="dxa"/>
            <w:vMerge w:val="restart"/>
            <w:tcBorders>
              <w:top w:val="nil"/>
              <w:left w:val="nil"/>
              <w:bottom w:val="single" w:color="000000" w:sz="4" w:space="0"/>
              <w:right w:val="single" w:color="000000" w:sz="4" w:space="0"/>
            </w:tcBorders>
            <w:shd w:val="clear" w:color="FFFFFF" w:fill="FFFFFF" w:themeFill="background1"/>
            <w:vAlign w:val="center"/>
          </w:tcPr>
          <w:p>
            <w:pPr>
              <w:widowControl/>
              <w:jc w:val="center"/>
              <w:rPr>
                <w:rFonts w:ascii="宋体" w:hAnsi="宋体" w:eastAsia="宋体" w:cs="宋体"/>
                <w:kern w:val="0"/>
                <w:sz w:val="22"/>
              </w:rPr>
            </w:pPr>
            <w:r>
              <w:rPr>
                <w:rFonts w:hint="eastAsia" w:ascii="宋体" w:hAnsi="宋体" w:eastAsia="宋体" w:cs="宋体"/>
                <w:kern w:val="0"/>
                <w:sz w:val="22"/>
              </w:rPr>
              <w:t>项目支出</w:t>
            </w:r>
          </w:p>
        </w:tc>
      </w:tr>
      <w:tr>
        <w:tblPrEx>
          <w:tblCellMar>
            <w:top w:w="0" w:type="dxa"/>
            <w:left w:w="108" w:type="dxa"/>
            <w:bottom w:w="0" w:type="dxa"/>
            <w:right w:w="108" w:type="dxa"/>
          </w:tblCellMar>
        </w:tblPrEx>
        <w:trPr>
          <w:trHeight w:val="312" w:hRule="atLeast"/>
        </w:trPr>
        <w:tc>
          <w:tcPr>
            <w:tcW w:w="1600" w:type="dxa"/>
            <w:gridSpan w:val="3"/>
            <w:vMerge w:val="continue"/>
            <w:tcBorders>
              <w:top w:val="nil"/>
              <w:left w:val="single" w:color="000000" w:sz="4" w:space="0"/>
              <w:bottom w:val="single" w:color="000000" w:sz="4" w:space="0"/>
              <w:right w:val="single" w:color="000000" w:sz="4" w:space="0"/>
            </w:tcBorders>
            <w:shd w:val="clear" w:color="FFFFFF" w:fill="FFFFFF" w:themeFill="background1"/>
            <w:vAlign w:val="center"/>
          </w:tcPr>
          <w:p>
            <w:pPr>
              <w:widowControl/>
              <w:jc w:val="left"/>
              <w:rPr>
                <w:rFonts w:ascii="宋体" w:hAnsi="宋体" w:eastAsia="宋体" w:cs="宋体"/>
                <w:kern w:val="0"/>
                <w:sz w:val="22"/>
              </w:rPr>
            </w:pPr>
          </w:p>
        </w:tc>
        <w:tc>
          <w:tcPr>
            <w:tcW w:w="3248" w:type="dxa"/>
            <w:vMerge w:val="continue"/>
            <w:tcBorders>
              <w:top w:val="nil"/>
              <w:left w:val="nil"/>
              <w:bottom w:val="single" w:color="000000" w:sz="4" w:space="0"/>
              <w:right w:val="single" w:color="000000" w:sz="4" w:space="0"/>
            </w:tcBorders>
            <w:shd w:val="clear" w:color="FFFFFF" w:fill="FFFFFF" w:themeFill="background1"/>
            <w:vAlign w:val="center"/>
          </w:tcPr>
          <w:p>
            <w:pPr>
              <w:widowControl/>
              <w:jc w:val="left"/>
              <w:rPr>
                <w:rFonts w:ascii="宋体" w:hAnsi="宋体" w:eastAsia="宋体" w:cs="宋体"/>
                <w:kern w:val="0"/>
                <w:sz w:val="22"/>
              </w:rPr>
            </w:pPr>
          </w:p>
        </w:tc>
        <w:tc>
          <w:tcPr>
            <w:tcW w:w="1462" w:type="dxa"/>
            <w:vMerge w:val="continue"/>
            <w:tcBorders>
              <w:top w:val="nil"/>
              <w:left w:val="nil"/>
              <w:bottom w:val="single" w:color="000000" w:sz="4" w:space="0"/>
              <w:right w:val="single" w:color="000000" w:sz="4" w:space="0"/>
            </w:tcBorders>
            <w:shd w:val="clear" w:color="FFFFFF" w:fill="FFFFFF" w:themeFill="background1"/>
            <w:vAlign w:val="center"/>
          </w:tcPr>
          <w:p>
            <w:pPr>
              <w:widowControl/>
              <w:jc w:val="left"/>
              <w:rPr>
                <w:rFonts w:ascii="宋体" w:hAnsi="宋体" w:eastAsia="宋体" w:cs="宋体"/>
                <w:kern w:val="0"/>
                <w:sz w:val="22"/>
              </w:rPr>
            </w:pPr>
          </w:p>
        </w:tc>
        <w:tc>
          <w:tcPr>
            <w:tcW w:w="974" w:type="dxa"/>
            <w:vMerge w:val="continue"/>
            <w:tcBorders>
              <w:top w:val="nil"/>
              <w:left w:val="nil"/>
              <w:bottom w:val="single" w:color="000000" w:sz="4" w:space="0"/>
              <w:right w:val="single" w:color="000000" w:sz="4" w:space="0"/>
            </w:tcBorders>
            <w:shd w:val="clear" w:color="FFFFFF" w:fill="FFFFFF" w:themeFill="background1"/>
            <w:vAlign w:val="center"/>
          </w:tcPr>
          <w:p>
            <w:pPr>
              <w:widowControl/>
              <w:jc w:val="left"/>
              <w:rPr>
                <w:rFonts w:ascii="宋体" w:hAnsi="宋体" w:eastAsia="宋体" w:cs="宋体"/>
                <w:kern w:val="0"/>
                <w:sz w:val="22"/>
              </w:rPr>
            </w:pPr>
          </w:p>
        </w:tc>
        <w:tc>
          <w:tcPr>
            <w:tcW w:w="1892" w:type="dxa"/>
            <w:vMerge w:val="continue"/>
            <w:tcBorders>
              <w:top w:val="nil"/>
              <w:left w:val="nil"/>
              <w:bottom w:val="single" w:color="000000" w:sz="4" w:space="0"/>
              <w:right w:val="single" w:color="000000" w:sz="4" w:space="0"/>
            </w:tcBorders>
            <w:shd w:val="clear" w:color="FFFFFF" w:fill="FFFFFF" w:themeFill="background1"/>
            <w:vAlign w:val="center"/>
          </w:tcPr>
          <w:p>
            <w:pPr>
              <w:widowControl/>
              <w:jc w:val="left"/>
              <w:rPr>
                <w:rFonts w:ascii="宋体" w:hAnsi="宋体" w:eastAsia="宋体" w:cs="宋体"/>
                <w:kern w:val="0"/>
                <w:sz w:val="22"/>
              </w:rPr>
            </w:pPr>
          </w:p>
        </w:tc>
      </w:tr>
      <w:tr>
        <w:tblPrEx>
          <w:tblCellMar>
            <w:top w:w="0" w:type="dxa"/>
            <w:left w:w="108" w:type="dxa"/>
            <w:bottom w:w="0" w:type="dxa"/>
            <w:right w:w="108" w:type="dxa"/>
          </w:tblCellMar>
        </w:tblPrEx>
        <w:trPr>
          <w:trHeight w:val="312" w:hRule="atLeast"/>
        </w:trPr>
        <w:tc>
          <w:tcPr>
            <w:tcW w:w="1600" w:type="dxa"/>
            <w:gridSpan w:val="3"/>
            <w:vMerge w:val="continue"/>
            <w:tcBorders>
              <w:top w:val="nil"/>
              <w:left w:val="single" w:color="000000" w:sz="4" w:space="0"/>
              <w:bottom w:val="single" w:color="000000" w:sz="4" w:space="0"/>
              <w:right w:val="single" w:color="000000" w:sz="4" w:space="0"/>
            </w:tcBorders>
            <w:shd w:val="clear" w:color="FFFFFF" w:fill="FFFFFF" w:themeFill="background1"/>
            <w:vAlign w:val="center"/>
          </w:tcPr>
          <w:p>
            <w:pPr>
              <w:widowControl/>
              <w:jc w:val="left"/>
              <w:rPr>
                <w:rFonts w:ascii="宋体" w:hAnsi="宋体" w:eastAsia="宋体" w:cs="宋体"/>
                <w:kern w:val="0"/>
                <w:sz w:val="22"/>
              </w:rPr>
            </w:pPr>
          </w:p>
        </w:tc>
        <w:tc>
          <w:tcPr>
            <w:tcW w:w="3248" w:type="dxa"/>
            <w:vMerge w:val="continue"/>
            <w:tcBorders>
              <w:top w:val="nil"/>
              <w:left w:val="nil"/>
              <w:bottom w:val="single" w:color="000000" w:sz="4" w:space="0"/>
              <w:right w:val="single" w:color="000000" w:sz="4" w:space="0"/>
            </w:tcBorders>
            <w:shd w:val="clear" w:color="FFFFFF" w:fill="FFFFFF" w:themeFill="background1"/>
            <w:vAlign w:val="center"/>
          </w:tcPr>
          <w:p>
            <w:pPr>
              <w:widowControl/>
              <w:jc w:val="left"/>
              <w:rPr>
                <w:rFonts w:ascii="宋体" w:hAnsi="宋体" w:eastAsia="宋体" w:cs="宋体"/>
                <w:kern w:val="0"/>
                <w:sz w:val="22"/>
              </w:rPr>
            </w:pPr>
          </w:p>
        </w:tc>
        <w:tc>
          <w:tcPr>
            <w:tcW w:w="1462" w:type="dxa"/>
            <w:vMerge w:val="continue"/>
            <w:tcBorders>
              <w:top w:val="nil"/>
              <w:left w:val="nil"/>
              <w:bottom w:val="single" w:color="000000" w:sz="4" w:space="0"/>
              <w:right w:val="single" w:color="000000" w:sz="4" w:space="0"/>
            </w:tcBorders>
            <w:shd w:val="clear" w:color="FFFFFF" w:fill="FFFFFF" w:themeFill="background1"/>
            <w:vAlign w:val="center"/>
          </w:tcPr>
          <w:p>
            <w:pPr>
              <w:widowControl/>
              <w:jc w:val="left"/>
              <w:rPr>
                <w:rFonts w:ascii="宋体" w:hAnsi="宋体" w:eastAsia="宋体" w:cs="宋体"/>
                <w:kern w:val="0"/>
                <w:sz w:val="22"/>
              </w:rPr>
            </w:pPr>
          </w:p>
        </w:tc>
        <w:tc>
          <w:tcPr>
            <w:tcW w:w="974" w:type="dxa"/>
            <w:vMerge w:val="continue"/>
            <w:tcBorders>
              <w:top w:val="nil"/>
              <w:left w:val="nil"/>
              <w:bottom w:val="single" w:color="000000" w:sz="4" w:space="0"/>
              <w:right w:val="single" w:color="000000" w:sz="4" w:space="0"/>
            </w:tcBorders>
            <w:shd w:val="clear" w:color="FFFFFF" w:fill="FFFFFF" w:themeFill="background1"/>
            <w:vAlign w:val="center"/>
          </w:tcPr>
          <w:p>
            <w:pPr>
              <w:widowControl/>
              <w:jc w:val="left"/>
              <w:rPr>
                <w:rFonts w:ascii="宋体" w:hAnsi="宋体" w:eastAsia="宋体" w:cs="宋体"/>
                <w:kern w:val="0"/>
                <w:sz w:val="22"/>
              </w:rPr>
            </w:pPr>
          </w:p>
        </w:tc>
        <w:tc>
          <w:tcPr>
            <w:tcW w:w="1892" w:type="dxa"/>
            <w:vMerge w:val="continue"/>
            <w:tcBorders>
              <w:top w:val="nil"/>
              <w:left w:val="nil"/>
              <w:bottom w:val="single" w:color="000000" w:sz="4" w:space="0"/>
              <w:right w:val="single" w:color="000000" w:sz="4" w:space="0"/>
            </w:tcBorders>
            <w:shd w:val="clear" w:color="FFFFFF" w:fill="FFFFFF" w:themeFill="background1"/>
            <w:vAlign w:val="center"/>
          </w:tcPr>
          <w:p>
            <w:pPr>
              <w:widowControl/>
              <w:jc w:val="left"/>
              <w:rPr>
                <w:rFonts w:ascii="宋体" w:hAnsi="宋体" w:eastAsia="宋体" w:cs="宋体"/>
                <w:kern w:val="0"/>
                <w:sz w:val="22"/>
              </w:rPr>
            </w:pPr>
          </w:p>
        </w:tc>
      </w:tr>
      <w:tr>
        <w:tblPrEx>
          <w:tblCellMar>
            <w:top w:w="0" w:type="dxa"/>
            <w:left w:w="108" w:type="dxa"/>
            <w:bottom w:w="0" w:type="dxa"/>
            <w:right w:w="108" w:type="dxa"/>
          </w:tblCellMar>
        </w:tblPrEx>
        <w:trPr>
          <w:trHeight w:val="308" w:hRule="atLeast"/>
        </w:trPr>
        <w:tc>
          <w:tcPr>
            <w:tcW w:w="4848" w:type="dxa"/>
            <w:gridSpan w:val="4"/>
            <w:tcBorders>
              <w:top w:val="nil"/>
              <w:left w:val="single" w:color="000000" w:sz="4" w:space="0"/>
              <w:bottom w:val="single" w:color="000000" w:sz="4" w:space="0"/>
              <w:right w:val="single" w:color="000000" w:sz="4" w:space="0"/>
            </w:tcBorders>
            <w:shd w:val="clear" w:color="FFFFFF" w:fill="FFFFFF" w:themeFill="background1"/>
            <w:noWrap/>
            <w:vAlign w:val="center"/>
          </w:tcPr>
          <w:p>
            <w:pPr>
              <w:widowControl/>
              <w:jc w:val="center"/>
              <w:rPr>
                <w:rFonts w:ascii="宋体" w:hAnsi="宋体" w:eastAsia="宋体" w:cs="宋体"/>
                <w:kern w:val="0"/>
                <w:sz w:val="22"/>
              </w:rPr>
            </w:pPr>
            <w:r>
              <w:rPr>
                <w:rFonts w:hint="eastAsia" w:ascii="宋体" w:hAnsi="宋体" w:eastAsia="宋体" w:cs="宋体"/>
                <w:kern w:val="0"/>
                <w:sz w:val="22"/>
              </w:rPr>
              <w:t>栏次</w:t>
            </w:r>
          </w:p>
        </w:tc>
        <w:tc>
          <w:tcPr>
            <w:tcW w:w="1462" w:type="dxa"/>
            <w:tcBorders>
              <w:top w:val="nil"/>
              <w:left w:val="nil"/>
              <w:bottom w:val="single" w:color="000000" w:sz="4" w:space="0"/>
              <w:right w:val="single" w:color="000000" w:sz="4" w:space="0"/>
            </w:tcBorders>
            <w:shd w:val="clear" w:color="FFFFFF" w:fill="FFFFFF" w:themeFill="background1"/>
            <w:noWrap/>
            <w:vAlign w:val="center"/>
          </w:tcPr>
          <w:p>
            <w:pPr>
              <w:widowControl/>
              <w:jc w:val="center"/>
              <w:rPr>
                <w:rFonts w:ascii="宋体" w:hAnsi="宋体" w:eastAsia="宋体" w:cs="宋体"/>
                <w:kern w:val="0"/>
                <w:sz w:val="22"/>
              </w:rPr>
            </w:pPr>
            <w:r>
              <w:rPr>
                <w:rFonts w:ascii="宋体" w:hAnsi="宋体" w:eastAsia="宋体" w:cs="宋体"/>
                <w:kern w:val="0"/>
                <w:sz w:val="22"/>
              </w:rPr>
              <w:t>1</w:t>
            </w:r>
          </w:p>
        </w:tc>
        <w:tc>
          <w:tcPr>
            <w:tcW w:w="974" w:type="dxa"/>
            <w:tcBorders>
              <w:top w:val="nil"/>
              <w:left w:val="nil"/>
              <w:bottom w:val="single" w:color="000000" w:sz="4" w:space="0"/>
              <w:right w:val="single" w:color="000000" w:sz="4" w:space="0"/>
            </w:tcBorders>
            <w:shd w:val="clear" w:color="FFFFFF" w:fill="FFFFFF" w:themeFill="background1"/>
            <w:noWrap/>
            <w:vAlign w:val="center"/>
          </w:tcPr>
          <w:p>
            <w:pPr>
              <w:widowControl/>
              <w:jc w:val="center"/>
              <w:rPr>
                <w:rFonts w:ascii="宋体" w:hAnsi="宋体" w:eastAsia="宋体" w:cs="宋体"/>
                <w:kern w:val="0"/>
                <w:sz w:val="22"/>
              </w:rPr>
            </w:pPr>
            <w:r>
              <w:rPr>
                <w:rFonts w:ascii="宋体" w:hAnsi="宋体" w:eastAsia="宋体" w:cs="宋体"/>
                <w:kern w:val="0"/>
                <w:sz w:val="22"/>
              </w:rPr>
              <w:t>2</w:t>
            </w:r>
          </w:p>
        </w:tc>
        <w:tc>
          <w:tcPr>
            <w:tcW w:w="1892" w:type="dxa"/>
            <w:tcBorders>
              <w:top w:val="nil"/>
              <w:left w:val="nil"/>
              <w:bottom w:val="single" w:color="000000" w:sz="4" w:space="0"/>
              <w:right w:val="single" w:color="000000" w:sz="4" w:space="0"/>
            </w:tcBorders>
            <w:shd w:val="clear" w:color="FFFFFF" w:fill="FFFFFF" w:themeFill="background1"/>
            <w:noWrap/>
            <w:vAlign w:val="center"/>
          </w:tcPr>
          <w:p>
            <w:pPr>
              <w:widowControl/>
              <w:jc w:val="center"/>
              <w:rPr>
                <w:rFonts w:ascii="宋体" w:hAnsi="宋体" w:eastAsia="宋体" w:cs="宋体"/>
                <w:kern w:val="0"/>
                <w:sz w:val="22"/>
              </w:rPr>
            </w:pPr>
            <w:r>
              <w:rPr>
                <w:rFonts w:ascii="宋体" w:hAnsi="宋体" w:eastAsia="宋体" w:cs="宋体"/>
                <w:kern w:val="0"/>
                <w:sz w:val="22"/>
              </w:rPr>
              <w:t>3</w:t>
            </w:r>
          </w:p>
        </w:tc>
      </w:tr>
      <w:tr>
        <w:tblPrEx>
          <w:tblCellMar>
            <w:top w:w="0" w:type="dxa"/>
            <w:left w:w="108" w:type="dxa"/>
            <w:bottom w:w="0" w:type="dxa"/>
            <w:right w:w="108" w:type="dxa"/>
          </w:tblCellMar>
        </w:tblPrEx>
        <w:trPr>
          <w:trHeight w:val="308" w:hRule="atLeast"/>
        </w:trPr>
        <w:tc>
          <w:tcPr>
            <w:tcW w:w="4848" w:type="dxa"/>
            <w:gridSpan w:val="4"/>
            <w:tcBorders>
              <w:top w:val="nil"/>
              <w:left w:val="single" w:color="000000" w:sz="4" w:space="0"/>
              <w:bottom w:val="single" w:color="000000" w:sz="4" w:space="0"/>
              <w:right w:val="single" w:color="000000" w:sz="4" w:space="0"/>
            </w:tcBorders>
            <w:shd w:val="clear" w:color="FFFFFF" w:fill="FFFFFF" w:themeFill="background1"/>
            <w:noWrap/>
            <w:vAlign w:val="center"/>
          </w:tcPr>
          <w:p>
            <w:pPr>
              <w:widowControl/>
              <w:jc w:val="center"/>
              <w:rPr>
                <w:rFonts w:ascii="宋体" w:hAnsi="宋体" w:eastAsia="宋体" w:cs="宋体"/>
                <w:kern w:val="0"/>
                <w:sz w:val="22"/>
              </w:rPr>
            </w:pPr>
            <w:r>
              <w:rPr>
                <w:rFonts w:hint="eastAsia" w:ascii="宋体" w:hAnsi="宋体" w:eastAsia="宋体" w:cs="宋体"/>
                <w:kern w:val="0"/>
                <w:sz w:val="22"/>
              </w:rPr>
              <w:t>合计</w:t>
            </w:r>
          </w:p>
        </w:tc>
        <w:tc>
          <w:tcPr>
            <w:tcW w:w="1462" w:type="dxa"/>
            <w:tcBorders>
              <w:top w:val="nil"/>
              <w:left w:val="nil"/>
              <w:bottom w:val="single" w:color="000000" w:sz="4" w:space="0"/>
              <w:right w:val="single" w:color="000000" w:sz="4" w:space="0"/>
            </w:tcBorders>
            <w:shd w:val="clear" w:color="FFFFFF" w:fill="FFFFFF" w:themeFill="background1"/>
            <w:noWrap/>
            <w:vAlign w:val="center"/>
          </w:tcPr>
          <w:p>
            <w:pPr>
              <w:widowControl/>
              <w:jc w:val="right"/>
              <w:rPr>
                <w:rFonts w:ascii="宋体" w:hAnsi="宋体" w:eastAsia="宋体" w:cs="宋体"/>
                <w:kern w:val="0"/>
                <w:sz w:val="22"/>
              </w:rPr>
            </w:pPr>
            <w:r>
              <w:rPr>
                <w:rFonts w:ascii="宋体" w:hAnsi="宋体" w:eastAsia="宋体" w:cs="宋体"/>
                <w:kern w:val="0"/>
                <w:sz w:val="22"/>
              </w:rPr>
              <w:t>17630.7</w:t>
            </w:r>
          </w:p>
        </w:tc>
        <w:tc>
          <w:tcPr>
            <w:tcW w:w="974" w:type="dxa"/>
            <w:tcBorders>
              <w:top w:val="nil"/>
              <w:left w:val="nil"/>
              <w:bottom w:val="single" w:color="000000" w:sz="4" w:space="0"/>
              <w:right w:val="single" w:color="000000" w:sz="4" w:space="0"/>
            </w:tcBorders>
            <w:shd w:val="clear" w:color="FFFFFF" w:fill="FFFFFF" w:themeFill="background1"/>
            <w:noWrap/>
            <w:vAlign w:val="center"/>
          </w:tcPr>
          <w:p>
            <w:pPr>
              <w:widowControl/>
              <w:jc w:val="right"/>
              <w:rPr>
                <w:rFonts w:ascii="宋体" w:hAnsi="宋体" w:eastAsia="宋体" w:cs="宋体"/>
                <w:kern w:val="0"/>
                <w:sz w:val="22"/>
              </w:rPr>
            </w:pPr>
            <w:r>
              <w:rPr>
                <w:rFonts w:ascii="宋体" w:hAnsi="宋体" w:eastAsia="宋体" w:cs="宋体"/>
                <w:kern w:val="0"/>
                <w:sz w:val="22"/>
              </w:rPr>
              <w:t>1632.99</w:t>
            </w:r>
          </w:p>
        </w:tc>
        <w:tc>
          <w:tcPr>
            <w:tcW w:w="1892" w:type="dxa"/>
            <w:tcBorders>
              <w:top w:val="nil"/>
              <w:left w:val="nil"/>
              <w:bottom w:val="single" w:color="000000" w:sz="4" w:space="0"/>
              <w:right w:val="single" w:color="000000" w:sz="4" w:space="0"/>
            </w:tcBorders>
            <w:shd w:val="clear" w:color="FFFFFF" w:fill="FFFFFF" w:themeFill="background1"/>
            <w:noWrap/>
            <w:vAlign w:val="center"/>
          </w:tcPr>
          <w:p>
            <w:pPr>
              <w:widowControl/>
              <w:jc w:val="right"/>
              <w:rPr>
                <w:rFonts w:ascii="宋体" w:hAnsi="宋体" w:eastAsia="宋体" w:cs="宋体"/>
                <w:kern w:val="0"/>
                <w:sz w:val="22"/>
              </w:rPr>
            </w:pPr>
            <w:r>
              <w:rPr>
                <w:rFonts w:ascii="宋体" w:hAnsi="宋体" w:eastAsia="宋体" w:cs="宋体"/>
                <w:kern w:val="0"/>
                <w:sz w:val="22"/>
              </w:rPr>
              <w:t>15997.7</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201</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一般公共服务支出</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1381.29</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1353.19</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28.1</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20103</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政府办公厅（室）及相关机构事务</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1075.16</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1075.16</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2010301</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 xml:space="preserve">  </w:t>
            </w:r>
            <w:r>
              <w:rPr>
                <w:rFonts w:hint="eastAsia" w:ascii="宋体" w:hAnsi="宋体" w:eastAsia="宋体" w:cs="宋体"/>
                <w:kern w:val="0"/>
                <w:sz w:val="22"/>
              </w:rPr>
              <w:t>行政运行</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1075.16</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1075.16</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20106</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财政事务</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278.02</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278.02</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2010601</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 xml:space="preserve">  </w:t>
            </w:r>
            <w:r>
              <w:rPr>
                <w:rFonts w:hint="eastAsia" w:ascii="宋体" w:hAnsi="宋体" w:eastAsia="宋体" w:cs="宋体"/>
                <w:kern w:val="0"/>
                <w:sz w:val="22"/>
              </w:rPr>
              <w:t>行政运行</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276.02</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276.02</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2010602</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 xml:space="preserve">  </w:t>
            </w:r>
            <w:r>
              <w:rPr>
                <w:rFonts w:hint="eastAsia" w:ascii="宋体" w:hAnsi="宋体" w:eastAsia="宋体" w:cs="宋体"/>
                <w:kern w:val="0"/>
                <w:sz w:val="22"/>
              </w:rPr>
              <w:t>一般行政管理事务</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20107</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税收事务</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28.1</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28.1</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2010799</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 xml:space="preserve">  </w:t>
            </w:r>
            <w:r>
              <w:rPr>
                <w:rFonts w:hint="eastAsia" w:ascii="宋体" w:hAnsi="宋体" w:eastAsia="宋体" w:cs="宋体"/>
                <w:kern w:val="0"/>
                <w:sz w:val="22"/>
              </w:rPr>
              <w:t>其他税收事务支出</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28.1</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28.1</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204</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公共安全支出</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340.58</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340.58</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20402</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公安</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227.78</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227.78</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2040299</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 xml:space="preserve">  </w:t>
            </w:r>
            <w:r>
              <w:rPr>
                <w:rFonts w:hint="eastAsia" w:ascii="宋体" w:hAnsi="宋体" w:eastAsia="宋体" w:cs="宋体"/>
                <w:kern w:val="0"/>
                <w:sz w:val="22"/>
              </w:rPr>
              <w:t>其他公安支出</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227.78</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227.78</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20499</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其他公共安全支出</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112.8</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112.8</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2049901</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 xml:space="preserve">  </w:t>
            </w:r>
            <w:r>
              <w:rPr>
                <w:rFonts w:hint="eastAsia" w:ascii="宋体" w:hAnsi="宋体" w:eastAsia="宋体" w:cs="宋体"/>
                <w:kern w:val="0"/>
                <w:sz w:val="22"/>
              </w:rPr>
              <w:t>其他公共安全支出</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112.8</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112.8</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205</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教育支出</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586.56</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586.56</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20502</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普通教育</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586.56</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586.56</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2050299</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 xml:space="preserve">  </w:t>
            </w:r>
            <w:r>
              <w:rPr>
                <w:rFonts w:hint="eastAsia" w:ascii="宋体" w:hAnsi="宋体" w:eastAsia="宋体" w:cs="宋体"/>
                <w:kern w:val="0"/>
                <w:sz w:val="22"/>
              </w:rPr>
              <w:t>其他普通教育支出</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586.56</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586.56</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207</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文化旅游体育与传媒支出</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104.77</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104.77</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20701</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文化和旅游</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104.77</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104.77</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2070109</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 xml:space="preserve">  </w:t>
            </w:r>
            <w:r>
              <w:rPr>
                <w:rFonts w:hint="eastAsia" w:ascii="宋体" w:hAnsi="宋体" w:eastAsia="宋体" w:cs="宋体"/>
                <w:kern w:val="0"/>
                <w:sz w:val="22"/>
              </w:rPr>
              <w:t>群众文化</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104.77</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104.77</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208</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社会保障和就业支出</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77.82</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77.82</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20808</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抚恤</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30.81</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30.81</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2080899</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 xml:space="preserve">  </w:t>
            </w:r>
            <w:r>
              <w:rPr>
                <w:rFonts w:hint="eastAsia" w:ascii="宋体" w:hAnsi="宋体" w:eastAsia="宋体" w:cs="宋体"/>
                <w:kern w:val="0"/>
                <w:sz w:val="22"/>
              </w:rPr>
              <w:t>其他优抚支出</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30.81</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30.81</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20809</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退役安置</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47.01</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47.01</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2080901</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 xml:space="preserve">  </w:t>
            </w:r>
            <w:r>
              <w:rPr>
                <w:rFonts w:hint="eastAsia" w:ascii="宋体" w:hAnsi="宋体" w:eastAsia="宋体" w:cs="宋体"/>
                <w:kern w:val="0"/>
                <w:sz w:val="22"/>
              </w:rPr>
              <w:t>退役士兵安置</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47.01</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47.01</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210</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卫生健康支出</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259.04</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139.88</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119.15</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21001</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卫生健康管理事务</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139.88</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139.88</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2100101</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 xml:space="preserve">  </w:t>
            </w:r>
            <w:r>
              <w:rPr>
                <w:rFonts w:hint="eastAsia" w:ascii="宋体" w:hAnsi="宋体" w:eastAsia="宋体" w:cs="宋体"/>
                <w:kern w:val="0"/>
                <w:sz w:val="22"/>
              </w:rPr>
              <w:t>行政运行</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139.88</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139.88</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21003</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基层医疗卫生机构</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92.54</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92.54</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2100302</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 xml:space="preserve">  </w:t>
            </w:r>
            <w:r>
              <w:rPr>
                <w:rFonts w:hint="eastAsia" w:ascii="宋体" w:hAnsi="宋体" w:eastAsia="宋体" w:cs="宋体"/>
                <w:kern w:val="0"/>
                <w:sz w:val="22"/>
              </w:rPr>
              <w:t>乡镇卫生院</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92.54</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92.54</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21007</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计划生育事务</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26.62</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26.62</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2100799</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 xml:space="preserve">  </w:t>
            </w:r>
            <w:r>
              <w:rPr>
                <w:rFonts w:hint="eastAsia" w:ascii="宋体" w:hAnsi="宋体" w:eastAsia="宋体" w:cs="宋体"/>
                <w:kern w:val="0"/>
                <w:sz w:val="22"/>
              </w:rPr>
              <w:t>其他计划生育事务支出</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26.62</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26.62</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211</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节能环保支出</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52.2</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52.2</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21104</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自然生态保护</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52.2</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52.2</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2110402</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 xml:space="preserve">  </w:t>
            </w:r>
            <w:r>
              <w:rPr>
                <w:rFonts w:hint="eastAsia" w:ascii="宋体" w:hAnsi="宋体" w:eastAsia="宋体" w:cs="宋体"/>
                <w:kern w:val="0"/>
                <w:sz w:val="22"/>
              </w:rPr>
              <w:t>农村环境保护</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50</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50</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2110499</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 xml:space="preserve">  </w:t>
            </w:r>
            <w:r>
              <w:rPr>
                <w:rFonts w:hint="eastAsia" w:ascii="宋体" w:hAnsi="宋体" w:eastAsia="宋体" w:cs="宋体"/>
                <w:kern w:val="0"/>
                <w:sz w:val="22"/>
              </w:rPr>
              <w:t>其他自然生态保护支出</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2.2</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2.2</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212</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城乡社区支出</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10639.8</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10639.8</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21202</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城乡社区规划与管理</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513.77</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513.77</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2120201</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 xml:space="preserve">  </w:t>
            </w:r>
            <w:r>
              <w:rPr>
                <w:rFonts w:hint="eastAsia" w:ascii="宋体" w:hAnsi="宋体" w:eastAsia="宋体" w:cs="宋体"/>
                <w:kern w:val="0"/>
                <w:sz w:val="22"/>
              </w:rPr>
              <w:t>城乡社区规划与管理</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513.77</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513.77</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21203</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城乡社区公共设施</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6904.61</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6904.61</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2120399</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 xml:space="preserve">  </w:t>
            </w:r>
            <w:r>
              <w:rPr>
                <w:rFonts w:hint="eastAsia" w:ascii="宋体" w:hAnsi="宋体" w:eastAsia="宋体" w:cs="宋体"/>
                <w:kern w:val="0"/>
                <w:sz w:val="22"/>
              </w:rPr>
              <w:t>其他城乡社区公共设施支出</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6904.61</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6904.61</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21299</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其他城乡社区支出</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3221.42</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3221.42</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2129901</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 xml:space="preserve">  2129901</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3221.42</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3221.42</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213</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农林水支出</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3547.64</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139.92</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3407.72</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21301</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农业</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160.68</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139.92</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20.76</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2130101</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 xml:space="preserve">  </w:t>
            </w:r>
            <w:r>
              <w:rPr>
                <w:rFonts w:hint="eastAsia" w:ascii="宋体" w:hAnsi="宋体" w:eastAsia="宋体" w:cs="宋体"/>
                <w:kern w:val="0"/>
                <w:sz w:val="22"/>
              </w:rPr>
              <w:t>行政运行</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139.92</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139.92</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2130152</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 xml:space="preserve">  </w:t>
            </w:r>
            <w:r>
              <w:rPr>
                <w:rFonts w:hint="eastAsia" w:ascii="宋体" w:hAnsi="宋体" w:eastAsia="宋体" w:cs="宋体"/>
                <w:kern w:val="0"/>
                <w:sz w:val="22"/>
              </w:rPr>
              <w:t>对高校毕业生到基层任职补助</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20.76</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20.76</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21399</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其他农林水支出</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3386.96</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3386.96</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2139999</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 xml:space="preserve">  </w:t>
            </w:r>
            <w:r>
              <w:rPr>
                <w:rFonts w:hint="eastAsia" w:ascii="宋体" w:hAnsi="宋体" w:eastAsia="宋体" w:cs="宋体"/>
                <w:kern w:val="0"/>
                <w:sz w:val="22"/>
              </w:rPr>
              <w:t>其他农林水支出</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3386.96</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3386.96</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214</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交通运输支出</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633</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633</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21401</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公路水路运输</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633</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633</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2140104</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 xml:space="preserve">  </w:t>
            </w:r>
            <w:r>
              <w:rPr>
                <w:rFonts w:hint="eastAsia" w:ascii="宋体" w:hAnsi="宋体" w:eastAsia="宋体" w:cs="宋体"/>
                <w:kern w:val="0"/>
                <w:sz w:val="22"/>
              </w:rPr>
              <w:t>公路建设</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633</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633</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224</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灾害防治及应急管理支出</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8</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8</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22403</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森林消防事务</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8</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8</w:t>
            </w:r>
          </w:p>
        </w:tc>
      </w:tr>
      <w:tr>
        <w:tblPrEx>
          <w:tblCellMar>
            <w:top w:w="0" w:type="dxa"/>
            <w:left w:w="108" w:type="dxa"/>
            <w:bottom w:w="0" w:type="dxa"/>
            <w:right w:w="108" w:type="dxa"/>
          </w:tblCellMar>
        </w:tblPrEx>
        <w:trPr>
          <w:trHeight w:val="308" w:hRule="atLeast"/>
        </w:trPr>
        <w:tc>
          <w:tcPr>
            <w:tcW w:w="1600"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2240304</w:t>
            </w:r>
          </w:p>
        </w:tc>
        <w:tc>
          <w:tcPr>
            <w:tcW w:w="3248"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 xml:space="preserve">  </w:t>
            </w:r>
            <w:r>
              <w:rPr>
                <w:rFonts w:hint="eastAsia" w:ascii="宋体" w:hAnsi="宋体" w:eastAsia="宋体" w:cs="宋体"/>
                <w:kern w:val="0"/>
                <w:sz w:val="22"/>
              </w:rPr>
              <w:t>森林消防应急救援</w:t>
            </w:r>
          </w:p>
        </w:tc>
        <w:tc>
          <w:tcPr>
            <w:tcW w:w="146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8</w:t>
            </w:r>
          </w:p>
        </w:tc>
        <w:tc>
          <w:tcPr>
            <w:tcW w:w="974"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1892"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8</w:t>
            </w:r>
          </w:p>
        </w:tc>
      </w:tr>
    </w:tbl>
    <w:p/>
    <w:p/>
    <w:p/>
    <w:p/>
    <w:p/>
    <w:p/>
    <w:p/>
    <w:p/>
    <w:p/>
    <w:p/>
    <w:p/>
    <w:p/>
    <w:p/>
    <w:p/>
    <w:p/>
    <w:p/>
    <w:tbl>
      <w:tblPr>
        <w:tblStyle w:val="7"/>
        <w:tblW w:w="10000" w:type="dxa"/>
        <w:jc w:val="center"/>
        <w:tblLayout w:type="fixed"/>
        <w:tblCellMar>
          <w:top w:w="0" w:type="dxa"/>
          <w:left w:w="0" w:type="dxa"/>
          <w:bottom w:w="0" w:type="dxa"/>
          <w:right w:w="0" w:type="dxa"/>
        </w:tblCellMar>
      </w:tblPr>
      <w:tblGrid>
        <w:gridCol w:w="896"/>
        <w:gridCol w:w="1932"/>
        <w:gridCol w:w="783"/>
        <w:gridCol w:w="655"/>
        <w:gridCol w:w="1958"/>
        <w:gridCol w:w="409"/>
        <w:gridCol w:w="744"/>
        <w:gridCol w:w="1891"/>
        <w:gridCol w:w="732"/>
      </w:tblGrid>
      <w:tr>
        <w:tblPrEx>
          <w:tblCellMar>
            <w:top w:w="0" w:type="dxa"/>
            <w:left w:w="0" w:type="dxa"/>
            <w:bottom w:w="0" w:type="dxa"/>
            <w:right w:w="0" w:type="dxa"/>
          </w:tblCellMar>
        </w:tblPrEx>
        <w:trPr>
          <w:trHeight w:val="458" w:hRule="atLeast"/>
          <w:jc w:val="center"/>
        </w:trPr>
        <w:tc>
          <w:tcPr>
            <w:tcW w:w="10000" w:type="dxa"/>
            <w:gridSpan w:val="9"/>
            <w:tcBorders>
              <w:top w:val="nil"/>
              <w:left w:val="nil"/>
              <w:bottom w:val="nil"/>
              <w:right w:val="nil"/>
            </w:tcBorders>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一般公共预算财政拨款基本支出决算表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95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409"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w:t>
            </w:r>
            <w:r>
              <w:rPr>
                <w:rFonts w:ascii="宋体" w:hAnsi="宋体" w:eastAsia="宋体" w:cs="宋体"/>
                <w:color w:val="000000"/>
                <w:kern w:val="0"/>
                <w:sz w:val="18"/>
                <w:szCs w:val="18"/>
              </w:rPr>
              <w:t>06</w:t>
            </w:r>
            <w:r>
              <w:rPr>
                <w:rFonts w:hint="eastAsia" w:ascii="宋体" w:hAnsi="宋体" w:eastAsia="宋体" w:cs="宋体"/>
                <w:color w:val="000000"/>
                <w:kern w:val="0"/>
                <w:sz w:val="18"/>
                <w:szCs w:val="18"/>
              </w:rPr>
              <w:t>表</w:t>
            </w:r>
          </w:p>
        </w:tc>
      </w:tr>
      <w:tr>
        <w:tblPrEx>
          <w:tblCellMar>
            <w:top w:w="0" w:type="dxa"/>
            <w:left w:w="0" w:type="dxa"/>
            <w:bottom w:w="0" w:type="dxa"/>
            <w:right w:w="0" w:type="dxa"/>
          </w:tblCellMar>
        </w:tblPrEx>
        <w:trPr>
          <w:trHeight w:val="339" w:hRule="atLeast"/>
          <w:jc w:val="center"/>
        </w:trPr>
        <w:tc>
          <w:tcPr>
            <w:tcW w:w="3611" w:type="dxa"/>
            <w:gridSpan w:val="3"/>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w:t>
            </w:r>
            <w:r>
              <w:rPr>
                <w:rFonts w:hint="eastAsia" w:ascii="宋体" w:hAnsi="宋体" w:eastAsia="宋体" w:cs="宋体"/>
                <w:kern w:val="0"/>
                <w:sz w:val="20"/>
                <w:szCs w:val="20"/>
              </w:rPr>
              <w:t>石家庄市鹿泉区铜冶镇人民政府</w:t>
            </w:r>
          </w:p>
        </w:tc>
        <w:tc>
          <w:tcPr>
            <w:tcW w:w="655"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95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409"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tblPrEx>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人员经费</w:t>
            </w:r>
          </w:p>
        </w:tc>
        <w:tc>
          <w:tcPr>
            <w:tcW w:w="6389" w:type="dxa"/>
            <w:gridSpan w:val="6"/>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公用经费</w:t>
            </w:r>
          </w:p>
        </w:tc>
      </w:tr>
      <w:tr>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93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8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655"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1958"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409"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744"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891"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3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958"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409"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301</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工资福利支出</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1,364.08</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w:t>
            </w:r>
          </w:p>
        </w:tc>
        <w:tc>
          <w:tcPr>
            <w:tcW w:w="195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商品和服务支出</w:t>
            </w:r>
          </w:p>
        </w:tc>
        <w:tc>
          <w:tcPr>
            <w:tcW w:w="409"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ascii="宋体" w:hAnsi="宋体" w:eastAsia="宋体" w:cs="宋体"/>
                <w:color w:val="000000"/>
                <w:sz w:val="20"/>
                <w:szCs w:val="20"/>
              </w:rPr>
              <w:t>194.71</w:t>
            </w: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307</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债务利息及费用支出</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30101</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基本工资</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352.99</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30201</w:t>
            </w:r>
          </w:p>
        </w:tc>
        <w:tc>
          <w:tcPr>
            <w:tcW w:w="195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办公费</w:t>
            </w:r>
          </w:p>
        </w:tc>
        <w:tc>
          <w:tcPr>
            <w:tcW w:w="409"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ascii="宋体" w:hAnsi="宋体" w:eastAsia="宋体" w:cs="宋体"/>
                <w:color w:val="000000"/>
                <w:sz w:val="20"/>
                <w:szCs w:val="20"/>
              </w:rPr>
              <w:t>62.66</w:t>
            </w: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30701</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国内债务付息</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30102</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津贴补贴</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174.92</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30202</w:t>
            </w:r>
          </w:p>
        </w:tc>
        <w:tc>
          <w:tcPr>
            <w:tcW w:w="195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印刷费</w:t>
            </w:r>
          </w:p>
        </w:tc>
        <w:tc>
          <w:tcPr>
            <w:tcW w:w="409"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30702</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国外债务付息</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30103</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奖金</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273.61</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30203</w:t>
            </w:r>
          </w:p>
        </w:tc>
        <w:tc>
          <w:tcPr>
            <w:tcW w:w="195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咨询费</w:t>
            </w:r>
          </w:p>
        </w:tc>
        <w:tc>
          <w:tcPr>
            <w:tcW w:w="409"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310</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资本性支出</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30106</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伙食补助费</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0.00</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30204</w:t>
            </w:r>
          </w:p>
        </w:tc>
        <w:tc>
          <w:tcPr>
            <w:tcW w:w="195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手续费</w:t>
            </w:r>
          </w:p>
        </w:tc>
        <w:tc>
          <w:tcPr>
            <w:tcW w:w="409"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31001</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房屋建筑物购建</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30107</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绩效工资</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112.96</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30205</w:t>
            </w:r>
          </w:p>
        </w:tc>
        <w:tc>
          <w:tcPr>
            <w:tcW w:w="195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水费</w:t>
            </w:r>
          </w:p>
        </w:tc>
        <w:tc>
          <w:tcPr>
            <w:tcW w:w="409"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31002</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办公设备购置</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30108</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机关事业单位基本养老保险缴费</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108.58</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30206</w:t>
            </w:r>
          </w:p>
        </w:tc>
        <w:tc>
          <w:tcPr>
            <w:tcW w:w="195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电费</w:t>
            </w:r>
          </w:p>
        </w:tc>
        <w:tc>
          <w:tcPr>
            <w:tcW w:w="409"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ascii="宋体" w:hAnsi="宋体" w:eastAsia="宋体" w:cs="宋体"/>
                <w:color w:val="000000"/>
                <w:sz w:val="20"/>
                <w:szCs w:val="20"/>
              </w:rPr>
              <w:t>18.50</w:t>
            </w: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31003</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专用设备购置</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30109</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职业年金缴费</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0.00</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30207</w:t>
            </w:r>
          </w:p>
        </w:tc>
        <w:tc>
          <w:tcPr>
            <w:tcW w:w="195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邮电费</w:t>
            </w:r>
          </w:p>
        </w:tc>
        <w:tc>
          <w:tcPr>
            <w:tcW w:w="409"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ascii="宋体" w:hAnsi="宋体" w:eastAsia="宋体" w:cs="宋体"/>
                <w:color w:val="000000"/>
                <w:sz w:val="20"/>
                <w:szCs w:val="20"/>
              </w:rPr>
              <w:t>9.54</w:t>
            </w: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31005</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基础设施建设</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30110</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职工基本医疗保险缴费</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78.23</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30208</w:t>
            </w:r>
          </w:p>
        </w:tc>
        <w:tc>
          <w:tcPr>
            <w:tcW w:w="195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取暖费</w:t>
            </w:r>
          </w:p>
        </w:tc>
        <w:tc>
          <w:tcPr>
            <w:tcW w:w="409"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ascii="宋体" w:hAnsi="宋体" w:eastAsia="宋体" w:cs="宋体"/>
                <w:color w:val="000000"/>
                <w:sz w:val="20"/>
                <w:szCs w:val="20"/>
              </w:rPr>
              <w:t>10.46</w:t>
            </w: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31006</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大型修缮</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30111</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公务员医疗补助缴费</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0.00</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30209</w:t>
            </w:r>
          </w:p>
        </w:tc>
        <w:tc>
          <w:tcPr>
            <w:tcW w:w="195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物业管理费</w:t>
            </w:r>
          </w:p>
        </w:tc>
        <w:tc>
          <w:tcPr>
            <w:tcW w:w="409"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31007</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信息网络及软件购置更新</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30112</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其他社会保障缴费</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2.40</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30211</w:t>
            </w:r>
          </w:p>
        </w:tc>
        <w:tc>
          <w:tcPr>
            <w:tcW w:w="195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差旅费</w:t>
            </w:r>
          </w:p>
        </w:tc>
        <w:tc>
          <w:tcPr>
            <w:tcW w:w="409"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ascii="宋体" w:hAnsi="宋体" w:eastAsia="宋体" w:cs="宋体"/>
                <w:color w:val="000000"/>
                <w:sz w:val="20"/>
                <w:szCs w:val="20"/>
              </w:rPr>
              <w:t>46.75</w:t>
            </w: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31008</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物资储备</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19"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30113</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住房公积金</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80.42</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30212</w:t>
            </w:r>
          </w:p>
        </w:tc>
        <w:tc>
          <w:tcPr>
            <w:tcW w:w="195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因公出国（境）费用</w:t>
            </w:r>
          </w:p>
        </w:tc>
        <w:tc>
          <w:tcPr>
            <w:tcW w:w="409"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31009</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土地补偿</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30114</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医疗费</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0.00</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30213</w:t>
            </w:r>
          </w:p>
        </w:tc>
        <w:tc>
          <w:tcPr>
            <w:tcW w:w="195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维修（护）费</w:t>
            </w:r>
          </w:p>
        </w:tc>
        <w:tc>
          <w:tcPr>
            <w:tcW w:w="409"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ascii="宋体" w:hAnsi="宋体" w:eastAsia="宋体" w:cs="宋体"/>
                <w:color w:val="000000"/>
                <w:sz w:val="20"/>
                <w:szCs w:val="20"/>
              </w:rPr>
              <w:t>19.11</w:t>
            </w: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31010</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安置补助</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30199</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其他工资福利支出</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179.98</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30214</w:t>
            </w:r>
          </w:p>
        </w:tc>
        <w:tc>
          <w:tcPr>
            <w:tcW w:w="195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租赁费</w:t>
            </w:r>
          </w:p>
        </w:tc>
        <w:tc>
          <w:tcPr>
            <w:tcW w:w="409"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ascii="宋体" w:hAnsi="宋体" w:eastAsia="宋体" w:cs="宋体"/>
                <w:color w:val="000000"/>
                <w:sz w:val="20"/>
                <w:szCs w:val="20"/>
              </w:rPr>
              <w:t>8.01</w:t>
            </w: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31011</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地上附着物和青苗补偿</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303</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对个人和家庭的补助</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74.20</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30215</w:t>
            </w:r>
          </w:p>
        </w:tc>
        <w:tc>
          <w:tcPr>
            <w:tcW w:w="195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会议费</w:t>
            </w:r>
          </w:p>
        </w:tc>
        <w:tc>
          <w:tcPr>
            <w:tcW w:w="409"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31012</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拆迁补偿</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30301</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离休费</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0.00</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30216</w:t>
            </w:r>
          </w:p>
        </w:tc>
        <w:tc>
          <w:tcPr>
            <w:tcW w:w="195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培训费</w:t>
            </w:r>
          </w:p>
        </w:tc>
        <w:tc>
          <w:tcPr>
            <w:tcW w:w="409"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ascii="宋体" w:hAnsi="宋体" w:eastAsia="宋体" w:cs="宋体"/>
                <w:color w:val="000000"/>
                <w:sz w:val="20"/>
                <w:szCs w:val="20"/>
              </w:rPr>
              <w:t>0.05</w:t>
            </w: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31013</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公务用车购置</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30302</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退休费</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74.20</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5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公务接待费</w:t>
            </w:r>
          </w:p>
        </w:tc>
        <w:tc>
          <w:tcPr>
            <w:tcW w:w="409"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31019</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其他交通工具购置</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30303</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退职（役）费</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0.00</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30218</w:t>
            </w:r>
          </w:p>
        </w:tc>
        <w:tc>
          <w:tcPr>
            <w:tcW w:w="195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专用材料费</w:t>
            </w:r>
          </w:p>
        </w:tc>
        <w:tc>
          <w:tcPr>
            <w:tcW w:w="409"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31021</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文物和陈列品购置</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30304</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抚恤金</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0.00</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30224</w:t>
            </w:r>
          </w:p>
        </w:tc>
        <w:tc>
          <w:tcPr>
            <w:tcW w:w="195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被装购置费</w:t>
            </w:r>
          </w:p>
        </w:tc>
        <w:tc>
          <w:tcPr>
            <w:tcW w:w="409"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31022</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无形资产购置</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30305</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生活补助</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0.00</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30225</w:t>
            </w:r>
          </w:p>
        </w:tc>
        <w:tc>
          <w:tcPr>
            <w:tcW w:w="195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专用燃料费</w:t>
            </w:r>
          </w:p>
        </w:tc>
        <w:tc>
          <w:tcPr>
            <w:tcW w:w="409"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31099</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其他资本性支出</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30306</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救济费</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0.00</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30226</w:t>
            </w:r>
          </w:p>
        </w:tc>
        <w:tc>
          <w:tcPr>
            <w:tcW w:w="195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劳务费</w:t>
            </w:r>
          </w:p>
        </w:tc>
        <w:tc>
          <w:tcPr>
            <w:tcW w:w="409"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399</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其他支出</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30307</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医疗费补助</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0.00</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30227</w:t>
            </w:r>
          </w:p>
        </w:tc>
        <w:tc>
          <w:tcPr>
            <w:tcW w:w="195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委托业务费</w:t>
            </w:r>
          </w:p>
        </w:tc>
        <w:tc>
          <w:tcPr>
            <w:tcW w:w="409"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39906</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赠与</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30308</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助学金</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0.00</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30228</w:t>
            </w:r>
          </w:p>
        </w:tc>
        <w:tc>
          <w:tcPr>
            <w:tcW w:w="195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工会经费</w:t>
            </w:r>
          </w:p>
        </w:tc>
        <w:tc>
          <w:tcPr>
            <w:tcW w:w="409"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ascii="宋体" w:hAnsi="宋体" w:eastAsia="宋体" w:cs="宋体"/>
                <w:color w:val="000000"/>
                <w:sz w:val="20"/>
                <w:szCs w:val="20"/>
              </w:rPr>
              <w:t>5.63</w:t>
            </w: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39907</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国家赔偿费用支出</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46"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30309</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奖励金</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0.00</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30229</w:t>
            </w:r>
          </w:p>
        </w:tc>
        <w:tc>
          <w:tcPr>
            <w:tcW w:w="195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福利费</w:t>
            </w:r>
          </w:p>
        </w:tc>
        <w:tc>
          <w:tcPr>
            <w:tcW w:w="409"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ascii="宋体" w:hAnsi="宋体" w:eastAsia="宋体" w:cs="宋体"/>
                <w:color w:val="000000"/>
                <w:sz w:val="20"/>
                <w:szCs w:val="20"/>
              </w:rPr>
              <w:t>6.04</w:t>
            </w: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39908</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ascii="宋体" w:hAnsi="宋体" w:eastAsia="宋体" w:cs="宋体"/>
                <w:color w:val="000000"/>
                <w:kern w:val="0"/>
                <w:sz w:val="18"/>
                <w:szCs w:val="18"/>
              </w:rPr>
              <w:t xml:space="preserve"> </w:t>
            </w:r>
            <w:r>
              <w:rPr>
                <w:rFonts w:hint="eastAsia" w:ascii="宋体" w:hAnsi="宋体" w:eastAsia="宋体" w:cs="宋体"/>
                <w:color w:val="000000"/>
                <w:kern w:val="0"/>
                <w:sz w:val="18"/>
                <w:szCs w:val="18"/>
              </w:rPr>
              <w:t>对民间非营利组织和群众性自治组织补贴</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30310</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个人农业生产补贴</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0.00</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30231</w:t>
            </w:r>
          </w:p>
        </w:tc>
        <w:tc>
          <w:tcPr>
            <w:tcW w:w="195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公务用车运行维护费</w:t>
            </w:r>
          </w:p>
        </w:tc>
        <w:tc>
          <w:tcPr>
            <w:tcW w:w="409"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ascii="宋体" w:hAnsi="宋体" w:eastAsia="宋体" w:cs="宋体"/>
                <w:color w:val="000000"/>
                <w:sz w:val="20"/>
                <w:szCs w:val="20"/>
              </w:rPr>
              <w:t>7.95</w:t>
            </w: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39999</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其他支出</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30399</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其他对个人和家庭的补助</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0.00</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30239</w:t>
            </w:r>
          </w:p>
        </w:tc>
        <w:tc>
          <w:tcPr>
            <w:tcW w:w="195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其他交通费用</w:t>
            </w:r>
          </w:p>
        </w:tc>
        <w:tc>
          <w:tcPr>
            <w:tcW w:w="409"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hint="eastAsia" w:cs="Arial"/>
                <w:color w:val="000000"/>
                <w:sz w:val="22"/>
              </w:rPr>
              <w:t>　</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30240</w:t>
            </w:r>
          </w:p>
        </w:tc>
        <w:tc>
          <w:tcPr>
            <w:tcW w:w="195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税金及附加费用</w:t>
            </w:r>
          </w:p>
        </w:tc>
        <w:tc>
          <w:tcPr>
            <w:tcW w:w="409"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hint="eastAsia" w:cs="Arial"/>
                <w:color w:val="000000"/>
                <w:sz w:val="22"/>
              </w:rPr>
              <w:t>　</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30299</w:t>
            </w:r>
          </w:p>
        </w:tc>
        <w:tc>
          <w:tcPr>
            <w:tcW w:w="195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其他商品和服务支出</w:t>
            </w:r>
          </w:p>
        </w:tc>
        <w:tc>
          <w:tcPr>
            <w:tcW w:w="409"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人员经费合计</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ascii="宋体" w:hAnsi="宋体" w:eastAsia="宋体" w:cs="宋体"/>
                <w:color w:val="000000"/>
                <w:sz w:val="20"/>
                <w:szCs w:val="20"/>
              </w:rPr>
              <w:t>1438.28</w:t>
            </w:r>
          </w:p>
        </w:tc>
        <w:tc>
          <w:tcPr>
            <w:tcW w:w="5657"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eastAsia="宋体" w:cs="Arial"/>
                <w:color w:val="000000"/>
                <w:sz w:val="22"/>
              </w:rPr>
            </w:pPr>
            <w:r>
              <w:rPr>
                <w:rFonts w:hint="eastAsia" w:cs="Arial"/>
                <w:color w:val="000000"/>
                <w:sz w:val="22"/>
              </w:rPr>
              <w:t>公用经费合计</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ascii="宋体" w:hAnsi="宋体" w:eastAsia="宋体" w:cs="宋体"/>
                <w:color w:val="000000"/>
                <w:sz w:val="20"/>
                <w:szCs w:val="20"/>
              </w:rPr>
              <w:t>194.71</w:t>
            </w:r>
          </w:p>
        </w:tc>
      </w:tr>
    </w:tbl>
    <w:p>
      <w:r>
        <w:br w:type="page"/>
      </w:r>
    </w:p>
    <w:tbl>
      <w:tblPr>
        <w:tblStyle w:val="7"/>
        <w:tblW w:w="9220" w:type="dxa"/>
        <w:jc w:val="center"/>
        <w:tblLayout w:type="autofit"/>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w:t>
            </w:r>
            <w:r>
              <w:rPr>
                <w:rFonts w:ascii="宋体" w:hAnsi="宋体" w:eastAsia="宋体" w:cs="宋体"/>
                <w:color w:val="000000"/>
                <w:kern w:val="0"/>
                <w:sz w:val="20"/>
                <w:szCs w:val="20"/>
              </w:rPr>
              <w:t>07</w:t>
            </w:r>
            <w:r>
              <w:rPr>
                <w:rFonts w:hint="eastAsia" w:ascii="宋体" w:hAnsi="宋体" w:eastAsia="宋体" w:cs="宋体"/>
                <w:color w:val="000000"/>
                <w:kern w:val="0"/>
                <w:sz w:val="20"/>
                <w:szCs w:val="20"/>
              </w:rPr>
              <w:t>表</w:t>
            </w:r>
          </w:p>
        </w:tc>
      </w:tr>
      <w:tr>
        <w:tblPrEx>
          <w:tblCellMar>
            <w:top w:w="0" w:type="dxa"/>
            <w:left w:w="0" w:type="dxa"/>
            <w:bottom w:w="0" w:type="dxa"/>
            <w:right w:w="0" w:type="dxa"/>
          </w:tblCellMar>
        </w:tblPrEx>
        <w:trPr>
          <w:trHeight w:val="360" w:hRule="atLeast"/>
          <w:jc w:val="center"/>
        </w:trPr>
        <w:tc>
          <w:tcPr>
            <w:tcW w:w="0" w:type="auto"/>
            <w:gridSpan w:val="3"/>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w:t>
            </w:r>
            <w:r>
              <w:rPr>
                <w:rFonts w:hint="eastAsia" w:ascii="宋体" w:hAnsi="宋体" w:eastAsia="宋体" w:cs="宋体"/>
                <w:kern w:val="0"/>
                <w:sz w:val="20"/>
                <w:szCs w:val="20"/>
              </w:rPr>
              <w:t>石家庄市鹿泉区铜冶镇人民政府</w:t>
            </w: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w:t>
            </w:r>
          </w:p>
        </w:tc>
        <w:tc>
          <w:tcPr>
            <w:tcW w:w="168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w:t>
            </w:r>
          </w:p>
        </w:tc>
        <w:tc>
          <w:tcPr>
            <w:tcW w:w="1572" w:type="dxa"/>
            <w:tcBorders>
              <w:top w:val="nil"/>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6</w:t>
            </w:r>
          </w:p>
        </w:tc>
      </w:tr>
      <w:tr>
        <w:tblPrEx>
          <w:tblCellMar>
            <w:top w:w="0" w:type="dxa"/>
            <w:left w:w="0" w:type="dxa"/>
            <w:bottom w:w="0" w:type="dxa"/>
            <w:right w:w="0" w:type="dxa"/>
          </w:tblCellMar>
        </w:tblPrEx>
        <w:trPr>
          <w:trHeight w:val="417" w:hRule="atLeast"/>
          <w:jc w:val="center"/>
        </w:trPr>
        <w:tc>
          <w:tcPr>
            <w:tcW w:w="0" w:type="auto"/>
            <w:tcBorders>
              <w:top w:val="nil"/>
              <w:left w:val="single" w:color="auto" w:sz="4" w:space="0"/>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8.10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8.10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8.10</w:t>
            </w:r>
          </w:p>
        </w:tc>
        <w:tc>
          <w:tcPr>
            <w:tcW w:w="0" w:type="auto"/>
            <w:tcBorders>
              <w:top w:val="nil"/>
              <w:left w:val="nil"/>
              <w:bottom w:val="single" w:color="000000" w:sz="4" w:space="0"/>
              <w:right w:val="single" w:color="auto"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0</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7</w:t>
            </w:r>
          </w:p>
        </w:tc>
        <w:tc>
          <w:tcPr>
            <w:tcW w:w="168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8</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9</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10</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11</w:t>
            </w:r>
          </w:p>
        </w:tc>
        <w:tc>
          <w:tcPr>
            <w:tcW w:w="1572" w:type="dxa"/>
            <w:tcBorders>
              <w:top w:val="nil"/>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12</w:t>
            </w:r>
          </w:p>
        </w:tc>
      </w:tr>
      <w:tr>
        <w:tblPrEx>
          <w:tblCellMar>
            <w:top w:w="0" w:type="dxa"/>
            <w:left w:w="0" w:type="dxa"/>
            <w:bottom w:w="0" w:type="dxa"/>
            <w:right w:w="0" w:type="dxa"/>
          </w:tblCellMar>
        </w:tblPrEx>
        <w:trPr>
          <w:trHeight w:val="447" w:hRule="atLeast"/>
          <w:jc w:val="center"/>
        </w:trPr>
        <w:tc>
          <w:tcPr>
            <w:tcW w:w="0" w:type="auto"/>
            <w:tcBorders>
              <w:top w:val="nil"/>
              <w:left w:val="single" w:color="auto" w:sz="4" w:space="0"/>
              <w:bottom w:val="single" w:color="auto"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7.95</w:t>
            </w:r>
          </w:p>
        </w:tc>
        <w:tc>
          <w:tcPr>
            <w:tcW w:w="0" w:type="auto"/>
            <w:tcBorders>
              <w:top w:val="nil"/>
              <w:left w:val="nil"/>
              <w:bottom w:val="single" w:color="auto"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0</w:t>
            </w:r>
          </w:p>
        </w:tc>
        <w:tc>
          <w:tcPr>
            <w:tcW w:w="0" w:type="auto"/>
            <w:tcBorders>
              <w:top w:val="nil"/>
              <w:left w:val="nil"/>
              <w:bottom w:val="single" w:color="auto"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7.95</w:t>
            </w:r>
          </w:p>
        </w:tc>
        <w:tc>
          <w:tcPr>
            <w:tcW w:w="0" w:type="auto"/>
            <w:tcBorders>
              <w:top w:val="nil"/>
              <w:left w:val="nil"/>
              <w:bottom w:val="single" w:color="auto"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0</w:t>
            </w:r>
          </w:p>
        </w:tc>
        <w:tc>
          <w:tcPr>
            <w:tcW w:w="0" w:type="auto"/>
            <w:tcBorders>
              <w:top w:val="nil"/>
              <w:left w:val="nil"/>
              <w:bottom w:val="single" w:color="auto"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7.95</w:t>
            </w:r>
          </w:p>
        </w:tc>
        <w:tc>
          <w:tcPr>
            <w:tcW w:w="0" w:type="auto"/>
            <w:tcBorders>
              <w:top w:val="nil"/>
              <w:left w:val="nil"/>
              <w:bottom w:val="single" w:color="auto" w:sz="4" w:space="0"/>
              <w:right w:val="single" w:color="auto" w:sz="4" w:space="0"/>
            </w:tcBorders>
            <w:noWrap/>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0</w:t>
            </w: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ascii="仿宋_GB2312" w:hAnsi="仿宋_GB2312" w:eastAsia="仿宋_GB2312" w:cs="仿宋_GB2312"/>
        </w:rPr>
        <w:tab/>
      </w:r>
      <w:r>
        <w:tab/>
      </w:r>
      <w:r>
        <w:tab/>
      </w:r>
      <w:r>
        <w:tab/>
      </w:r>
      <w:r>
        <w:tab/>
      </w:r>
      <w:r>
        <w:tab/>
      </w:r>
      <w:r>
        <w:tab/>
      </w:r>
      <w:r>
        <w:tab/>
      </w:r>
      <w:r>
        <w:tab/>
      </w:r>
      <w:r>
        <w:tab/>
      </w:r>
      <w:r>
        <w:tab/>
      </w:r>
      <w:r>
        <w:br w:type="page"/>
      </w:r>
    </w:p>
    <w:tbl>
      <w:tblPr>
        <w:tblStyle w:val="7"/>
        <w:tblW w:w="8936" w:type="dxa"/>
        <w:tblInd w:w="95" w:type="dxa"/>
        <w:tblLayout w:type="autofit"/>
        <w:tblCellMar>
          <w:top w:w="0" w:type="dxa"/>
          <w:left w:w="108" w:type="dxa"/>
          <w:bottom w:w="0" w:type="dxa"/>
          <w:right w:w="108" w:type="dxa"/>
        </w:tblCellMar>
      </w:tblPr>
      <w:tblGrid>
        <w:gridCol w:w="401"/>
        <w:gridCol w:w="401"/>
        <w:gridCol w:w="401"/>
        <w:gridCol w:w="4245"/>
        <w:gridCol w:w="456"/>
        <w:gridCol w:w="456"/>
        <w:gridCol w:w="456"/>
        <w:gridCol w:w="456"/>
        <w:gridCol w:w="456"/>
        <w:gridCol w:w="1208"/>
      </w:tblGrid>
      <w:tr>
        <w:tblPrEx>
          <w:tblCellMar>
            <w:top w:w="0" w:type="dxa"/>
            <w:left w:w="108" w:type="dxa"/>
            <w:bottom w:w="0" w:type="dxa"/>
            <w:right w:w="108" w:type="dxa"/>
          </w:tblCellMar>
        </w:tblPrEx>
        <w:trPr>
          <w:trHeight w:val="285" w:hRule="atLeast"/>
        </w:trPr>
        <w:tc>
          <w:tcPr>
            <w:tcW w:w="8936" w:type="dxa"/>
            <w:gridSpan w:val="10"/>
            <w:tcBorders>
              <w:top w:val="nil"/>
              <w:left w:val="nil"/>
              <w:bottom w:val="nil"/>
              <w:right w:val="nil"/>
            </w:tcBorders>
            <w:noWrap/>
            <w:vAlign w:val="center"/>
          </w:tcPr>
          <w:p>
            <w:pPr>
              <w:widowControl/>
              <w:jc w:val="center"/>
              <w:rPr>
                <w:rFonts w:ascii="黑体" w:hAnsi="宋体" w:eastAsia="黑体" w:cs="宋体"/>
                <w:kern w:val="0"/>
                <w:sz w:val="32"/>
                <w:szCs w:val="32"/>
              </w:rPr>
            </w:pPr>
            <w:r>
              <w:rPr>
                <w:rFonts w:hint="eastAsia" w:ascii="黑体" w:hAnsi="宋体" w:eastAsia="黑体" w:cs="宋体"/>
                <w:kern w:val="0"/>
                <w:sz w:val="32"/>
                <w:szCs w:val="32"/>
              </w:rPr>
              <w:t>政府性基金预算财政拨款收入支出决算表</w:t>
            </w:r>
          </w:p>
        </w:tc>
      </w:tr>
      <w:tr>
        <w:tblPrEx>
          <w:tblCellMar>
            <w:top w:w="0" w:type="dxa"/>
            <w:left w:w="108" w:type="dxa"/>
            <w:bottom w:w="0" w:type="dxa"/>
            <w:right w:w="108" w:type="dxa"/>
          </w:tblCellMar>
        </w:tblPrEx>
        <w:trPr>
          <w:trHeight w:val="285" w:hRule="atLeast"/>
        </w:trPr>
        <w:tc>
          <w:tcPr>
            <w:tcW w:w="401" w:type="dxa"/>
            <w:tcBorders>
              <w:top w:val="nil"/>
              <w:left w:val="nil"/>
              <w:bottom w:val="nil"/>
              <w:right w:val="nil"/>
            </w:tcBorders>
            <w:noWrap/>
            <w:vAlign w:val="center"/>
          </w:tcPr>
          <w:p>
            <w:pPr>
              <w:widowControl/>
              <w:jc w:val="left"/>
              <w:rPr>
                <w:rFonts w:ascii="宋体" w:hAnsi="宋体" w:eastAsia="宋体" w:cs="宋体"/>
                <w:kern w:val="0"/>
                <w:sz w:val="24"/>
                <w:szCs w:val="24"/>
              </w:rPr>
            </w:pPr>
          </w:p>
        </w:tc>
        <w:tc>
          <w:tcPr>
            <w:tcW w:w="401" w:type="dxa"/>
            <w:tcBorders>
              <w:top w:val="nil"/>
              <w:left w:val="nil"/>
              <w:bottom w:val="nil"/>
              <w:right w:val="nil"/>
            </w:tcBorders>
            <w:noWrap/>
            <w:vAlign w:val="center"/>
          </w:tcPr>
          <w:p>
            <w:pPr>
              <w:widowControl/>
              <w:jc w:val="left"/>
              <w:rPr>
                <w:rFonts w:ascii="宋体" w:hAnsi="宋体" w:eastAsia="宋体" w:cs="宋体"/>
                <w:kern w:val="0"/>
                <w:sz w:val="24"/>
                <w:szCs w:val="24"/>
              </w:rPr>
            </w:pPr>
          </w:p>
        </w:tc>
        <w:tc>
          <w:tcPr>
            <w:tcW w:w="401" w:type="dxa"/>
            <w:tcBorders>
              <w:top w:val="nil"/>
              <w:left w:val="nil"/>
              <w:bottom w:val="nil"/>
              <w:right w:val="nil"/>
            </w:tcBorders>
            <w:noWrap/>
            <w:vAlign w:val="center"/>
          </w:tcPr>
          <w:p>
            <w:pPr>
              <w:widowControl/>
              <w:jc w:val="left"/>
              <w:rPr>
                <w:rFonts w:ascii="宋体" w:hAnsi="宋体" w:eastAsia="宋体" w:cs="宋体"/>
                <w:kern w:val="0"/>
                <w:sz w:val="24"/>
                <w:szCs w:val="24"/>
              </w:rPr>
            </w:pPr>
          </w:p>
        </w:tc>
        <w:tc>
          <w:tcPr>
            <w:tcW w:w="4245" w:type="dxa"/>
            <w:tcBorders>
              <w:top w:val="nil"/>
              <w:left w:val="nil"/>
              <w:bottom w:val="nil"/>
              <w:right w:val="nil"/>
            </w:tcBorders>
            <w:noWrap/>
            <w:vAlign w:val="center"/>
          </w:tcPr>
          <w:p>
            <w:pPr>
              <w:widowControl/>
              <w:jc w:val="left"/>
              <w:rPr>
                <w:rFonts w:ascii="宋体" w:hAnsi="宋体" w:eastAsia="宋体" w:cs="宋体"/>
                <w:kern w:val="0"/>
                <w:sz w:val="20"/>
                <w:szCs w:val="20"/>
              </w:rPr>
            </w:pPr>
          </w:p>
        </w:tc>
        <w:tc>
          <w:tcPr>
            <w:tcW w:w="456" w:type="dxa"/>
            <w:tcBorders>
              <w:top w:val="nil"/>
              <w:left w:val="nil"/>
              <w:bottom w:val="nil"/>
              <w:right w:val="nil"/>
            </w:tcBorders>
            <w:noWrap/>
            <w:vAlign w:val="center"/>
          </w:tcPr>
          <w:p>
            <w:pPr>
              <w:widowControl/>
              <w:jc w:val="left"/>
              <w:rPr>
                <w:rFonts w:ascii="宋体" w:hAnsi="宋体" w:eastAsia="宋体" w:cs="宋体"/>
                <w:kern w:val="0"/>
                <w:sz w:val="20"/>
                <w:szCs w:val="20"/>
              </w:rPr>
            </w:pPr>
          </w:p>
        </w:tc>
        <w:tc>
          <w:tcPr>
            <w:tcW w:w="456" w:type="dxa"/>
            <w:tcBorders>
              <w:top w:val="nil"/>
              <w:left w:val="nil"/>
              <w:bottom w:val="nil"/>
              <w:right w:val="nil"/>
            </w:tcBorders>
            <w:noWrap/>
            <w:vAlign w:val="center"/>
          </w:tcPr>
          <w:p>
            <w:pPr>
              <w:widowControl/>
              <w:jc w:val="left"/>
              <w:rPr>
                <w:rFonts w:ascii="宋体" w:hAnsi="宋体" w:eastAsia="宋体" w:cs="宋体"/>
                <w:kern w:val="0"/>
                <w:sz w:val="20"/>
                <w:szCs w:val="20"/>
              </w:rPr>
            </w:pPr>
          </w:p>
        </w:tc>
        <w:tc>
          <w:tcPr>
            <w:tcW w:w="456" w:type="dxa"/>
            <w:tcBorders>
              <w:top w:val="nil"/>
              <w:left w:val="nil"/>
              <w:bottom w:val="nil"/>
              <w:right w:val="nil"/>
            </w:tcBorders>
            <w:noWrap/>
            <w:vAlign w:val="center"/>
          </w:tcPr>
          <w:p>
            <w:pPr>
              <w:widowControl/>
              <w:jc w:val="left"/>
              <w:rPr>
                <w:rFonts w:ascii="宋体" w:hAnsi="宋体" w:eastAsia="宋体" w:cs="宋体"/>
                <w:kern w:val="0"/>
                <w:sz w:val="20"/>
                <w:szCs w:val="20"/>
              </w:rPr>
            </w:pPr>
          </w:p>
        </w:tc>
        <w:tc>
          <w:tcPr>
            <w:tcW w:w="456" w:type="dxa"/>
            <w:tcBorders>
              <w:top w:val="nil"/>
              <w:left w:val="nil"/>
              <w:bottom w:val="nil"/>
              <w:right w:val="nil"/>
            </w:tcBorders>
            <w:noWrap/>
            <w:vAlign w:val="center"/>
          </w:tcPr>
          <w:p>
            <w:pPr>
              <w:widowControl/>
              <w:jc w:val="left"/>
              <w:rPr>
                <w:rFonts w:ascii="宋体" w:hAnsi="宋体" w:eastAsia="宋体" w:cs="宋体"/>
                <w:kern w:val="0"/>
                <w:sz w:val="20"/>
                <w:szCs w:val="20"/>
              </w:rPr>
            </w:pPr>
          </w:p>
        </w:tc>
        <w:tc>
          <w:tcPr>
            <w:tcW w:w="1664" w:type="dxa"/>
            <w:gridSpan w:val="2"/>
            <w:tcBorders>
              <w:top w:val="nil"/>
              <w:left w:val="nil"/>
              <w:bottom w:val="nil"/>
              <w:right w:val="nil"/>
            </w:tcBorders>
            <w:noWrap/>
            <w:vAlign w:val="center"/>
          </w:tcPr>
          <w:p>
            <w:pPr>
              <w:widowControl/>
              <w:jc w:val="right"/>
              <w:rPr>
                <w:rFonts w:ascii="宋体" w:hAnsi="宋体" w:eastAsia="宋体" w:cs="宋体"/>
                <w:kern w:val="0"/>
                <w:sz w:val="20"/>
                <w:szCs w:val="20"/>
              </w:rPr>
            </w:pPr>
            <w:r>
              <w:rPr>
                <w:rFonts w:hint="eastAsia" w:ascii="宋体" w:hAnsi="宋体" w:eastAsia="宋体" w:cs="宋体"/>
                <w:kern w:val="0"/>
                <w:sz w:val="20"/>
                <w:szCs w:val="20"/>
              </w:rPr>
              <w:t>公开</w:t>
            </w:r>
            <w:r>
              <w:rPr>
                <w:rFonts w:ascii="宋体" w:hAnsi="宋体" w:eastAsia="宋体" w:cs="宋体"/>
                <w:kern w:val="0"/>
                <w:sz w:val="20"/>
                <w:szCs w:val="20"/>
              </w:rPr>
              <w:t>08</w:t>
            </w:r>
            <w:r>
              <w:rPr>
                <w:rFonts w:hint="eastAsia" w:ascii="宋体" w:hAnsi="宋体" w:eastAsia="宋体" w:cs="宋体"/>
                <w:kern w:val="0"/>
                <w:sz w:val="20"/>
                <w:szCs w:val="20"/>
              </w:rPr>
              <w:t>表</w:t>
            </w:r>
          </w:p>
        </w:tc>
      </w:tr>
      <w:tr>
        <w:tblPrEx>
          <w:tblCellMar>
            <w:top w:w="0" w:type="dxa"/>
            <w:left w:w="108" w:type="dxa"/>
            <w:bottom w:w="0" w:type="dxa"/>
            <w:right w:w="108" w:type="dxa"/>
          </w:tblCellMar>
        </w:tblPrEx>
        <w:trPr>
          <w:trHeight w:val="285" w:hRule="atLeast"/>
        </w:trPr>
        <w:tc>
          <w:tcPr>
            <w:tcW w:w="7272" w:type="dxa"/>
            <w:gridSpan w:val="8"/>
            <w:tcBorders>
              <w:top w:val="nil"/>
              <w:left w:val="nil"/>
              <w:bottom w:val="nil"/>
              <w:right w:val="nil"/>
            </w:tcBorders>
            <w:noWrap/>
            <w:vAlign w:val="center"/>
          </w:tcPr>
          <w:p>
            <w:pPr>
              <w:widowControl/>
              <w:jc w:val="left"/>
              <w:rPr>
                <w:rFonts w:ascii="宋体" w:hAnsi="宋体" w:eastAsia="宋体" w:cs="宋体"/>
                <w:kern w:val="0"/>
                <w:sz w:val="20"/>
                <w:szCs w:val="20"/>
              </w:rPr>
            </w:pPr>
            <w:r>
              <w:rPr>
                <w:rFonts w:hint="eastAsia" w:ascii="宋体" w:hAnsi="宋体" w:eastAsia="宋体" w:cs="宋体"/>
                <w:kern w:val="0"/>
                <w:sz w:val="20"/>
                <w:szCs w:val="20"/>
              </w:rPr>
              <w:t>部门：石家庄市鹿泉区铜冶镇人民政府</w:t>
            </w:r>
          </w:p>
        </w:tc>
        <w:tc>
          <w:tcPr>
            <w:tcW w:w="1664" w:type="dxa"/>
            <w:gridSpan w:val="2"/>
            <w:tcBorders>
              <w:top w:val="nil"/>
              <w:left w:val="nil"/>
              <w:bottom w:val="nil"/>
              <w:right w:val="nil"/>
            </w:tcBorders>
            <w:noWrap/>
            <w:vAlign w:val="center"/>
          </w:tcPr>
          <w:p>
            <w:pPr>
              <w:widowControl/>
              <w:jc w:val="right"/>
              <w:rPr>
                <w:rFonts w:ascii="宋体" w:hAnsi="宋体" w:eastAsia="宋体" w:cs="宋体"/>
                <w:kern w:val="0"/>
                <w:sz w:val="20"/>
                <w:szCs w:val="20"/>
              </w:rPr>
            </w:pPr>
            <w:r>
              <w:rPr>
                <w:rFonts w:hint="eastAsia" w:ascii="宋体" w:hAnsi="宋体" w:eastAsia="宋体" w:cs="宋体"/>
                <w:kern w:val="0"/>
                <w:sz w:val="20"/>
                <w:szCs w:val="20"/>
              </w:rPr>
              <w:t>金额单位：万元</w:t>
            </w:r>
          </w:p>
        </w:tc>
      </w:tr>
      <w:tr>
        <w:tblPrEx>
          <w:tblCellMar>
            <w:top w:w="0" w:type="dxa"/>
            <w:left w:w="108" w:type="dxa"/>
            <w:bottom w:w="0" w:type="dxa"/>
            <w:right w:w="108" w:type="dxa"/>
          </w:tblCellMar>
        </w:tblPrEx>
        <w:trPr>
          <w:trHeight w:val="308" w:hRule="atLeast"/>
        </w:trPr>
        <w:tc>
          <w:tcPr>
            <w:tcW w:w="5448" w:type="dxa"/>
            <w:gridSpan w:val="4"/>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pPr>
              <w:widowControl/>
              <w:jc w:val="center"/>
              <w:rPr>
                <w:rFonts w:ascii="宋体" w:hAnsi="宋体" w:eastAsia="宋体" w:cs="宋体"/>
                <w:kern w:val="0"/>
                <w:sz w:val="22"/>
              </w:rPr>
            </w:pPr>
            <w:r>
              <w:rPr>
                <w:rFonts w:hint="eastAsia" w:ascii="宋体" w:hAnsi="宋体" w:eastAsia="宋体" w:cs="宋体"/>
                <w:kern w:val="0"/>
                <w:sz w:val="22"/>
              </w:rPr>
              <w:t>项目</w:t>
            </w:r>
          </w:p>
        </w:tc>
        <w:tc>
          <w:tcPr>
            <w:tcW w:w="456" w:type="dxa"/>
            <w:vMerge w:val="restart"/>
            <w:tcBorders>
              <w:top w:val="single" w:color="000000" w:sz="4" w:space="0"/>
              <w:left w:val="nil"/>
              <w:bottom w:val="single" w:color="000000" w:sz="4" w:space="0"/>
              <w:right w:val="single" w:color="000000" w:sz="4" w:space="0"/>
            </w:tcBorders>
            <w:shd w:val="clear" w:color="auto" w:fill="FFFFFF" w:themeFill="background1"/>
            <w:vAlign w:val="center"/>
          </w:tcPr>
          <w:p>
            <w:pPr>
              <w:widowControl/>
              <w:jc w:val="center"/>
              <w:rPr>
                <w:rFonts w:ascii="宋体" w:hAnsi="宋体" w:eastAsia="宋体" w:cs="宋体"/>
                <w:kern w:val="0"/>
                <w:sz w:val="22"/>
              </w:rPr>
            </w:pPr>
            <w:r>
              <w:rPr>
                <w:rFonts w:hint="eastAsia" w:ascii="宋体" w:hAnsi="宋体" w:eastAsia="宋体" w:cs="宋体"/>
                <w:kern w:val="0"/>
                <w:sz w:val="22"/>
              </w:rPr>
              <w:t>年初结转和结余</w:t>
            </w:r>
          </w:p>
        </w:tc>
        <w:tc>
          <w:tcPr>
            <w:tcW w:w="456" w:type="dxa"/>
            <w:vMerge w:val="restart"/>
            <w:tcBorders>
              <w:top w:val="single" w:color="000000" w:sz="4" w:space="0"/>
              <w:left w:val="nil"/>
              <w:bottom w:val="single" w:color="000000" w:sz="4" w:space="0"/>
              <w:right w:val="single" w:color="000000" w:sz="4" w:space="0"/>
            </w:tcBorders>
            <w:shd w:val="clear" w:color="auto" w:fill="FFFFFF" w:themeFill="background1"/>
            <w:vAlign w:val="center"/>
          </w:tcPr>
          <w:p>
            <w:pPr>
              <w:widowControl/>
              <w:jc w:val="center"/>
              <w:rPr>
                <w:rFonts w:ascii="宋体" w:hAnsi="宋体" w:eastAsia="宋体" w:cs="宋体"/>
                <w:kern w:val="0"/>
                <w:sz w:val="22"/>
              </w:rPr>
            </w:pPr>
            <w:r>
              <w:rPr>
                <w:rFonts w:hint="eastAsia" w:ascii="宋体" w:hAnsi="宋体" w:eastAsia="宋体" w:cs="宋体"/>
                <w:kern w:val="0"/>
                <w:sz w:val="22"/>
              </w:rPr>
              <w:t>本年收入</w:t>
            </w:r>
          </w:p>
        </w:tc>
        <w:tc>
          <w:tcPr>
            <w:tcW w:w="1368" w:type="dxa"/>
            <w:gridSpan w:val="3"/>
            <w:tcBorders>
              <w:top w:val="single" w:color="000000" w:sz="4" w:space="0"/>
              <w:left w:val="nil"/>
              <w:bottom w:val="single" w:color="000000" w:sz="4" w:space="0"/>
              <w:right w:val="single" w:color="000000" w:sz="4" w:space="0"/>
            </w:tcBorders>
            <w:shd w:val="clear" w:color="auto" w:fill="FFFFFF" w:themeFill="background1"/>
            <w:vAlign w:val="center"/>
          </w:tcPr>
          <w:p>
            <w:pPr>
              <w:widowControl/>
              <w:jc w:val="center"/>
              <w:rPr>
                <w:rFonts w:ascii="宋体" w:hAnsi="宋体" w:eastAsia="宋体" w:cs="宋体"/>
                <w:kern w:val="0"/>
                <w:sz w:val="22"/>
              </w:rPr>
            </w:pPr>
            <w:r>
              <w:rPr>
                <w:rFonts w:hint="eastAsia" w:ascii="宋体" w:hAnsi="宋体" w:eastAsia="宋体" w:cs="宋体"/>
                <w:kern w:val="0"/>
                <w:sz w:val="22"/>
              </w:rPr>
              <w:t>本年支出</w:t>
            </w:r>
          </w:p>
        </w:tc>
        <w:tc>
          <w:tcPr>
            <w:tcW w:w="1208" w:type="dxa"/>
            <w:vMerge w:val="restart"/>
            <w:tcBorders>
              <w:top w:val="single" w:color="000000" w:sz="4" w:space="0"/>
              <w:left w:val="nil"/>
              <w:bottom w:val="single" w:color="000000" w:sz="4" w:space="0"/>
              <w:right w:val="single" w:color="000000" w:sz="4" w:space="0"/>
            </w:tcBorders>
            <w:shd w:val="clear" w:color="auto" w:fill="FFFFFF" w:themeFill="background1"/>
            <w:vAlign w:val="center"/>
          </w:tcPr>
          <w:p>
            <w:pPr>
              <w:widowControl/>
              <w:jc w:val="center"/>
              <w:rPr>
                <w:rFonts w:ascii="宋体" w:hAnsi="宋体" w:eastAsia="宋体" w:cs="宋体"/>
                <w:kern w:val="0"/>
                <w:sz w:val="22"/>
              </w:rPr>
            </w:pPr>
            <w:r>
              <w:rPr>
                <w:rFonts w:hint="eastAsia" w:ascii="宋体" w:hAnsi="宋体" w:eastAsia="宋体" w:cs="宋体"/>
                <w:kern w:val="0"/>
                <w:sz w:val="22"/>
              </w:rPr>
              <w:t>年末结转和结余</w:t>
            </w:r>
          </w:p>
        </w:tc>
      </w:tr>
      <w:tr>
        <w:tblPrEx>
          <w:tblCellMar>
            <w:top w:w="0" w:type="dxa"/>
            <w:left w:w="108" w:type="dxa"/>
            <w:bottom w:w="0" w:type="dxa"/>
            <w:right w:w="108" w:type="dxa"/>
          </w:tblCellMar>
        </w:tblPrEx>
        <w:trPr>
          <w:trHeight w:val="312" w:hRule="atLeast"/>
        </w:trPr>
        <w:tc>
          <w:tcPr>
            <w:tcW w:w="1203" w:type="dxa"/>
            <w:gridSpan w:val="3"/>
            <w:vMerge w:val="restart"/>
            <w:tcBorders>
              <w:top w:val="nil"/>
              <w:left w:val="single" w:color="000000" w:sz="4" w:space="0"/>
              <w:bottom w:val="single" w:color="000000" w:sz="4" w:space="0"/>
              <w:right w:val="single" w:color="000000" w:sz="4" w:space="0"/>
            </w:tcBorders>
            <w:shd w:val="clear" w:color="auto" w:fill="FFFFFF" w:themeFill="background1"/>
            <w:vAlign w:val="center"/>
          </w:tcPr>
          <w:p>
            <w:pPr>
              <w:widowControl/>
              <w:jc w:val="center"/>
              <w:rPr>
                <w:rFonts w:ascii="宋体" w:hAnsi="宋体" w:eastAsia="宋体" w:cs="宋体"/>
                <w:kern w:val="0"/>
                <w:sz w:val="22"/>
              </w:rPr>
            </w:pPr>
            <w:r>
              <w:rPr>
                <w:rFonts w:hint="eastAsia" w:ascii="宋体" w:hAnsi="宋体" w:eastAsia="宋体" w:cs="宋体"/>
                <w:kern w:val="0"/>
                <w:sz w:val="22"/>
              </w:rPr>
              <w:t>功能分类科目编码</w:t>
            </w:r>
          </w:p>
        </w:tc>
        <w:tc>
          <w:tcPr>
            <w:tcW w:w="4245" w:type="dxa"/>
            <w:vMerge w:val="restart"/>
            <w:tcBorders>
              <w:top w:val="nil"/>
              <w:left w:val="nil"/>
              <w:bottom w:val="single" w:color="000000" w:sz="4" w:space="0"/>
              <w:right w:val="single" w:color="000000" w:sz="4" w:space="0"/>
            </w:tcBorders>
            <w:shd w:val="clear" w:color="auto" w:fill="FFFFFF" w:themeFill="background1"/>
            <w:noWrap/>
            <w:vAlign w:val="center"/>
          </w:tcPr>
          <w:p>
            <w:pPr>
              <w:widowControl/>
              <w:jc w:val="center"/>
              <w:rPr>
                <w:rFonts w:ascii="宋体" w:hAnsi="宋体" w:eastAsia="宋体" w:cs="宋体"/>
                <w:kern w:val="0"/>
                <w:sz w:val="22"/>
              </w:rPr>
            </w:pPr>
            <w:r>
              <w:rPr>
                <w:rFonts w:hint="eastAsia" w:ascii="宋体" w:hAnsi="宋体" w:eastAsia="宋体" w:cs="宋体"/>
                <w:kern w:val="0"/>
                <w:sz w:val="22"/>
              </w:rPr>
              <w:t>科目名称</w:t>
            </w:r>
          </w:p>
        </w:tc>
        <w:tc>
          <w:tcPr>
            <w:tcW w:w="456" w:type="dxa"/>
            <w:vMerge w:val="continue"/>
            <w:tcBorders>
              <w:top w:val="single" w:color="000000" w:sz="4" w:space="0"/>
              <w:left w:val="nil"/>
              <w:bottom w:val="single" w:color="000000" w:sz="4" w:space="0"/>
              <w:right w:val="single" w:color="000000" w:sz="4" w:space="0"/>
            </w:tcBorders>
            <w:shd w:val="clear" w:color="auto" w:fill="FFFFFF" w:themeFill="background1"/>
            <w:vAlign w:val="center"/>
          </w:tcPr>
          <w:p>
            <w:pPr>
              <w:widowControl/>
              <w:jc w:val="left"/>
              <w:rPr>
                <w:rFonts w:ascii="宋体" w:hAnsi="宋体" w:eastAsia="宋体" w:cs="宋体"/>
                <w:kern w:val="0"/>
                <w:sz w:val="22"/>
              </w:rPr>
            </w:pPr>
          </w:p>
        </w:tc>
        <w:tc>
          <w:tcPr>
            <w:tcW w:w="456" w:type="dxa"/>
            <w:vMerge w:val="continue"/>
            <w:tcBorders>
              <w:top w:val="single" w:color="000000" w:sz="4" w:space="0"/>
              <w:left w:val="nil"/>
              <w:bottom w:val="single" w:color="000000" w:sz="4" w:space="0"/>
              <w:right w:val="single" w:color="000000" w:sz="4" w:space="0"/>
            </w:tcBorders>
            <w:shd w:val="clear" w:color="auto" w:fill="FFFFFF" w:themeFill="background1"/>
            <w:vAlign w:val="center"/>
          </w:tcPr>
          <w:p>
            <w:pPr>
              <w:widowControl/>
              <w:jc w:val="left"/>
              <w:rPr>
                <w:rFonts w:ascii="宋体" w:hAnsi="宋体" w:eastAsia="宋体" w:cs="宋体"/>
                <w:kern w:val="0"/>
                <w:sz w:val="22"/>
              </w:rPr>
            </w:pPr>
          </w:p>
        </w:tc>
        <w:tc>
          <w:tcPr>
            <w:tcW w:w="456" w:type="dxa"/>
            <w:vMerge w:val="restart"/>
            <w:tcBorders>
              <w:top w:val="nil"/>
              <w:left w:val="nil"/>
              <w:bottom w:val="single" w:color="000000" w:sz="4" w:space="0"/>
              <w:right w:val="single" w:color="000000" w:sz="4" w:space="0"/>
            </w:tcBorders>
            <w:shd w:val="clear" w:color="auto" w:fill="FFFFFF" w:themeFill="background1"/>
            <w:vAlign w:val="center"/>
          </w:tcPr>
          <w:p>
            <w:pPr>
              <w:widowControl/>
              <w:jc w:val="center"/>
              <w:rPr>
                <w:rFonts w:ascii="宋体" w:hAnsi="宋体" w:eastAsia="宋体" w:cs="宋体"/>
                <w:kern w:val="0"/>
                <w:sz w:val="22"/>
              </w:rPr>
            </w:pPr>
            <w:r>
              <w:rPr>
                <w:rFonts w:hint="eastAsia" w:ascii="宋体" w:hAnsi="宋体" w:eastAsia="宋体" w:cs="宋体"/>
                <w:kern w:val="0"/>
                <w:sz w:val="22"/>
              </w:rPr>
              <w:t>小计</w:t>
            </w:r>
          </w:p>
        </w:tc>
        <w:tc>
          <w:tcPr>
            <w:tcW w:w="456" w:type="dxa"/>
            <w:vMerge w:val="restart"/>
            <w:tcBorders>
              <w:top w:val="nil"/>
              <w:left w:val="nil"/>
              <w:bottom w:val="single" w:color="000000" w:sz="4" w:space="0"/>
              <w:right w:val="single" w:color="000000" w:sz="4" w:space="0"/>
            </w:tcBorders>
            <w:shd w:val="clear" w:color="auto" w:fill="FFFFFF" w:themeFill="background1"/>
            <w:vAlign w:val="center"/>
          </w:tcPr>
          <w:p>
            <w:pPr>
              <w:widowControl/>
              <w:jc w:val="center"/>
              <w:rPr>
                <w:rFonts w:ascii="宋体" w:hAnsi="宋体" w:eastAsia="宋体" w:cs="宋体"/>
                <w:kern w:val="0"/>
                <w:sz w:val="22"/>
              </w:rPr>
            </w:pPr>
            <w:r>
              <w:rPr>
                <w:rFonts w:hint="eastAsia" w:ascii="宋体" w:hAnsi="宋体" w:eastAsia="宋体" w:cs="宋体"/>
                <w:kern w:val="0"/>
                <w:sz w:val="22"/>
              </w:rPr>
              <w:t>基本支出</w:t>
            </w:r>
          </w:p>
        </w:tc>
        <w:tc>
          <w:tcPr>
            <w:tcW w:w="456" w:type="dxa"/>
            <w:vMerge w:val="restart"/>
            <w:tcBorders>
              <w:top w:val="nil"/>
              <w:left w:val="nil"/>
              <w:bottom w:val="single" w:color="000000" w:sz="4" w:space="0"/>
              <w:right w:val="single" w:color="000000" w:sz="4" w:space="0"/>
            </w:tcBorders>
            <w:shd w:val="clear" w:color="auto" w:fill="FFFFFF" w:themeFill="background1"/>
            <w:vAlign w:val="center"/>
          </w:tcPr>
          <w:p>
            <w:pPr>
              <w:widowControl/>
              <w:jc w:val="center"/>
              <w:rPr>
                <w:rFonts w:ascii="宋体" w:hAnsi="宋体" w:eastAsia="宋体" w:cs="宋体"/>
                <w:kern w:val="0"/>
                <w:sz w:val="22"/>
              </w:rPr>
            </w:pPr>
            <w:r>
              <w:rPr>
                <w:rFonts w:hint="eastAsia" w:ascii="宋体" w:hAnsi="宋体" w:eastAsia="宋体" w:cs="宋体"/>
                <w:kern w:val="0"/>
                <w:sz w:val="22"/>
              </w:rPr>
              <w:t>项目支出</w:t>
            </w:r>
          </w:p>
        </w:tc>
        <w:tc>
          <w:tcPr>
            <w:tcW w:w="1208" w:type="dxa"/>
            <w:vMerge w:val="continue"/>
            <w:tcBorders>
              <w:top w:val="single" w:color="000000" w:sz="4" w:space="0"/>
              <w:left w:val="nil"/>
              <w:bottom w:val="single" w:color="000000" w:sz="4" w:space="0"/>
              <w:right w:val="single" w:color="000000" w:sz="4" w:space="0"/>
            </w:tcBorders>
            <w:shd w:val="clear" w:color="auto" w:fill="FFFFFF" w:themeFill="background1"/>
            <w:vAlign w:val="center"/>
          </w:tcPr>
          <w:p>
            <w:pPr>
              <w:widowControl/>
              <w:jc w:val="left"/>
              <w:rPr>
                <w:rFonts w:ascii="宋体" w:hAnsi="宋体" w:eastAsia="宋体" w:cs="宋体"/>
                <w:kern w:val="0"/>
                <w:sz w:val="22"/>
              </w:rPr>
            </w:pPr>
          </w:p>
        </w:tc>
      </w:tr>
      <w:tr>
        <w:tblPrEx>
          <w:tblCellMar>
            <w:top w:w="0" w:type="dxa"/>
            <w:left w:w="108" w:type="dxa"/>
            <w:bottom w:w="0" w:type="dxa"/>
            <w:right w:w="108" w:type="dxa"/>
          </w:tblCellMar>
        </w:tblPrEx>
        <w:trPr>
          <w:trHeight w:val="312" w:hRule="atLeast"/>
        </w:trPr>
        <w:tc>
          <w:tcPr>
            <w:tcW w:w="1203" w:type="dxa"/>
            <w:gridSpan w:val="3"/>
            <w:vMerge w:val="continue"/>
            <w:tcBorders>
              <w:top w:val="nil"/>
              <w:left w:val="single" w:color="000000" w:sz="4" w:space="0"/>
              <w:bottom w:val="single" w:color="000000" w:sz="4" w:space="0"/>
              <w:right w:val="single" w:color="000000" w:sz="4" w:space="0"/>
            </w:tcBorders>
            <w:shd w:val="clear" w:color="auto" w:fill="FFFFFF" w:themeFill="background1"/>
            <w:vAlign w:val="center"/>
          </w:tcPr>
          <w:p>
            <w:pPr>
              <w:widowControl/>
              <w:jc w:val="left"/>
              <w:rPr>
                <w:rFonts w:ascii="宋体" w:hAnsi="宋体" w:eastAsia="宋体" w:cs="宋体"/>
                <w:kern w:val="0"/>
                <w:sz w:val="22"/>
              </w:rPr>
            </w:pPr>
          </w:p>
        </w:tc>
        <w:tc>
          <w:tcPr>
            <w:tcW w:w="4245" w:type="dxa"/>
            <w:vMerge w:val="continue"/>
            <w:tcBorders>
              <w:top w:val="nil"/>
              <w:left w:val="nil"/>
              <w:bottom w:val="single" w:color="000000" w:sz="4" w:space="0"/>
              <w:right w:val="single" w:color="000000" w:sz="4" w:space="0"/>
            </w:tcBorders>
            <w:shd w:val="clear" w:color="auto" w:fill="FFFFFF" w:themeFill="background1"/>
            <w:vAlign w:val="center"/>
          </w:tcPr>
          <w:p>
            <w:pPr>
              <w:widowControl/>
              <w:jc w:val="left"/>
              <w:rPr>
                <w:rFonts w:ascii="宋体" w:hAnsi="宋体" w:eastAsia="宋体" w:cs="宋体"/>
                <w:kern w:val="0"/>
                <w:sz w:val="22"/>
              </w:rPr>
            </w:pPr>
          </w:p>
        </w:tc>
        <w:tc>
          <w:tcPr>
            <w:tcW w:w="456" w:type="dxa"/>
            <w:vMerge w:val="continue"/>
            <w:tcBorders>
              <w:top w:val="single" w:color="000000" w:sz="4" w:space="0"/>
              <w:left w:val="nil"/>
              <w:bottom w:val="single" w:color="000000" w:sz="4" w:space="0"/>
              <w:right w:val="single" w:color="000000" w:sz="4" w:space="0"/>
            </w:tcBorders>
            <w:shd w:val="clear" w:color="auto" w:fill="FFFFFF" w:themeFill="background1"/>
            <w:vAlign w:val="center"/>
          </w:tcPr>
          <w:p>
            <w:pPr>
              <w:widowControl/>
              <w:jc w:val="left"/>
              <w:rPr>
                <w:rFonts w:ascii="宋体" w:hAnsi="宋体" w:eastAsia="宋体" w:cs="宋体"/>
                <w:kern w:val="0"/>
                <w:sz w:val="22"/>
              </w:rPr>
            </w:pPr>
          </w:p>
        </w:tc>
        <w:tc>
          <w:tcPr>
            <w:tcW w:w="456" w:type="dxa"/>
            <w:vMerge w:val="continue"/>
            <w:tcBorders>
              <w:top w:val="single" w:color="000000" w:sz="4" w:space="0"/>
              <w:left w:val="nil"/>
              <w:bottom w:val="single" w:color="000000" w:sz="4" w:space="0"/>
              <w:right w:val="single" w:color="000000" w:sz="4" w:space="0"/>
            </w:tcBorders>
            <w:shd w:val="clear" w:color="auto" w:fill="FFFFFF" w:themeFill="background1"/>
            <w:vAlign w:val="center"/>
          </w:tcPr>
          <w:p>
            <w:pPr>
              <w:widowControl/>
              <w:jc w:val="left"/>
              <w:rPr>
                <w:rFonts w:ascii="宋体" w:hAnsi="宋体" w:eastAsia="宋体" w:cs="宋体"/>
                <w:kern w:val="0"/>
                <w:sz w:val="22"/>
              </w:rPr>
            </w:pPr>
          </w:p>
        </w:tc>
        <w:tc>
          <w:tcPr>
            <w:tcW w:w="456" w:type="dxa"/>
            <w:vMerge w:val="continue"/>
            <w:tcBorders>
              <w:top w:val="nil"/>
              <w:left w:val="nil"/>
              <w:bottom w:val="single" w:color="000000" w:sz="4" w:space="0"/>
              <w:right w:val="single" w:color="000000" w:sz="4" w:space="0"/>
            </w:tcBorders>
            <w:shd w:val="clear" w:color="auto" w:fill="FFFFFF" w:themeFill="background1"/>
            <w:vAlign w:val="center"/>
          </w:tcPr>
          <w:p>
            <w:pPr>
              <w:widowControl/>
              <w:jc w:val="left"/>
              <w:rPr>
                <w:rFonts w:ascii="宋体" w:hAnsi="宋体" w:eastAsia="宋体" w:cs="宋体"/>
                <w:kern w:val="0"/>
                <w:sz w:val="22"/>
              </w:rPr>
            </w:pPr>
          </w:p>
        </w:tc>
        <w:tc>
          <w:tcPr>
            <w:tcW w:w="456" w:type="dxa"/>
            <w:vMerge w:val="continue"/>
            <w:tcBorders>
              <w:top w:val="nil"/>
              <w:left w:val="nil"/>
              <w:bottom w:val="single" w:color="000000" w:sz="4" w:space="0"/>
              <w:right w:val="single" w:color="000000" w:sz="4" w:space="0"/>
            </w:tcBorders>
            <w:shd w:val="clear" w:color="auto" w:fill="FFFFFF" w:themeFill="background1"/>
            <w:vAlign w:val="center"/>
          </w:tcPr>
          <w:p>
            <w:pPr>
              <w:widowControl/>
              <w:jc w:val="left"/>
              <w:rPr>
                <w:rFonts w:ascii="宋体" w:hAnsi="宋体" w:eastAsia="宋体" w:cs="宋体"/>
                <w:kern w:val="0"/>
                <w:sz w:val="22"/>
              </w:rPr>
            </w:pPr>
          </w:p>
        </w:tc>
        <w:tc>
          <w:tcPr>
            <w:tcW w:w="456" w:type="dxa"/>
            <w:vMerge w:val="continue"/>
            <w:tcBorders>
              <w:top w:val="nil"/>
              <w:left w:val="nil"/>
              <w:bottom w:val="single" w:color="000000" w:sz="4" w:space="0"/>
              <w:right w:val="single" w:color="000000" w:sz="4" w:space="0"/>
            </w:tcBorders>
            <w:shd w:val="clear" w:color="auto" w:fill="FFFFFF" w:themeFill="background1"/>
            <w:vAlign w:val="center"/>
          </w:tcPr>
          <w:p>
            <w:pPr>
              <w:widowControl/>
              <w:jc w:val="left"/>
              <w:rPr>
                <w:rFonts w:ascii="宋体" w:hAnsi="宋体" w:eastAsia="宋体" w:cs="宋体"/>
                <w:kern w:val="0"/>
                <w:sz w:val="22"/>
              </w:rPr>
            </w:pPr>
          </w:p>
        </w:tc>
        <w:tc>
          <w:tcPr>
            <w:tcW w:w="1208" w:type="dxa"/>
            <w:vMerge w:val="continue"/>
            <w:tcBorders>
              <w:top w:val="single" w:color="000000" w:sz="4" w:space="0"/>
              <w:left w:val="nil"/>
              <w:bottom w:val="single" w:color="000000" w:sz="4" w:space="0"/>
              <w:right w:val="single" w:color="000000" w:sz="4" w:space="0"/>
            </w:tcBorders>
            <w:shd w:val="clear" w:color="auto" w:fill="FFFFFF" w:themeFill="background1"/>
            <w:vAlign w:val="center"/>
          </w:tcPr>
          <w:p>
            <w:pPr>
              <w:widowControl/>
              <w:jc w:val="left"/>
              <w:rPr>
                <w:rFonts w:ascii="宋体" w:hAnsi="宋体" w:eastAsia="宋体" w:cs="宋体"/>
                <w:kern w:val="0"/>
                <w:sz w:val="22"/>
              </w:rPr>
            </w:pPr>
          </w:p>
        </w:tc>
      </w:tr>
      <w:tr>
        <w:tblPrEx>
          <w:tblCellMar>
            <w:top w:w="0" w:type="dxa"/>
            <w:left w:w="108" w:type="dxa"/>
            <w:bottom w:w="0" w:type="dxa"/>
            <w:right w:w="108" w:type="dxa"/>
          </w:tblCellMar>
        </w:tblPrEx>
        <w:trPr>
          <w:trHeight w:val="312" w:hRule="atLeast"/>
        </w:trPr>
        <w:tc>
          <w:tcPr>
            <w:tcW w:w="1203" w:type="dxa"/>
            <w:gridSpan w:val="3"/>
            <w:vMerge w:val="continue"/>
            <w:tcBorders>
              <w:top w:val="nil"/>
              <w:left w:val="single" w:color="000000" w:sz="4" w:space="0"/>
              <w:bottom w:val="single" w:color="000000" w:sz="4" w:space="0"/>
              <w:right w:val="single" w:color="000000" w:sz="4" w:space="0"/>
            </w:tcBorders>
            <w:shd w:val="clear" w:color="auto" w:fill="FFFFFF" w:themeFill="background1"/>
            <w:vAlign w:val="center"/>
          </w:tcPr>
          <w:p>
            <w:pPr>
              <w:widowControl/>
              <w:jc w:val="left"/>
              <w:rPr>
                <w:rFonts w:ascii="宋体" w:hAnsi="宋体" w:eastAsia="宋体" w:cs="宋体"/>
                <w:kern w:val="0"/>
                <w:sz w:val="22"/>
              </w:rPr>
            </w:pPr>
          </w:p>
        </w:tc>
        <w:tc>
          <w:tcPr>
            <w:tcW w:w="4245" w:type="dxa"/>
            <w:vMerge w:val="continue"/>
            <w:tcBorders>
              <w:top w:val="nil"/>
              <w:left w:val="nil"/>
              <w:bottom w:val="single" w:color="000000" w:sz="4" w:space="0"/>
              <w:right w:val="single" w:color="000000" w:sz="4" w:space="0"/>
            </w:tcBorders>
            <w:shd w:val="clear" w:color="auto" w:fill="FFFFFF" w:themeFill="background1"/>
            <w:vAlign w:val="center"/>
          </w:tcPr>
          <w:p>
            <w:pPr>
              <w:widowControl/>
              <w:jc w:val="left"/>
              <w:rPr>
                <w:rFonts w:ascii="宋体" w:hAnsi="宋体" w:eastAsia="宋体" w:cs="宋体"/>
                <w:kern w:val="0"/>
                <w:sz w:val="22"/>
              </w:rPr>
            </w:pPr>
          </w:p>
        </w:tc>
        <w:tc>
          <w:tcPr>
            <w:tcW w:w="456" w:type="dxa"/>
            <w:vMerge w:val="continue"/>
            <w:tcBorders>
              <w:top w:val="single" w:color="000000" w:sz="4" w:space="0"/>
              <w:left w:val="nil"/>
              <w:bottom w:val="single" w:color="000000" w:sz="4" w:space="0"/>
              <w:right w:val="single" w:color="000000" w:sz="4" w:space="0"/>
            </w:tcBorders>
            <w:shd w:val="clear" w:color="auto" w:fill="FFFFFF" w:themeFill="background1"/>
            <w:vAlign w:val="center"/>
          </w:tcPr>
          <w:p>
            <w:pPr>
              <w:widowControl/>
              <w:jc w:val="left"/>
              <w:rPr>
                <w:rFonts w:ascii="宋体" w:hAnsi="宋体" w:eastAsia="宋体" w:cs="宋体"/>
                <w:kern w:val="0"/>
                <w:sz w:val="22"/>
              </w:rPr>
            </w:pPr>
          </w:p>
        </w:tc>
        <w:tc>
          <w:tcPr>
            <w:tcW w:w="456" w:type="dxa"/>
            <w:vMerge w:val="continue"/>
            <w:tcBorders>
              <w:top w:val="single" w:color="000000" w:sz="4" w:space="0"/>
              <w:left w:val="nil"/>
              <w:bottom w:val="single" w:color="000000" w:sz="4" w:space="0"/>
              <w:right w:val="single" w:color="000000" w:sz="4" w:space="0"/>
            </w:tcBorders>
            <w:shd w:val="clear" w:color="auto" w:fill="FFFFFF" w:themeFill="background1"/>
            <w:vAlign w:val="center"/>
          </w:tcPr>
          <w:p>
            <w:pPr>
              <w:widowControl/>
              <w:jc w:val="left"/>
              <w:rPr>
                <w:rFonts w:ascii="宋体" w:hAnsi="宋体" w:eastAsia="宋体" w:cs="宋体"/>
                <w:kern w:val="0"/>
                <w:sz w:val="22"/>
              </w:rPr>
            </w:pPr>
          </w:p>
        </w:tc>
        <w:tc>
          <w:tcPr>
            <w:tcW w:w="456" w:type="dxa"/>
            <w:vMerge w:val="continue"/>
            <w:tcBorders>
              <w:top w:val="nil"/>
              <w:left w:val="nil"/>
              <w:bottom w:val="single" w:color="000000" w:sz="4" w:space="0"/>
              <w:right w:val="single" w:color="000000" w:sz="4" w:space="0"/>
            </w:tcBorders>
            <w:shd w:val="clear" w:color="auto" w:fill="FFFFFF" w:themeFill="background1"/>
            <w:vAlign w:val="center"/>
          </w:tcPr>
          <w:p>
            <w:pPr>
              <w:widowControl/>
              <w:jc w:val="left"/>
              <w:rPr>
                <w:rFonts w:ascii="宋体" w:hAnsi="宋体" w:eastAsia="宋体" w:cs="宋体"/>
                <w:kern w:val="0"/>
                <w:sz w:val="22"/>
              </w:rPr>
            </w:pPr>
          </w:p>
        </w:tc>
        <w:tc>
          <w:tcPr>
            <w:tcW w:w="456" w:type="dxa"/>
            <w:vMerge w:val="continue"/>
            <w:tcBorders>
              <w:top w:val="nil"/>
              <w:left w:val="nil"/>
              <w:bottom w:val="single" w:color="000000" w:sz="4" w:space="0"/>
              <w:right w:val="single" w:color="000000" w:sz="4" w:space="0"/>
            </w:tcBorders>
            <w:shd w:val="clear" w:color="auto" w:fill="FFFFFF" w:themeFill="background1"/>
            <w:vAlign w:val="center"/>
          </w:tcPr>
          <w:p>
            <w:pPr>
              <w:widowControl/>
              <w:jc w:val="left"/>
              <w:rPr>
                <w:rFonts w:ascii="宋体" w:hAnsi="宋体" w:eastAsia="宋体" w:cs="宋体"/>
                <w:kern w:val="0"/>
                <w:sz w:val="22"/>
              </w:rPr>
            </w:pPr>
          </w:p>
        </w:tc>
        <w:tc>
          <w:tcPr>
            <w:tcW w:w="456" w:type="dxa"/>
            <w:vMerge w:val="continue"/>
            <w:tcBorders>
              <w:top w:val="nil"/>
              <w:left w:val="nil"/>
              <w:bottom w:val="single" w:color="000000" w:sz="4" w:space="0"/>
              <w:right w:val="single" w:color="000000" w:sz="4" w:space="0"/>
            </w:tcBorders>
            <w:shd w:val="clear" w:color="auto" w:fill="FFFFFF" w:themeFill="background1"/>
            <w:vAlign w:val="center"/>
          </w:tcPr>
          <w:p>
            <w:pPr>
              <w:widowControl/>
              <w:jc w:val="left"/>
              <w:rPr>
                <w:rFonts w:ascii="宋体" w:hAnsi="宋体" w:eastAsia="宋体" w:cs="宋体"/>
                <w:kern w:val="0"/>
                <w:sz w:val="22"/>
              </w:rPr>
            </w:pPr>
          </w:p>
        </w:tc>
        <w:tc>
          <w:tcPr>
            <w:tcW w:w="1208" w:type="dxa"/>
            <w:vMerge w:val="continue"/>
            <w:tcBorders>
              <w:top w:val="single" w:color="000000" w:sz="4" w:space="0"/>
              <w:left w:val="nil"/>
              <w:bottom w:val="single" w:color="000000" w:sz="4" w:space="0"/>
              <w:right w:val="single" w:color="000000" w:sz="4" w:space="0"/>
            </w:tcBorders>
            <w:shd w:val="clear" w:color="auto" w:fill="FFFFFF" w:themeFill="background1"/>
            <w:vAlign w:val="center"/>
          </w:tcPr>
          <w:p>
            <w:pPr>
              <w:widowControl/>
              <w:jc w:val="left"/>
              <w:rPr>
                <w:rFonts w:ascii="宋体" w:hAnsi="宋体" w:eastAsia="宋体" w:cs="宋体"/>
                <w:kern w:val="0"/>
                <w:sz w:val="22"/>
              </w:rPr>
            </w:pPr>
          </w:p>
        </w:tc>
      </w:tr>
      <w:tr>
        <w:tblPrEx>
          <w:tblCellMar>
            <w:top w:w="0" w:type="dxa"/>
            <w:left w:w="108" w:type="dxa"/>
            <w:bottom w:w="0" w:type="dxa"/>
            <w:right w:w="108" w:type="dxa"/>
          </w:tblCellMar>
        </w:tblPrEx>
        <w:trPr>
          <w:trHeight w:val="308" w:hRule="atLeast"/>
        </w:trPr>
        <w:tc>
          <w:tcPr>
            <w:tcW w:w="5448" w:type="dxa"/>
            <w:gridSpan w:val="4"/>
            <w:tcBorders>
              <w:top w:val="nil"/>
              <w:left w:val="single" w:color="000000" w:sz="4" w:space="0"/>
              <w:bottom w:val="single" w:color="000000" w:sz="4" w:space="0"/>
              <w:right w:val="single" w:color="000000" w:sz="4" w:space="0"/>
            </w:tcBorders>
            <w:shd w:val="clear" w:color="auto" w:fill="FFFFFF" w:themeFill="background1"/>
            <w:noWrap/>
            <w:vAlign w:val="center"/>
          </w:tcPr>
          <w:p>
            <w:pPr>
              <w:widowControl/>
              <w:jc w:val="center"/>
              <w:rPr>
                <w:rFonts w:ascii="宋体" w:hAnsi="宋体" w:eastAsia="宋体" w:cs="宋体"/>
                <w:kern w:val="0"/>
                <w:sz w:val="22"/>
              </w:rPr>
            </w:pPr>
            <w:r>
              <w:rPr>
                <w:rFonts w:hint="eastAsia" w:ascii="宋体" w:hAnsi="宋体" w:eastAsia="宋体" w:cs="宋体"/>
                <w:kern w:val="0"/>
                <w:sz w:val="22"/>
              </w:rPr>
              <w:t>栏次</w:t>
            </w:r>
          </w:p>
        </w:tc>
        <w:tc>
          <w:tcPr>
            <w:tcW w:w="456" w:type="dxa"/>
            <w:tcBorders>
              <w:top w:val="nil"/>
              <w:left w:val="nil"/>
              <w:bottom w:val="single" w:color="000000" w:sz="4" w:space="0"/>
              <w:right w:val="single" w:color="000000" w:sz="4" w:space="0"/>
            </w:tcBorders>
            <w:shd w:val="clear" w:color="auto" w:fill="FFFFFF" w:themeFill="background1"/>
            <w:noWrap/>
            <w:vAlign w:val="center"/>
          </w:tcPr>
          <w:p>
            <w:pPr>
              <w:widowControl/>
              <w:jc w:val="center"/>
              <w:rPr>
                <w:rFonts w:ascii="宋体" w:hAnsi="宋体" w:eastAsia="宋体" w:cs="宋体"/>
                <w:kern w:val="0"/>
                <w:sz w:val="22"/>
              </w:rPr>
            </w:pPr>
            <w:r>
              <w:rPr>
                <w:rFonts w:ascii="宋体" w:hAnsi="宋体" w:eastAsia="宋体" w:cs="宋体"/>
                <w:kern w:val="0"/>
                <w:sz w:val="22"/>
              </w:rPr>
              <w:t>1</w:t>
            </w:r>
          </w:p>
        </w:tc>
        <w:tc>
          <w:tcPr>
            <w:tcW w:w="456" w:type="dxa"/>
            <w:tcBorders>
              <w:top w:val="nil"/>
              <w:left w:val="nil"/>
              <w:bottom w:val="single" w:color="000000" w:sz="4" w:space="0"/>
              <w:right w:val="single" w:color="000000" w:sz="4" w:space="0"/>
            </w:tcBorders>
            <w:shd w:val="clear" w:color="auto" w:fill="FFFFFF" w:themeFill="background1"/>
            <w:noWrap/>
            <w:vAlign w:val="center"/>
          </w:tcPr>
          <w:p>
            <w:pPr>
              <w:widowControl/>
              <w:jc w:val="center"/>
              <w:rPr>
                <w:rFonts w:ascii="宋体" w:hAnsi="宋体" w:eastAsia="宋体" w:cs="宋体"/>
                <w:kern w:val="0"/>
                <w:sz w:val="22"/>
              </w:rPr>
            </w:pPr>
            <w:r>
              <w:rPr>
                <w:rFonts w:ascii="宋体" w:hAnsi="宋体" w:eastAsia="宋体" w:cs="宋体"/>
                <w:kern w:val="0"/>
                <w:sz w:val="22"/>
              </w:rPr>
              <w:t>2</w:t>
            </w:r>
          </w:p>
        </w:tc>
        <w:tc>
          <w:tcPr>
            <w:tcW w:w="456" w:type="dxa"/>
            <w:tcBorders>
              <w:top w:val="nil"/>
              <w:left w:val="nil"/>
              <w:bottom w:val="single" w:color="000000" w:sz="4" w:space="0"/>
              <w:right w:val="single" w:color="000000" w:sz="4" w:space="0"/>
            </w:tcBorders>
            <w:shd w:val="clear" w:color="auto" w:fill="FFFFFF" w:themeFill="background1"/>
            <w:noWrap/>
            <w:vAlign w:val="center"/>
          </w:tcPr>
          <w:p>
            <w:pPr>
              <w:widowControl/>
              <w:jc w:val="center"/>
              <w:rPr>
                <w:rFonts w:ascii="宋体" w:hAnsi="宋体" w:eastAsia="宋体" w:cs="宋体"/>
                <w:kern w:val="0"/>
                <w:sz w:val="22"/>
              </w:rPr>
            </w:pPr>
            <w:r>
              <w:rPr>
                <w:rFonts w:ascii="宋体" w:hAnsi="宋体" w:eastAsia="宋体" w:cs="宋体"/>
                <w:kern w:val="0"/>
                <w:sz w:val="22"/>
              </w:rPr>
              <w:t>3</w:t>
            </w:r>
          </w:p>
        </w:tc>
        <w:tc>
          <w:tcPr>
            <w:tcW w:w="456" w:type="dxa"/>
            <w:tcBorders>
              <w:top w:val="nil"/>
              <w:left w:val="nil"/>
              <w:bottom w:val="single" w:color="000000" w:sz="4" w:space="0"/>
              <w:right w:val="single" w:color="000000" w:sz="4" w:space="0"/>
            </w:tcBorders>
            <w:shd w:val="clear" w:color="auto" w:fill="FFFFFF" w:themeFill="background1"/>
            <w:noWrap/>
            <w:vAlign w:val="center"/>
          </w:tcPr>
          <w:p>
            <w:pPr>
              <w:widowControl/>
              <w:jc w:val="center"/>
              <w:rPr>
                <w:rFonts w:ascii="宋体" w:hAnsi="宋体" w:eastAsia="宋体" w:cs="宋体"/>
                <w:kern w:val="0"/>
                <w:sz w:val="22"/>
              </w:rPr>
            </w:pPr>
            <w:r>
              <w:rPr>
                <w:rFonts w:ascii="宋体" w:hAnsi="宋体" w:eastAsia="宋体" w:cs="宋体"/>
                <w:kern w:val="0"/>
                <w:sz w:val="22"/>
              </w:rPr>
              <w:t>4</w:t>
            </w:r>
          </w:p>
        </w:tc>
        <w:tc>
          <w:tcPr>
            <w:tcW w:w="456" w:type="dxa"/>
            <w:tcBorders>
              <w:top w:val="nil"/>
              <w:left w:val="nil"/>
              <w:bottom w:val="single" w:color="000000" w:sz="4" w:space="0"/>
              <w:right w:val="single" w:color="000000" w:sz="4" w:space="0"/>
            </w:tcBorders>
            <w:shd w:val="clear" w:color="auto" w:fill="FFFFFF" w:themeFill="background1"/>
            <w:noWrap/>
            <w:vAlign w:val="center"/>
          </w:tcPr>
          <w:p>
            <w:pPr>
              <w:widowControl/>
              <w:jc w:val="center"/>
              <w:rPr>
                <w:rFonts w:ascii="宋体" w:hAnsi="宋体" w:eastAsia="宋体" w:cs="宋体"/>
                <w:kern w:val="0"/>
                <w:sz w:val="22"/>
              </w:rPr>
            </w:pPr>
            <w:r>
              <w:rPr>
                <w:rFonts w:ascii="宋体" w:hAnsi="宋体" w:eastAsia="宋体" w:cs="宋体"/>
                <w:kern w:val="0"/>
                <w:sz w:val="22"/>
              </w:rPr>
              <w:t>5</w:t>
            </w:r>
          </w:p>
        </w:tc>
        <w:tc>
          <w:tcPr>
            <w:tcW w:w="1208" w:type="dxa"/>
            <w:tcBorders>
              <w:top w:val="nil"/>
              <w:left w:val="nil"/>
              <w:bottom w:val="single" w:color="000000" w:sz="4" w:space="0"/>
              <w:right w:val="single" w:color="000000" w:sz="4" w:space="0"/>
            </w:tcBorders>
            <w:shd w:val="clear" w:color="auto" w:fill="FFFFFF" w:themeFill="background1"/>
            <w:noWrap/>
            <w:vAlign w:val="center"/>
          </w:tcPr>
          <w:p>
            <w:pPr>
              <w:widowControl/>
              <w:jc w:val="center"/>
              <w:rPr>
                <w:rFonts w:ascii="宋体" w:hAnsi="宋体" w:eastAsia="宋体" w:cs="宋体"/>
                <w:kern w:val="0"/>
                <w:sz w:val="22"/>
              </w:rPr>
            </w:pPr>
            <w:r>
              <w:rPr>
                <w:rFonts w:ascii="宋体" w:hAnsi="宋体" w:eastAsia="宋体" w:cs="宋体"/>
                <w:kern w:val="0"/>
                <w:sz w:val="22"/>
              </w:rPr>
              <w:t>6</w:t>
            </w:r>
          </w:p>
        </w:tc>
      </w:tr>
      <w:tr>
        <w:tblPrEx>
          <w:tblCellMar>
            <w:top w:w="0" w:type="dxa"/>
            <w:left w:w="108" w:type="dxa"/>
            <w:bottom w:w="0" w:type="dxa"/>
            <w:right w:w="108" w:type="dxa"/>
          </w:tblCellMar>
        </w:tblPrEx>
        <w:trPr>
          <w:trHeight w:val="308" w:hRule="atLeast"/>
        </w:trPr>
        <w:tc>
          <w:tcPr>
            <w:tcW w:w="5448" w:type="dxa"/>
            <w:gridSpan w:val="4"/>
            <w:tcBorders>
              <w:top w:val="nil"/>
              <w:left w:val="single" w:color="000000" w:sz="4" w:space="0"/>
              <w:bottom w:val="single" w:color="000000" w:sz="4" w:space="0"/>
              <w:right w:val="single" w:color="000000" w:sz="4" w:space="0"/>
            </w:tcBorders>
            <w:shd w:val="clear" w:color="auto" w:fill="FFFFFF" w:themeFill="background1"/>
            <w:noWrap/>
            <w:vAlign w:val="center"/>
          </w:tcPr>
          <w:p>
            <w:pPr>
              <w:widowControl/>
              <w:jc w:val="center"/>
              <w:rPr>
                <w:rFonts w:ascii="宋体" w:hAnsi="宋体" w:eastAsia="宋体" w:cs="宋体"/>
                <w:kern w:val="0"/>
                <w:sz w:val="22"/>
              </w:rPr>
            </w:pPr>
            <w:r>
              <w:rPr>
                <w:rFonts w:hint="eastAsia" w:ascii="宋体" w:hAnsi="宋体" w:eastAsia="宋体" w:cs="宋体"/>
                <w:kern w:val="0"/>
                <w:sz w:val="22"/>
              </w:rPr>
              <w:t>合计</w:t>
            </w:r>
          </w:p>
        </w:tc>
        <w:tc>
          <w:tcPr>
            <w:tcW w:w="456" w:type="dxa"/>
            <w:tcBorders>
              <w:top w:val="nil"/>
              <w:left w:val="nil"/>
              <w:bottom w:val="single" w:color="000000" w:sz="4" w:space="0"/>
              <w:right w:val="single" w:color="000000" w:sz="4" w:space="0"/>
            </w:tcBorders>
            <w:shd w:val="clear" w:color="auto" w:fill="FFFFFF" w:themeFill="background1"/>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456" w:type="dxa"/>
            <w:tcBorders>
              <w:top w:val="nil"/>
              <w:left w:val="nil"/>
              <w:bottom w:val="single" w:color="000000" w:sz="4" w:space="0"/>
              <w:right w:val="single" w:color="000000" w:sz="4" w:space="0"/>
            </w:tcBorders>
            <w:shd w:val="clear" w:color="auto" w:fill="FFFFFF" w:themeFill="background1"/>
            <w:noWrap/>
            <w:vAlign w:val="center"/>
          </w:tcPr>
          <w:p>
            <w:pPr>
              <w:widowControl/>
              <w:jc w:val="right"/>
              <w:rPr>
                <w:rFonts w:ascii="宋体" w:hAnsi="宋体" w:eastAsia="宋体" w:cs="宋体"/>
                <w:kern w:val="0"/>
                <w:sz w:val="22"/>
              </w:rPr>
            </w:pPr>
            <w:r>
              <w:rPr>
                <w:rFonts w:ascii="宋体" w:hAnsi="宋体" w:eastAsia="宋体" w:cs="宋体"/>
                <w:kern w:val="0"/>
                <w:sz w:val="22"/>
              </w:rPr>
              <w:t>5</w:t>
            </w:r>
          </w:p>
        </w:tc>
        <w:tc>
          <w:tcPr>
            <w:tcW w:w="456" w:type="dxa"/>
            <w:tcBorders>
              <w:top w:val="nil"/>
              <w:left w:val="nil"/>
              <w:bottom w:val="single" w:color="000000" w:sz="4" w:space="0"/>
              <w:right w:val="single" w:color="000000" w:sz="4" w:space="0"/>
            </w:tcBorders>
            <w:shd w:val="clear" w:color="auto" w:fill="FFFFFF" w:themeFill="background1"/>
            <w:noWrap/>
            <w:vAlign w:val="center"/>
          </w:tcPr>
          <w:p>
            <w:pPr>
              <w:widowControl/>
              <w:jc w:val="right"/>
              <w:rPr>
                <w:rFonts w:ascii="宋体" w:hAnsi="宋体" w:eastAsia="宋体" w:cs="宋体"/>
                <w:kern w:val="0"/>
                <w:sz w:val="22"/>
              </w:rPr>
            </w:pPr>
            <w:r>
              <w:rPr>
                <w:rFonts w:ascii="宋体" w:hAnsi="宋体" w:eastAsia="宋体" w:cs="宋体"/>
                <w:kern w:val="0"/>
                <w:sz w:val="22"/>
              </w:rPr>
              <w:t>5</w:t>
            </w:r>
          </w:p>
        </w:tc>
        <w:tc>
          <w:tcPr>
            <w:tcW w:w="456" w:type="dxa"/>
            <w:tcBorders>
              <w:top w:val="nil"/>
              <w:left w:val="nil"/>
              <w:bottom w:val="single" w:color="000000" w:sz="4" w:space="0"/>
              <w:right w:val="single" w:color="000000" w:sz="4" w:space="0"/>
            </w:tcBorders>
            <w:shd w:val="clear" w:color="auto" w:fill="FFFFFF" w:themeFill="background1"/>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456" w:type="dxa"/>
            <w:tcBorders>
              <w:top w:val="nil"/>
              <w:left w:val="nil"/>
              <w:bottom w:val="single" w:color="000000" w:sz="4" w:space="0"/>
              <w:right w:val="single" w:color="000000" w:sz="4" w:space="0"/>
            </w:tcBorders>
            <w:shd w:val="clear" w:color="auto" w:fill="FFFFFF" w:themeFill="background1"/>
            <w:noWrap/>
            <w:vAlign w:val="center"/>
          </w:tcPr>
          <w:p>
            <w:pPr>
              <w:widowControl/>
              <w:jc w:val="right"/>
              <w:rPr>
                <w:rFonts w:ascii="宋体" w:hAnsi="宋体" w:eastAsia="宋体" w:cs="宋体"/>
                <w:kern w:val="0"/>
                <w:sz w:val="22"/>
              </w:rPr>
            </w:pPr>
            <w:r>
              <w:rPr>
                <w:rFonts w:ascii="宋体" w:hAnsi="宋体" w:eastAsia="宋体" w:cs="宋体"/>
                <w:kern w:val="0"/>
                <w:sz w:val="22"/>
              </w:rPr>
              <w:t>5</w:t>
            </w:r>
          </w:p>
        </w:tc>
        <w:tc>
          <w:tcPr>
            <w:tcW w:w="1208" w:type="dxa"/>
            <w:tcBorders>
              <w:top w:val="nil"/>
              <w:left w:val="nil"/>
              <w:bottom w:val="single" w:color="000000" w:sz="4" w:space="0"/>
              <w:right w:val="single" w:color="000000" w:sz="4" w:space="0"/>
            </w:tcBorders>
            <w:shd w:val="clear" w:color="auto" w:fill="FFFFFF" w:themeFill="background1"/>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308" w:hRule="atLeast"/>
        </w:trPr>
        <w:tc>
          <w:tcPr>
            <w:tcW w:w="1203"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212</w:t>
            </w:r>
          </w:p>
        </w:tc>
        <w:tc>
          <w:tcPr>
            <w:tcW w:w="4245"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城乡社区支出</w:t>
            </w:r>
          </w:p>
        </w:tc>
        <w:tc>
          <w:tcPr>
            <w:tcW w:w="456"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456"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5</w:t>
            </w:r>
          </w:p>
        </w:tc>
        <w:tc>
          <w:tcPr>
            <w:tcW w:w="456"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5</w:t>
            </w:r>
          </w:p>
        </w:tc>
        <w:tc>
          <w:tcPr>
            <w:tcW w:w="456"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456"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5</w:t>
            </w:r>
          </w:p>
        </w:tc>
        <w:tc>
          <w:tcPr>
            <w:tcW w:w="1208"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308" w:hRule="atLeast"/>
        </w:trPr>
        <w:tc>
          <w:tcPr>
            <w:tcW w:w="1203"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21208</w:t>
            </w:r>
          </w:p>
        </w:tc>
        <w:tc>
          <w:tcPr>
            <w:tcW w:w="4245"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hint="eastAsia" w:ascii="宋体" w:hAnsi="宋体" w:eastAsia="宋体" w:cs="宋体"/>
                <w:kern w:val="0"/>
                <w:sz w:val="22"/>
              </w:rPr>
              <w:t>国有土地使用权出让收入及对应专项债务收入安排的支出</w:t>
            </w:r>
          </w:p>
        </w:tc>
        <w:tc>
          <w:tcPr>
            <w:tcW w:w="456"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456"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5</w:t>
            </w:r>
          </w:p>
        </w:tc>
        <w:tc>
          <w:tcPr>
            <w:tcW w:w="456"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5</w:t>
            </w:r>
          </w:p>
        </w:tc>
        <w:tc>
          <w:tcPr>
            <w:tcW w:w="456"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456"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5</w:t>
            </w:r>
          </w:p>
        </w:tc>
        <w:tc>
          <w:tcPr>
            <w:tcW w:w="1208"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308" w:hRule="atLeast"/>
        </w:trPr>
        <w:tc>
          <w:tcPr>
            <w:tcW w:w="1203"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2120804</w:t>
            </w:r>
          </w:p>
        </w:tc>
        <w:tc>
          <w:tcPr>
            <w:tcW w:w="4245"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2"/>
              </w:rPr>
            </w:pPr>
            <w:r>
              <w:rPr>
                <w:rFonts w:ascii="宋体" w:hAnsi="宋体" w:eastAsia="宋体" w:cs="宋体"/>
                <w:kern w:val="0"/>
                <w:sz w:val="22"/>
              </w:rPr>
              <w:t xml:space="preserve">  </w:t>
            </w:r>
            <w:r>
              <w:rPr>
                <w:rFonts w:hint="eastAsia" w:ascii="宋体" w:hAnsi="宋体" w:eastAsia="宋体" w:cs="宋体"/>
                <w:kern w:val="0"/>
                <w:sz w:val="22"/>
              </w:rPr>
              <w:t>农村基础设施建设支出</w:t>
            </w:r>
          </w:p>
        </w:tc>
        <w:tc>
          <w:tcPr>
            <w:tcW w:w="456"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456"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5</w:t>
            </w:r>
          </w:p>
        </w:tc>
        <w:tc>
          <w:tcPr>
            <w:tcW w:w="456"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5</w:t>
            </w:r>
          </w:p>
        </w:tc>
        <w:tc>
          <w:tcPr>
            <w:tcW w:w="456"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c>
          <w:tcPr>
            <w:tcW w:w="456"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5</w:t>
            </w:r>
          </w:p>
        </w:tc>
        <w:tc>
          <w:tcPr>
            <w:tcW w:w="1208"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2"/>
              </w:rPr>
            </w:pPr>
            <w:r>
              <w:rPr>
                <w:rFonts w:ascii="宋体" w:hAnsi="宋体" w:eastAsia="宋体" w:cs="宋体"/>
                <w:kern w:val="0"/>
                <w:sz w:val="22"/>
              </w:rPr>
              <w:t>0</w:t>
            </w:r>
          </w:p>
        </w:tc>
      </w:tr>
      <w:tr>
        <w:tblPrEx>
          <w:tblCellMar>
            <w:top w:w="0" w:type="dxa"/>
            <w:left w:w="108" w:type="dxa"/>
            <w:bottom w:w="0" w:type="dxa"/>
            <w:right w:w="108" w:type="dxa"/>
          </w:tblCellMar>
        </w:tblPrEx>
        <w:trPr>
          <w:trHeight w:val="308" w:hRule="atLeast"/>
        </w:trPr>
        <w:tc>
          <w:tcPr>
            <w:tcW w:w="1203"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4245"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456"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4"/>
                <w:szCs w:val="24"/>
              </w:rPr>
            </w:pPr>
            <w:r>
              <w:rPr>
                <w:rFonts w:hint="eastAsia" w:ascii="宋体" w:hAnsi="宋体" w:eastAsia="宋体" w:cs="宋体"/>
                <w:kern w:val="0"/>
                <w:sz w:val="24"/>
                <w:szCs w:val="24"/>
              </w:rPr>
              <w:t>　</w:t>
            </w:r>
          </w:p>
        </w:tc>
        <w:tc>
          <w:tcPr>
            <w:tcW w:w="456"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4"/>
                <w:szCs w:val="24"/>
              </w:rPr>
            </w:pPr>
            <w:r>
              <w:rPr>
                <w:rFonts w:hint="eastAsia" w:ascii="宋体" w:hAnsi="宋体" w:eastAsia="宋体" w:cs="宋体"/>
                <w:kern w:val="0"/>
                <w:sz w:val="24"/>
                <w:szCs w:val="24"/>
              </w:rPr>
              <w:t>　</w:t>
            </w:r>
          </w:p>
        </w:tc>
        <w:tc>
          <w:tcPr>
            <w:tcW w:w="456"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4"/>
                <w:szCs w:val="24"/>
              </w:rPr>
            </w:pPr>
            <w:r>
              <w:rPr>
                <w:rFonts w:hint="eastAsia" w:ascii="宋体" w:hAnsi="宋体" w:eastAsia="宋体" w:cs="宋体"/>
                <w:kern w:val="0"/>
                <w:sz w:val="24"/>
                <w:szCs w:val="24"/>
              </w:rPr>
              <w:t>　</w:t>
            </w:r>
          </w:p>
        </w:tc>
        <w:tc>
          <w:tcPr>
            <w:tcW w:w="456"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4"/>
                <w:szCs w:val="24"/>
              </w:rPr>
            </w:pPr>
            <w:r>
              <w:rPr>
                <w:rFonts w:hint="eastAsia" w:ascii="宋体" w:hAnsi="宋体" w:eastAsia="宋体" w:cs="宋体"/>
                <w:kern w:val="0"/>
                <w:sz w:val="24"/>
                <w:szCs w:val="24"/>
              </w:rPr>
              <w:t>　</w:t>
            </w:r>
          </w:p>
        </w:tc>
        <w:tc>
          <w:tcPr>
            <w:tcW w:w="456"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4"/>
                <w:szCs w:val="24"/>
              </w:rPr>
            </w:pPr>
            <w:r>
              <w:rPr>
                <w:rFonts w:hint="eastAsia" w:ascii="宋体" w:hAnsi="宋体" w:eastAsia="宋体" w:cs="宋体"/>
                <w:kern w:val="0"/>
                <w:sz w:val="24"/>
                <w:szCs w:val="24"/>
              </w:rPr>
              <w:t>　</w:t>
            </w:r>
          </w:p>
        </w:tc>
        <w:tc>
          <w:tcPr>
            <w:tcW w:w="1208"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4"/>
                <w:szCs w:val="24"/>
              </w:rPr>
            </w:pPr>
            <w:r>
              <w:rPr>
                <w:rFonts w:hint="eastAsia" w:ascii="宋体" w:hAnsi="宋体" w:eastAsia="宋体" w:cs="宋体"/>
                <w:kern w:val="0"/>
                <w:sz w:val="24"/>
                <w:szCs w:val="24"/>
              </w:rPr>
              <w:t>　</w:t>
            </w:r>
          </w:p>
        </w:tc>
      </w:tr>
      <w:tr>
        <w:tblPrEx>
          <w:tblCellMar>
            <w:top w:w="0" w:type="dxa"/>
            <w:left w:w="108" w:type="dxa"/>
            <w:bottom w:w="0" w:type="dxa"/>
            <w:right w:w="108" w:type="dxa"/>
          </w:tblCellMar>
        </w:tblPrEx>
        <w:trPr>
          <w:trHeight w:val="308" w:hRule="atLeast"/>
        </w:trPr>
        <w:tc>
          <w:tcPr>
            <w:tcW w:w="1203"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4245"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456"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4"/>
                <w:szCs w:val="24"/>
              </w:rPr>
            </w:pPr>
            <w:r>
              <w:rPr>
                <w:rFonts w:hint="eastAsia" w:ascii="宋体" w:hAnsi="宋体" w:eastAsia="宋体" w:cs="宋体"/>
                <w:kern w:val="0"/>
                <w:sz w:val="24"/>
                <w:szCs w:val="24"/>
              </w:rPr>
              <w:t>　</w:t>
            </w:r>
          </w:p>
        </w:tc>
        <w:tc>
          <w:tcPr>
            <w:tcW w:w="456"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4"/>
                <w:szCs w:val="24"/>
              </w:rPr>
            </w:pPr>
            <w:r>
              <w:rPr>
                <w:rFonts w:hint="eastAsia" w:ascii="宋体" w:hAnsi="宋体" w:eastAsia="宋体" w:cs="宋体"/>
                <w:kern w:val="0"/>
                <w:sz w:val="24"/>
                <w:szCs w:val="24"/>
              </w:rPr>
              <w:t>　</w:t>
            </w:r>
          </w:p>
        </w:tc>
        <w:tc>
          <w:tcPr>
            <w:tcW w:w="456"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4"/>
                <w:szCs w:val="24"/>
              </w:rPr>
            </w:pPr>
            <w:r>
              <w:rPr>
                <w:rFonts w:hint="eastAsia" w:ascii="宋体" w:hAnsi="宋体" w:eastAsia="宋体" w:cs="宋体"/>
                <w:kern w:val="0"/>
                <w:sz w:val="24"/>
                <w:szCs w:val="24"/>
              </w:rPr>
              <w:t>　</w:t>
            </w:r>
          </w:p>
        </w:tc>
        <w:tc>
          <w:tcPr>
            <w:tcW w:w="456"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4"/>
                <w:szCs w:val="24"/>
              </w:rPr>
            </w:pPr>
            <w:r>
              <w:rPr>
                <w:rFonts w:hint="eastAsia" w:ascii="宋体" w:hAnsi="宋体" w:eastAsia="宋体" w:cs="宋体"/>
                <w:kern w:val="0"/>
                <w:sz w:val="24"/>
                <w:szCs w:val="24"/>
              </w:rPr>
              <w:t>　</w:t>
            </w:r>
          </w:p>
        </w:tc>
        <w:tc>
          <w:tcPr>
            <w:tcW w:w="456"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4"/>
                <w:szCs w:val="24"/>
              </w:rPr>
            </w:pPr>
            <w:r>
              <w:rPr>
                <w:rFonts w:hint="eastAsia" w:ascii="宋体" w:hAnsi="宋体" w:eastAsia="宋体" w:cs="宋体"/>
                <w:kern w:val="0"/>
                <w:sz w:val="24"/>
                <w:szCs w:val="24"/>
              </w:rPr>
              <w:t>　</w:t>
            </w:r>
          </w:p>
        </w:tc>
        <w:tc>
          <w:tcPr>
            <w:tcW w:w="1208"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4"/>
                <w:szCs w:val="24"/>
              </w:rPr>
            </w:pPr>
            <w:r>
              <w:rPr>
                <w:rFonts w:hint="eastAsia" w:ascii="宋体" w:hAnsi="宋体" w:eastAsia="宋体" w:cs="宋体"/>
                <w:kern w:val="0"/>
                <w:sz w:val="24"/>
                <w:szCs w:val="24"/>
              </w:rPr>
              <w:t>　</w:t>
            </w:r>
          </w:p>
        </w:tc>
      </w:tr>
      <w:tr>
        <w:tblPrEx>
          <w:tblCellMar>
            <w:top w:w="0" w:type="dxa"/>
            <w:left w:w="108" w:type="dxa"/>
            <w:bottom w:w="0" w:type="dxa"/>
            <w:right w:w="108" w:type="dxa"/>
          </w:tblCellMar>
        </w:tblPrEx>
        <w:trPr>
          <w:trHeight w:val="308" w:hRule="atLeast"/>
        </w:trPr>
        <w:tc>
          <w:tcPr>
            <w:tcW w:w="1203"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4245"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456"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4"/>
                <w:szCs w:val="24"/>
              </w:rPr>
            </w:pPr>
            <w:r>
              <w:rPr>
                <w:rFonts w:hint="eastAsia" w:ascii="宋体" w:hAnsi="宋体" w:eastAsia="宋体" w:cs="宋体"/>
                <w:kern w:val="0"/>
                <w:sz w:val="24"/>
                <w:szCs w:val="24"/>
              </w:rPr>
              <w:t>　</w:t>
            </w:r>
          </w:p>
        </w:tc>
        <w:tc>
          <w:tcPr>
            <w:tcW w:w="456"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4"/>
                <w:szCs w:val="24"/>
              </w:rPr>
            </w:pPr>
            <w:r>
              <w:rPr>
                <w:rFonts w:hint="eastAsia" w:ascii="宋体" w:hAnsi="宋体" w:eastAsia="宋体" w:cs="宋体"/>
                <w:kern w:val="0"/>
                <w:sz w:val="24"/>
                <w:szCs w:val="24"/>
              </w:rPr>
              <w:t>　</w:t>
            </w:r>
          </w:p>
        </w:tc>
        <w:tc>
          <w:tcPr>
            <w:tcW w:w="456"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4"/>
                <w:szCs w:val="24"/>
              </w:rPr>
            </w:pPr>
            <w:r>
              <w:rPr>
                <w:rFonts w:hint="eastAsia" w:ascii="宋体" w:hAnsi="宋体" w:eastAsia="宋体" w:cs="宋体"/>
                <w:kern w:val="0"/>
                <w:sz w:val="24"/>
                <w:szCs w:val="24"/>
              </w:rPr>
              <w:t>　</w:t>
            </w:r>
          </w:p>
        </w:tc>
        <w:tc>
          <w:tcPr>
            <w:tcW w:w="456"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4"/>
                <w:szCs w:val="24"/>
              </w:rPr>
            </w:pPr>
            <w:r>
              <w:rPr>
                <w:rFonts w:hint="eastAsia" w:ascii="宋体" w:hAnsi="宋体" w:eastAsia="宋体" w:cs="宋体"/>
                <w:kern w:val="0"/>
                <w:sz w:val="24"/>
                <w:szCs w:val="24"/>
              </w:rPr>
              <w:t>　</w:t>
            </w:r>
          </w:p>
        </w:tc>
        <w:tc>
          <w:tcPr>
            <w:tcW w:w="456"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4"/>
                <w:szCs w:val="24"/>
              </w:rPr>
            </w:pPr>
            <w:r>
              <w:rPr>
                <w:rFonts w:hint="eastAsia" w:ascii="宋体" w:hAnsi="宋体" w:eastAsia="宋体" w:cs="宋体"/>
                <w:kern w:val="0"/>
                <w:sz w:val="24"/>
                <w:szCs w:val="24"/>
              </w:rPr>
              <w:t>　</w:t>
            </w:r>
          </w:p>
        </w:tc>
        <w:tc>
          <w:tcPr>
            <w:tcW w:w="1208"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4"/>
                <w:szCs w:val="24"/>
              </w:rPr>
            </w:pPr>
            <w:r>
              <w:rPr>
                <w:rFonts w:hint="eastAsia" w:ascii="宋体" w:hAnsi="宋体" w:eastAsia="宋体" w:cs="宋体"/>
                <w:kern w:val="0"/>
                <w:sz w:val="24"/>
                <w:szCs w:val="24"/>
              </w:rPr>
              <w:t>　</w:t>
            </w:r>
          </w:p>
        </w:tc>
      </w:tr>
      <w:tr>
        <w:tblPrEx>
          <w:tblCellMar>
            <w:top w:w="0" w:type="dxa"/>
            <w:left w:w="108" w:type="dxa"/>
            <w:bottom w:w="0" w:type="dxa"/>
            <w:right w:w="108" w:type="dxa"/>
          </w:tblCellMar>
        </w:tblPrEx>
        <w:trPr>
          <w:trHeight w:val="308" w:hRule="atLeast"/>
        </w:trPr>
        <w:tc>
          <w:tcPr>
            <w:tcW w:w="1203"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4245"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456"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4"/>
                <w:szCs w:val="24"/>
              </w:rPr>
            </w:pPr>
            <w:r>
              <w:rPr>
                <w:rFonts w:hint="eastAsia" w:ascii="宋体" w:hAnsi="宋体" w:eastAsia="宋体" w:cs="宋体"/>
                <w:kern w:val="0"/>
                <w:sz w:val="24"/>
                <w:szCs w:val="24"/>
              </w:rPr>
              <w:t>　</w:t>
            </w:r>
          </w:p>
        </w:tc>
        <w:tc>
          <w:tcPr>
            <w:tcW w:w="456"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4"/>
                <w:szCs w:val="24"/>
              </w:rPr>
            </w:pPr>
            <w:r>
              <w:rPr>
                <w:rFonts w:hint="eastAsia" w:ascii="宋体" w:hAnsi="宋体" w:eastAsia="宋体" w:cs="宋体"/>
                <w:kern w:val="0"/>
                <w:sz w:val="24"/>
                <w:szCs w:val="24"/>
              </w:rPr>
              <w:t>　</w:t>
            </w:r>
          </w:p>
        </w:tc>
        <w:tc>
          <w:tcPr>
            <w:tcW w:w="456"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4"/>
                <w:szCs w:val="24"/>
              </w:rPr>
            </w:pPr>
            <w:r>
              <w:rPr>
                <w:rFonts w:hint="eastAsia" w:ascii="宋体" w:hAnsi="宋体" w:eastAsia="宋体" w:cs="宋体"/>
                <w:kern w:val="0"/>
                <w:sz w:val="24"/>
                <w:szCs w:val="24"/>
              </w:rPr>
              <w:t>　</w:t>
            </w:r>
          </w:p>
        </w:tc>
        <w:tc>
          <w:tcPr>
            <w:tcW w:w="456"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4"/>
                <w:szCs w:val="24"/>
              </w:rPr>
            </w:pPr>
            <w:r>
              <w:rPr>
                <w:rFonts w:hint="eastAsia" w:ascii="宋体" w:hAnsi="宋体" w:eastAsia="宋体" w:cs="宋体"/>
                <w:kern w:val="0"/>
                <w:sz w:val="24"/>
                <w:szCs w:val="24"/>
              </w:rPr>
              <w:t>　</w:t>
            </w:r>
          </w:p>
        </w:tc>
        <w:tc>
          <w:tcPr>
            <w:tcW w:w="456"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4"/>
                <w:szCs w:val="24"/>
              </w:rPr>
            </w:pPr>
            <w:r>
              <w:rPr>
                <w:rFonts w:hint="eastAsia" w:ascii="宋体" w:hAnsi="宋体" w:eastAsia="宋体" w:cs="宋体"/>
                <w:kern w:val="0"/>
                <w:sz w:val="24"/>
                <w:szCs w:val="24"/>
              </w:rPr>
              <w:t>　</w:t>
            </w:r>
          </w:p>
        </w:tc>
        <w:tc>
          <w:tcPr>
            <w:tcW w:w="1208"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4"/>
                <w:szCs w:val="24"/>
              </w:rPr>
            </w:pPr>
            <w:r>
              <w:rPr>
                <w:rFonts w:hint="eastAsia" w:ascii="宋体" w:hAnsi="宋体" w:eastAsia="宋体" w:cs="宋体"/>
                <w:kern w:val="0"/>
                <w:sz w:val="24"/>
                <w:szCs w:val="24"/>
              </w:rPr>
              <w:t>　</w:t>
            </w:r>
          </w:p>
        </w:tc>
      </w:tr>
      <w:tr>
        <w:tblPrEx>
          <w:tblCellMar>
            <w:top w:w="0" w:type="dxa"/>
            <w:left w:w="108" w:type="dxa"/>
            <w:bottom w:w="0" w:type="dxa"/>
            <w:right w:w="108" w:type="dxa"/>
          </w:tblCellMar>
        </w:tblPrEx>
        <w:trPr>
          <w:trHeight w:val="308" w:hRule="atLeast"/>
        </w:trPr>
        <w:tc>
          <w:tcPr>
            <w:tcW w:w="1203" w:type="dxa"/>
            <w:gridSpan w:val="3"/>
            <w:tcBorders>
              <w:top w:val="nil"/>
              <w:left w:val="single" w:color="000000" w:sz="4" w:space="0"/>
              <w:bottom w:val="single" w:color="000000" w:sz="4" w:space="0"/>
              <w:right w:val="single" w:color="000000" w:sz="4" w:space="0"/>
            </w:tcBorders>
            <w:noWrap/>
            <w:vAlign w:val="center"/>
          </w:tcPr>
          <w:p>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4245" w:type="dxa"/>
            <w:tcBorders>
              <w:top w:val="nil"/>
              <w:left w:val="nil"/>
              <w:bottom w:val="single" w:color="000000" w:sz="4" w:space="0"/>
              <w:right w:val="single" w:color="000000" w:sz="4" w:space="0"/>
            </w:tcBorders>
            <w:noWrap/>
            <w:vAlign w:val="center"/>
          </w:tcPr>
          <w:p>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456"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4"/>
                <w:szCs w:val="24"/>
              </w:rPr>
            </w:pPr>
            <w:r>
              <w:rPr>
                <w:rFonts w:hint="eastAsia" w:ascii="宋体" w:hAnsi="宋体" w:eastAsia="宋体" w:cs="宋体"/>
                <w:kern w:val="0"/>
                <w:sz w:val="24"/>
                <w:szCs w:val="24"/>
              </w:rPr>
              <w:t>　</w:t>
            </w:r>
          </w:p>
        </w:tc>
        <w:tc>
          <w:tcPr>
            <w:tcW w:w="456"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4"/>
                <w:szCs w:val="24"/>
              </w:rPr>
            </w:pPr>
            <w:r>
              <w:rPr>
                <w:rFonts w:hint="eastAsia" w:ascii="宋体" w:hAnsi="宋体" w:eastAsia="宋体" w:cs="宋体"/>
                <w:kern w:val="0"/>
                <w:sz w:val="24"/>
                <w:szCs w:val="24"/>
              </w:rPr>
              <w:t>　</w:t>
            </w:r>
          </w:p>
        </w:tc>
        <w:tc>
          <w:tcPr>
            <w:tcW w:w="456"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4"/>
                <w:szCs w:val="24"/>
              </w:rPr>
            </w:pPr>
            <w:r>
              <w:rPr>
                <w:rFonts w:hint="eastAsia" w:ascii="宋体" w:hAnsi="宋体" w:eastAsia="宋体" w:cs="宋体"/>
                <w:kern w:val="0"/>
                <w:sz w:val="24"/>
                <w:szCs w:val="24"/>
              </w:rPr>
              <w:t>　</w:t>
            </w:r>
          </w:p>
        </w:tc>
        <w:tc>
          <w:tcPr>
            <w:tcW w:w="456"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4"/>
                <w:szCs w:val="24"/>
              </w:rPr>
            </w:pPr>
            <w:r>
              <w:rPr>
                <w:rFonts w:hint="eastAsia" w:ascii="宋体" w:hAnsi="宋体" w:eastAsia="宋体" w:cs="宋体"/>
                <w:kern w:val="0"/>
                <w:sz w:val="24"/>
                <w:szCs w:val="24"/>
              </w:rPr>
              <w:t>　</w:t>
            </w:r>
          </w:p>
        </w:tc>
        <w:tc>
          <w:tcPr>
            <w:tcW w:w="456"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4"/>
                <w:szCs w:val="24"/>
              </w:rPr>
            </w:pPr>
            <w:r>
              <w:rPr>
                <w:rFonts w:hint="eastAsia" w:ascii="宋体" w:hAnsi="宋体" w:eastAsia="宋体" w:cs="宋体"/>
                <w:kern w:val="0"/>
                <w:sz w:val="24"/>
                <w:szCs w:val="24"/>
              </w:rPr>
              <w:t>　</w:t>
            </w:r>
          </w:p>
        </w:tc>
        <w:tc>
          <w:tcPr>
            <w:tcW w:w="1208" w:type="dxa"/>
            <w:tcBorders>
              <w:top w:val="nil"/>
              <w:left w:val="nil"/>
              <w:bottom w:val="single" w:color="000000" w:sz="4" w:space="0"/>
              <w:right w:val="single" w:color="000000" w:sz="4" w:space="0"/>
            </w:tcBorders>
            <w:noWrap/>
            <w:vAlign w:val="center"/>
          </w:tcPr>
          <w:p>
            <w:pPr>
              <w:widowControl/>
              <w:jc w:val="right"/>
              <w:rPr>
                <w:rFonts w:ascii="宋体" w:hAnsi="宋体" w:eastAsia="宋体" w:cs="宋体"/>
                <w:kern w:val="0"/>
                <w:sz w:val="24"/>
                <w:szCs w:val="24"/>
              </w:rPr>
            </w:pPr>
            <w:r>
              <w:rPr>
                <w:rFonts w:hint="eastAsia" w:ascii="宋体" w:hAnsi="宋体" w:eastAsia="宋体" w:cs="宋体"/>
                <w:kern w:val="0"/>
                <w:sz w:val="24"/>
                <w:szCs w:val="24"/>
              </w:rPr>
              <w:t>　</w:t>
            </w:r>
          </w:p>
        </w:tc>
      </w:tr>
      <w:tr>
        <w:tblPrEx>
          <w:tblCellMar>
            <w:top w:w="0" w:type="dxa"/>
            <w:left w:w="108" w:type="dxa"/>
            <w:bottom w:w="0" w:type="dxa"/>
            <w:right w:w="108" w:type="dxa"/>
          </w:tblCellMar>
        </w:tblPrEx>
        <w:trPr>
          <w:trHeight w:val="308" w:hRule="atLeast"/>
        </w:trPr>
        <w:tc>
          <w:tcPr>
            <w:tcW w:w="8936" w:type="dxa"/>
            <w:gridSpan w:val="10"/>
            <w:tcBorders>
              <w:top w:val="nil"/>
              <w:left w:val="nil"/>
              <w:bottom w:val="nil"/>
              <w:right w:val="nil"/>
            </w:tcBorders>
            <w:vAlign w:val="center"/>
          </w:tcPr>
          <w:p>
            <w:pPr>
              <w:widowControl/>
              <w:jc w:val="left"/>
              <w:rPr>
                <w:rFonts w:ascii="宋体" w:hAnsi="宋体" w:eastAsia="宋体" w:cs="宋体"/>
                <w:kern w:val="0"/>
                <w:sz w:val="24"/>
                <w:szCs w:val="24"/>
              </w:rPr>
            </w:pPr>
            <w:r>
              <w:rPr>
                <w:rFonts w:hint="eastAsia" w:ascii="宋体" w:hAnsi="宋体" w:cs="宋体"/>
                <w:color w:val="000000"/>
                <w:kern w:val="0"/>
                <w:szCs w:val="21"/>
              </w:rPr>
              <w:t>注：本表反映部门本年度政府性基金预算财政拨款收入、支出及结转和结余情况。</w:t>
            </w:r>
          </w:p>
        </w:tc>
      </w:tr>
    </w:tbl>
    <w:p/>
    <w:p>
      <w:r>
        <w:br w:type="page"/>
      </w:r>
    </w:p>
    <w:tbl>
      <w:tblPr>
        <w:tblStyle w:val="7"/>
        <w:tblW w:w="9918" w:type="dxa"/>
        <w:jc w:val="center"/>
        <w:tblLayout w:type="fixed"/>
        <w:tblCellMar>
          <w:top w:w="0" w:type="dxa"/>
          <w:left w:w="0" w:type="dxa"/>
          <w:bottom w:w="0" w:type="dxa"/>
          <w:right w:w="0" w:type="dxa"/>
        </w:tblCellMar>
      </w:tblPr>
      <w:tblGrid>
        <w:gridCol w:w="1059"/>
        <w:gridCol w:w="60"/>
        <w:gridCol w:w="240"/>
        <w:gridCol w:w="4710"/>
        <w:gridCol w:w="790"/>
        <w:gridCol w:w="1529"/>
        <w:gridCol w:w="1530"/>
      </w:tblGrid>
      <w:tr>
        <w:tblPrEx>
          <w:tblCellMar>
            <w:top w:w="0" w:type="dxa"/>
            <w:left w:w="0" w:type="dxa"/>
            <w:bottom w:w="0" w:type="dxa"/>
            <w:right w:w="0" w:type="dxa"/>
          </w:tblCellMar>
        </w:tblPrEx>
        <w:trPr>
          <w:trHeight w:val="840" w:hRule="atLeast"/>
          <w:jc w:val="center"/>
        </w:trPr>
        <w:tc>
          <w:tcPr>
            <w:tcW w:w="9918" w:type="dxa"/>
            <w:gridSpan w:val="7"/>
            <w:tcBorders>
              <w:top w:val="nil"/>
              <w:left w:val="nil"/>
              <w:bottom w:val="nil"/>
              <w:right w:val="nil"/>
            </w:tcBorders>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tblPrEx>
          <w:tblCellMar>
            <w:top w:w="0" w:type="dxa"/>
            <w:left w:w="0" w:type="dxa"/>
            <w:bottom w:w="0" w:type="dxa"/>
            <w:right w:w="0" w:type="dxa"/>
          </w:tblCellMar>
        </w:tblPrEx>
        <w:trPr>
          <w:trHeight w:val="255" w:hRule="atLeast"/>
          <w:jc w:val="center"/>
        </w:trPr>
        <w:tc>
          <w:tcPr>
            <w:tcW w:w="1059"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6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471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79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3059" w:type="dxa"/>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w:t>
            </w:r>
            <w:r>
              <w:rPr>
                <w:rFonts w:ascii="宋体" w:hAnsi="宋体" w:eastAsia="宋体" w:cs="宋体"/>
                <w:color w:val="000000"/>
                <w:kern w:val="0"/>
                <w:sz w:val="20"/>
                <w:szCs w:val="20"/>
              </w:rPr>
              <w:t>09</w:t>
            </w:r>
            <w:r>
              <w:rPr>
                <w:rFonts w:hint="eastAsia" w:ascii="宋体" w:hAnsi="宋体" w:eastAsia="宋体" w:cs="宋体"/>
                <w:color w:val="000000"/>
                <w:kern w:val="0"/>
                <w:sz w:val="20"/>
                <w:szCs w:val="20"/>
              </w:rPr>
              <w:t>表</w:t>
            </w:r>
          </w:p>
        </w:tc>
      </w:tr>
      <w:tr>
        <w:tblPrEx>
          <w:tblCellMar>
            <w:top w:w="0" w:type="dxa"/>
            <w:left w:w="0" w:type="dxa"/>
            <w:bottom w:w="0" w:type="dxa"/>
            <w:right w:w="0" w:type="dxa"/>
          </w:tblCellMar>
        </w:tblPrEx>
        <w:trPr>
          <w:trHeight w:val="255" w:hRule="atLeast"/>
          <w:jc w:val="center"/>
        </w:trPr>
        <w:tc>
          <w:tcPr>
            <w:tcW w:w="6069" w:type="dxa"/>
            <w:gridSpan w:val="4"/>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kern w:val="0"/>
                <w:sz w:val="20"/>
                <w:szCs w:val="20"/>
              </w:rPr>
              <w:t>部门：石家庄市鹿泉区铜冶镇人民政府</w:t>
            </w:r>
          </w:p>
        </w:tc>
        <w:tc>
          <w:tcPr>
            <w:tcW w:w="79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3059" w:type="dxa"/>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6069" w:type="dxa"/>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3849" w:type="dxa"/>
            <w:gridSpan w:val="3"/>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615" w:hRule="atLeast"/>
          <w:jc w:val="center"/>
        </w:trPr>
        <w:tc>
          <w:tcPr>
            <w:tcW w:w="1359"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4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9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2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5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08" w:hRule="atLeast"/>
          <w:jc w:val="center"/>
        </w:trPr>
        <w:tc>
          <w:tcPr>
            <w:tcW w:w="6069"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79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w:t>
            </w:r>
          </w:p>
        </w:tc>
        <w:tc>
          <w:tcPr>
            <w:tcW w:w="152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w:t>
            </w:r>
          </w:p>
        </w:tc>
        <w:tc>
          <w:tcPr>
            <w:tcW w:w="15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6069"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79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b/>
                <w:color w:val="000000"/>
                <w:sz w:val="22"/>
              </w:rPr>
            </w:pPr>
          </w:p>
        </w:tc>
        <w:tc>
          <w:tcPr>
            <w:tcW w:w="152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b/>
                <w:color w:val="000000"/>
                <w:sz w:val="22"/>
              </w:rPr>
            </w:pPr>
          </w:p>
        </w:tc>
        <w:tc>
          <w:tcPr>
            <w:tcW w:w="153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35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4710"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79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52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53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5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4710"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79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52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53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5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4710"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79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52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53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5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4710"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79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52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53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5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4710"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79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52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53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bl>
    <w:p>
      <w:pPr>
        <w:widowControl/>
        <w:jc w:val="left"/>
        <w:textAlignment w:val="center"/>
      </w:pPr>
      <w:r>
        <w:rPr>
          <w:rFonts w:hint="eastAsia"/>
        </w:rPr>
        <w:t>注：</w:t>
      </w:r>
      <w:r>
        <w:t>1</w:t>
      </w:r>
      <w:r>
        <w:rPr>
          <w:rFonts w:hint="eastAsia"/>
        </w:rPr>
        <w:t>、本表反映部门本年度国有资本经营预算财政拨款支出情况。</w:t>
      </w:r>
    </w:p>
    <w:p>
      <w:pPr>
        <w:widowControl/>
        <w:ind w:firstLine="420" w:firstLineChars="200"/>
        <w:jc w:val="left"/>
        <w:textAlignment w:val="center"/>
        <w:rPr>
          <w:rFonts w:ascii="宋体" w:eastAsia="宋体" w:cs="宋体"/>
          <w:color w:val="000000"/>
          <w:kern w:val="0"/>
          <w:sz w:val="22"/>
        </w:rPr>
      </w:pPr>
      <w:r>
        <w:t>2</w:t>
      </w:r>
      <w:r>
        <w:rPr>
          <w:rFonts w:hint="eastAsia"/>
        </w:rPr>
        <w:t>、本部门本年度无相关支出情况，按要求以空表列示。</w:t>
      </w:r>
      <w:r>
        <w:br w:type="page"/>
      </w:r>
      <w:r>
        <w:rPr>
          <w:rFonts w:hint="eastAsia" w:ascii="宋体" w:hAnsi="宋体" w:cs="宋体"/>
          <w:color w:val="000000"/>
          <w:kern w:val="0"/>
          <w:sz w:val="22"/>
        </w:rPr>
        <w:t>注：</w:t>
      </w:r>
      <w:r>
        <w:rPr>
          <w:rFonts w:ascii="宋体" w:hAnsi="宋体" w:cs="宋体"/>
          <w:color w:val="000000"/>
          <w:kern w:val="0"/>
          <w:sz w:val="22"/>
        </w:rPr>
        <w:t>1</w:t>
      </w:r>
      <w:r>
        <w:rPr>
          <w:rFonts w:hint="eastAsia" w:ascii="宋体" w:hAnsi="宋体" w:cs="宋体"/>
          <w:color w:val="000000"/>
          <w:kern w:val="0"/>
          <w:sz w:val="22"/>
        </w:rPr>
        <w:t>、本表反映部门本年度国有资本经营预算财政拨款支出情况。</w:t>
      </w:r>
    </w:p>
    <w:p>
      <w:r>
        <w:rPr>
          <w:rFonts w:ascii="宋体" w:hAnsi="宋体" w:cs="楷体"/>
          <w:sz w:val="22"/>
          <w:szCs w:val="32"/>
        </w:rPr>
        <w:t xml:space="preserve"> 2</w:t>
      </w:r>
      <w:r>
        <w:rPr>
          <w:rFonts w:hint="eastAsia" w:ascii="宋体" w:hAnsi="宋体" w:cs="楷体"/>
          <w:sz w:val="22"/>
          <w:szCs w:val="32"/>
        </w:rPr>
        <w:t>、本部门本年度无相关支出情况，按要求以空表列示。</w:t>
      </w:r>
    </w:p>
    <w:p>
      <w:r>
        <mc:AlternateContent>
          <mc:Choice Requires="wps">
            <w:drawing>
              <wp:anchor distT="0" distB="0" distL="114300" distR="114300" simplePos="0" relativeHeight="251662336" behindDoc="0" locked="0" layoutInCell="1" allowOverlap="1">
                <wp:simplePos x="0" y="0"/>
                <wp:positionH relativeFrom="column">
                  <wp:posOffset>-895350</wp:posOffset>
                </wp:positionH>
                <wp:positionV relativeFrom="paragraph">
                  <wp:posOffset>-1082675</wp:posOffset>
                </wp:positionV>
                <wp:extent cx="7557770" cy="10682605"/>
                <wp:effectExtent l="0" t="0" r="0" b="0"/>
                <wp:wrapNone/>
                <wp:docPr id="17" name="矩形 24"/>
                <wp:cNvGraphicFramePr/>
                <a:graphic xmlns:a="http://schemas.openxmlformats.org/drawingml/2006/main">
                  <a:graphicData uri="http://schemas.microsoft.com/office/word/2010/wordprocessingShape">
                    <wps:wsp>
                      <wps:cNvSpPr/>
                      <wps:spPr>
                        <a:xfrm>
                          <a:off x="0" y="0"/>
                          <a:ext cx="7557770" cy="10682605"/>
                        </a:xfrm>
                        <a:prstGeom prst="rect">
                          <a:avLst/>
                        </a:prstGeom>
                        <a:solidFill>
                          <a:srgbClr val="FFC000"/>
                        </a:solidFill>
                        <a:ln w="12700">
                          <a:noFill/>
                        </a:ln>
                      </wps:spPr>
                      <wps:bodyPr anchor="ctr" anchorCtr="0" upright="1"/>
                    </wps:wsp>
                  </a:graphicData>
                </a:graphic>
              </wp:anchor>
            </w:drawing>
          </mc:Choice>
          <mc:Fallback>
            <w:pict>
              <v:rect id="矩形 24" o:spid="_x0000_s1026" o:spt="1" style="position:absolute;left:0pt;margin-left:-70.5pt;margin-top:-85.25pt;height:841.15pt;width:595.1pt;z-index:251662336;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Agm8tf3QAAAA8BAAAPAAAAAAAAAAEAIAAAACIAAABkcnMvZG93bnJldi54bWxQSwECFAAUAAAA&#10;CACHTuJAOBDIh7ABAAA6AwAADgAAAAAAAAABACAAAAAsAQAAZHJzL2Uyb0RvYy54bWxQSwUGAAAA&#10;AAYABgBZAQAATgUAAAAA&#10;">
                <v:fill on="t" focussize="0,0"/>
                <v:stroke on="f" weight="1pt"/>
                <v:imagedata o:title=""/>
                <o:lock v:ext="edit" aspectratio="f"/>
              </v:rect>
            </w:pict>
          </mc:Fallback>
        </mc:AlternateContent>
      </w:r>
    </w:p>
    <w:sectPr>
      <w:pgSz w:w="16838" w:h="11906" w:orient="landscape"/>
      <w:pgMar w:top="1417" w:right="1701" w:bottom="1417" w:left="1281" w:header="851" w:footer="992" w:gutter="0"/>
      <w:pgBorders>
        <w:top w:val="none" w:sz="0" w:space="0"/>
        <w:left w:val="none" w:sz="0" w:space="0"/>
        <w:bottom w:val="none" w:sz="0" w:space="0"/>
        <w:right w:val="none" w:sz="0" w:space="0"/>
      </w:pgBorders>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宋体"/>
    <w:panose1 w:val="00000000000000000000"/>
    <w:charset w:val="86"/>
    <w:family w:val="auto"/>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思源黑体 HW Bold">
    <w:altName w:val="黑体"/>
    <w:panose1 w:val="00000000000000000000"/>
    <w:charset w:val="86"/>
    <w:family w:val="swiss"/>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Yu Gothic UI Semibold">
    <w:altName w:val="MS Gothic"/>
    <w:panose1 w:val="00000000000000000000"/>
    <w:charset w:val="80"/>
    <w:family w:val="swiss"/>
    <w:pitch w:val="default"/>
    <w:sig w:usb0="00000000" w:usb1="00000000" w:usb2="00000010" w:usb3="00000000" w:csb0="00020000" w:csb1="00000000"/>
  </w:font>
  <w:font w:name="ArialUnicodeMS">
    <w:altName w:val="Dotum"/>
    <w:panose1 w:val="00000000000000000000"/>
    <w:charset w:val="81"/>
    <w:family w:val="auto"/>
    <w:pitch w:val="default"/>
    <w:sig w:usb0="00000000" w:usb1="00000000" w:usb2="00000010" w:usb3="00000000" w:csb0="00080000"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0" w:csb1="00000000"/>
  </w:font>
  <w:font w:name="DengXian-Bold">
    <w:altName w:val="宋体"/>
    <w:panose1 w:val="00000000000000000000"/>
    <w:charset w:val="86"/>
    <w:family w:val="auto"/>
    <w:pitch w:val="default"/>
    <w:sig w:usb0="00000000" w:usb1="00000000" w:usb2="00000010" w:usb3="00000000" w:csb0="00040000" w:csb1="00000000"/>
  </w:font>
  <w:font w:name="MS-UIGothic,Bold">
    <w:altName w:val="Dotum"/>
    <w:panose1 w:val="00000000000000000000"/>
    <w:charset w:val="81"/>
    <w:family w:val="auto"/>
    <w:pitch w:val="default"/>
    <w:sig w:usb0="00000000" w:usb1="00000000" w:usb2="00000010" w:usb3="00000000" w:csb0="00080000" w:csb1="00000000"/>
  </w:font>
  <w:font w:name="楷体">
    <w:panose1 w:val="02010609060101010101"/>
    <w:charset w:val="86"/>
    <w:family w:val="modern"/>
    <w:pitch w:val="default"/>
    <w:sig w:usb0="800002BF" w:usb1="38CF7CFA" w:usb2="00000016" w:usb3="00000000" w:csb0="00040001" w:csb1="00000000"/>
  </w:font>
  <w:font w:name="MS Gothic">
    <w:panose1 w:val="020B0609070205080204"/>
    <w:charset w:val="80"/>
    <w:family w:val="auto"/>
    <w:pitch w:val="default"/>
    <w:sig w:usb0="E00002FF" w:usb1="6AC7FDFB" w:usb2="00000012" w:usb3="00000000" w:csb0="4002009F" w:csb1="DFD7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top w:val="none" w:color="auto" w:sz="0" w:space="0"/>
        <w:left w:val="none" w:color="auto" w:sz="0" w:space="0"/>
        <w:bottom w:val="none" w:color="auto" w:sz="0" w:space="0"/>
        <w:right w:val="none" w:color="auto" w:sz="0" w:space="0"/>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top w:val="none" w:color="auto" w:sz="0" w:space="0"/>
        <w:left w:val="none" w:color="auto" w:sz="0" w:space="0"/>
        <w:bottom w:val="none" w:color="auto" w:sz="0" w:space="0"/>
        <w:right w:val="none" w:color="auto" w:sz="0" w:space="0"/>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top w:val="none" w:color="auto" w:sz="0" w:space="0"/>
        <w:left w:val="none" w:color="auto" w:sz="0" w:space="0"/>
        <w:bottom w:val="none" w:color="auto" w:sz="0" w:space="0"/>
        <w:right w:val="none" w:color="auto" w:sz="0" w:space="0"/>
      </w:pBd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top w:val="none" w:color="auto" w:sz="0" w:space="0"/>
        <w:left w:val="none" w:color="auto" w:sz="0" w:space="0"/>
        <w:bottom w:val="none" w:color="auto" w:sz="0" w:space="0"/>
        <w:right w:val="none" w:color="auto" w:sz="0" w:space="0"/>
      </w:pBd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top w:val="none" w:color="auto" w:sz="0" w:space="0"/>
        <w:left w:val="none" w:color="auto" w:sz="0" w:space="0"/>
        <w:bottom w:val="none" w:color="auto" w:sz="0" w:space="0"/>
        <w:right w:val="none" w:color="auto" w:sz="0" w:space="0"/>
      </w:pBd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top w:val="none" w:color="auto" w:sz="0" w:space="0"/>
        <w:left w:val="none" w:color="auto" w:sz="0" w:space="0"/>
        <w:bottom w:val="none" w:color="auto" w:sz="0" w:space="0"/>
        <w:right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cs="Times New Roman"/>
      </w:rPr>
    </w:lvl>
  </w:abstractNum>
  <w:abstractNum w:abstractNumId="1">
    <w:nsid w:val="59950409"/>
    <w:multiLevelType w:val="singleLevel"/>
    <w:tmpl w:val="59950409"/>
    <w:lvl w:ilvl="0" w:tentative="0">
      <w:start w:val="1"/>
      <w:numFmt w:val="decimal"/>
      <w:suff w:val="space"/>
      <w:lvlText w:val="%1."/>
      <w:lvlJc w:val="left"/>
      <w:rPr>
        <w:rFonts w:cs="Times New Roman"/>
      </w:rPr>
    </w:lvl>
  </w:abstractNum>
  <w:abstractNum w:abstractNumId="2">
    <w:nsid w:val="5F222FFA"/>
    <w:multiLevelType w:val="singleLevel"/>
    <w:tmpl w:val="5F222FFA"/>
    <w:lvl w:ilvl="0" w:tentative="0">
      <w:start w:val="1"/>
      <w:numFmt w:val="decimal"/>
      <w:suff w:val="nothing"/>
      <w:lvlText w:val="（%1）"/>
      <w:lvlJc w:val="left"/>
      <w:rPr>
        <w:rFonts w:cs="Times New Roman"/>
      </w:rPr>
    </w:lvl>
  </w:abstractNum>
  <w:abstractNum w:abstractNumId="3">
    <w:nsid w:val="78C1413D"/>
    <w:multiLevelType w:val="singleLevel"/>
    <w:tmpl w:val="78C1413D"/>
    <w:lvl w:ilvl="0" w:tentative="0">
      <w:start w:val="1"/>
      <w:numFmt w:val="decimal"/>
      <w:suff w:val="space"/>
      <w:lvlText w:val="%1."/>
      <w:lvlJc w:val="left"/>
      <w:rPr>
        <w:rFonts w:cs="Times New Roman"/>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noLineBreaksAfter w:lang="zh-CN" w:val="$([{£¥·‘“〈《「『【〔〖〝﹙﹛﹝＄（．［｛￡￥"/>
  <w:noLineBreaksBefore w:lang="zh-CN" w:val="!%),.:;&gt;?]}¢¨°·ˇˉ―‖’”…‰′″›℃∶、。〃〉》」』】〕〗〞︶︺︾﹀﹄﹚﹜﹞！＂％＇），．：；？］｀｜｝～￠"/>
  <w:compat>
    <w:spaceForUL/>
    <w:balanceSingleByteDoubleByteWidth/>
    <w:doNotLeaveBackslashAlone/>
    <w:doNotExpandShiftReturn/>
    <w:adjustLineHeightInTable/>
    <w:doNotWrapTextWithPunct/>
    <w:doNotUseEastAsianBreakRules/>
    <w:useFELayout/>
    <w:doNotUseIndentAsNumberingTabStop/>
    <w:useAltKinsokuLineBreakRules/>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47161"/>
    <w:rsid w:val="00055127"/>
    <w:rsid w:val="0007063E"/>
    <w:rsid w:val="00073392"/>
    <w:rsid w:val="00073F4E"/>
    <w:rsid w:val="000835B9"/>
    <w:rsid w:val="00086C89"/>
    <w:rsid w:val="000A39FB"/>
    <w:rsid w:val="000D0F91"/>
    <w:rsid w:val="000F4CA5"/>
    <w:rsid w:val="00107FF6"/>
    <w:rsid w:val="00116955"/>
    <w:rsid w:val="00117746"/>
    <w:rsid w:val="00123D25"/>
    <w:rsid w:val="00163F95"/>
    <w:rsid w:val="00180A9A"/>
    <w:rsid w:val="001829C0"/>
    <w:rsid w:val="00184809"/>
    <w:rsid w:val="00192112"/>
    <w:rsid w:val="001B0127"/>
    <w:rsid w:val="001C12D5"/>
    <w:rsid w:val="001C69F7"/>
    <w:rsid w:val="001D6F97"/>
    <w:rsid w:val="001E1BB9"/>
    <w:rsid w:val="002156FC"/>
    <w:rsid w:val="002650EC"/>
    <w:rsid w:val="002A6C46"/>
    <w:rsid w:val="002C19B5"/>
    <w:rsid w:val="002C7CE0"/>
    <w:rsid w:val="002E1E2D"/>
    <w:rsid w:val="0031198C"/>
    <w:rsid w:val="00374637"/>
    <w:rsid w:val="0037478D"/>
    <w:rsid w:val="003A4EE8"/>
    <w:rsid w:val="003A66F7"/>
    <w:rsid w:val="00410E8F"/>
    <w:rsid w:val="004325D5"/>
    <w:rsid w:val="00433EA6"/>
    <w:rsid w:val="00442CC2"/>
    <w:rsid w:val="00446244"/>
    <w:rsid w:val="00473C20"/>
    <w:rsid w:val="004A4708"/>
    <w:rsid w:val="004D61CB"/>
    <w:rsid w:val="004E149C"/>
    <w:rsid w:val="004F1EA3"/>
    <w:rsid w:val="004F2B46"/>
    <w:rsid w:val="005011D6"/>
    <w:rsid w:val="00503F2E"/>
    <w:rsid w:val="00552226"/>
    <w:rsid w:val="00565AB4"/>
    <w:rsid w:val="00566120"/>
    <w:rsid w:val="00582E6D"/>
    <w:rsid w:val="005954D5"/>
    <w:rsid w:val="005A53FA"/>
    <w:rsid w:val="005A57AE"/>
    <w:rsid w:val="005D1293"/>
    <w:rsid w:val="006346D8"/>
    <w:rsid w:val="0064444C"/>
    <w:rsid w:val="00644D5F"/>
    <w:rsid w:val="00657F86"/>
    <w:rsid w:val="00670DA6"/>
    <w:rsid w:val="006727AD"/>
    <w:rsid w:val="00676AA9"/>
    <w:rsid w:val="00691425"/>
    <w:rsid w:val="00693A38"/>
    <w:rsid w:val="006A516E"/>
    <w:rsid w:val="006B0830"/>
    <w:rsid w:val="00716E2B"/>
    <w:rsid w:val="00716EBF"/>
    <w:rsid w:val="00724D8A"/>
    <w:rsid w:val="00757CAB"/>
    <w:rsid w:val="00760186"/>
    <w:rsid w:val="00766D97"/>
    <w:rsid w:val="00770F18"/>
    <w:rsid w:val="00773B74"/>
    <w:rsid w:val="007761E9"/>
    <w:rsid w:val="0078290C"/>
    <w:rsid w:val="007C06CA"/>
    <w:rsid w:val="007F32B4"/>
    <w:rsid w:val="00814A93"/>
    <w:rsid w:val="008163FB"/>
    <w:rsid w:val="0082605B"/>
    <w:rsid w:val="00835C87"/>
    <w:rsid w:val="00855C36"/>
    <w:rsid w:val="00857DBE"/>
    <w:rsid w:val="008701BC"/>
    <w:rsid w:val="00882FE6"/>
    <w:rsid w:val="00883D92"/>
    <w:rsid w:val="00890594"/>
    <w:rsid w:val="008A246F"/>
    <w:rsid w:val="008A5362"/>
    <w:rsid w:val="008C3987"/>
    <w:rsid w:val="008C3DB5"/>
    <w:rsid w:val="008F0690"/>
    <w:rsid w:val="008F21F1"/>
    <w:rsid w:val="008F221B"/>
    <w:rsid w:val="008F5A2D"/>
    <w:rsid w:val="00921602"/>
    <w:rsid w:val="00956CF7"/>
    <w:rsid w:val="00957EA1"/>
    <w:rsid w:val="00966E5B"/>
    <w:rsid w:val="009A510D"/>
    <w:rsid w:val="009B4EF0"/>
    <w:rsid w:val="009C4D20"/>
    <w:rsid w:val="009D271F"/>
    <w:rsid w:val="00A42C5C"/>
    <w:rsid w:val="00A45D8F"/>
    <w:rsid w:val="00A67840"/>
    <w:rsid w:val="00A82547"/>
    <w:rsid w:val="00A929C2"/>
    <w:rsid w:val="00AD097F"/>
    <w:rsid w:val="00AE03D1"/>
    <w:rsid w:val="00AE4031"/>
    <w:rsid w:val="00AF62BE"/>
    <w:rsid w:val="00B534E3"/>
    <w:rsid w:val="00B639DD"/>
    <w:rsid w:val="00B70AC6"/>
    <w:rsid w:val="00B844F4"/>
    <w:rsid w:val="00BA06A1"/>
    <w:rsid w:val="00BA4F16"/>
    <w:rsid w:val="00BA770A"/>
    <w:rsid w:val="00C054DE"/>
    <w:rsid w:val="00C42CC7"/>
    <w:rsid w:val="00C679A9"/>
    <w:rsid w:val="00C7541C"/>
    <w:rsid w:val="00C86A04"/>
    <w:rsid w:val="00CC0FAA"/>
    <w:rsid w:val="00CD0736"/>
    <w:rsid w:val="00D1570F"/>
    <w:rsid w:val="00D20CCD"/>
    <w:rsid w:val="00D32830"/>
    <w:rsid w:val="00D413D7"/>
    <w:rsid w:val="00D76F4C"/>
    <w:rsid w:val="00DA7515"/>
    <w:rsid w:val="00DB3B2A"/>
    <w:rsid w:val="00DB7153"/>
    <w:rsid w:val="00DB7F05"/>
    <w:rsid w:val="00DE1614"/>
    <w:rsid w:val="00DE2332"/>
    <w:rsid w:val="00E028C3"/>
    <w:rsid w:val="00E12A34"/>
    <w:rsid w:val="00E14F77"/>
    <w:rsid w:val="00E3076B"/>
    <w:rsid w:val="00E36978"/>
    <w:rsid w:val="00E82A1E"/>
    <w:rsid w:val="00EA05EC"/>
    <w:rsid w:val="00EC000E"/>
    <w:rsid w:val="00EC06F4"/>
    <w:rsid w:val="00ED493B"/>
    <w:rsid w:val="00EE4E36"/>
    <w:rsid w:val="00F01ABB"/>
    <w:rsid w:val="00F665F4"/>
    <w:rsid w:val="00F86844"/>
    <w:rsid w:val="00F874C3"/>
    <w:rsid w:val="00FD225F"/>
    <w:rsid w:val="023C7FA5"/>
    <w:rsid w:val="051F2E79"/>
    <w:rsid w:val="058D48B9"/>
    <w:rsid w:val="05B00A30"/>
    <w:rsid w:val="0B011416"/>
    <w:rsid w:val="10EB32E9"/>
    <w:rsid w:val="11DA1CCA"/>
    <w:rsid w:val="165B44E1"/>
    <w:rsid w:val="24380B19"/>
    <w:rsid w:val="25143828"/>
    <w:rsid w:val="2570216B"/>
    <w:rsid w:val="265D2444"/>
    <w:rsid w:val="2B0A7575"/>
    <w:rsid w:val="2B956B1C"/>
    <w:rsid w:val="2F4A0236"/>
    <w:rsid w:val="31C2036A"/>
    <w:rsid w:val="31EB24BB"/>
    <w:rsid w:val="320D02A5"/>
    <w:rsid w:val="348E566F"/>
    <w:rsid w:val="34B67E9B"/>
    <w:rsid w:val="3A226944"/>
    <w:rsid w:val="3AEE6A48"/>
    <w:rsid w:val="3B065C4C"/>
    <w:rsid w:val="3C1620AA"/>
    <w:rsid w:val="3D8F080F"/>
    <w:rsid w:val="43BA61C3"/>
    <w:rsid w:val="44CE1FA4"/>
    <w:rsid w:val="487F73ED"/>
    <w:rsid w:val="49C125BB"/>
    <w:rsid w:val="4A297C1F"/>
    <w:rsid w:val="4A347EAE"/>
    <w:rsid w:val="4A372D9B"/>
    <w:rsid w:val="4A652D94"/>
    <w:rsid w:val="4DBD7BE2"/>
    <w:rsid w:val="51603FA7"/>
    <w:rsid w:val="51A45F0B"/>
    <w:rsid w:val="52600405"/>
    <w:rsid w:val="529B4319"/>
    <w:rsid w:val="52FA640C"/>
    <w:rsid w:val="576F031F"/>
    <w:rsid w:val="57773DD6"/>
    <w:rsid w:val="578B79AB"/>
    <w:rsid w:val="5CCD3FD5"/>
    <w:rsid w:val="5E4173E8"/>
    <w:rsid w:val="61FA5F9D"/>
    <w:rsid w:val="61FD1CC2"/>
    <w:rsid w:val="64CD6910"/>
    <w:rsid w:val="6789158D"/>
    <w:rsid w:val="67D81BA4"/>
    <w:rsid w:val="6AAF1C96"/>
    <w:rsid w:val="6D496B09"/>
    <w:rsid w:val="70314D8F"/>
    <w:rsid w:val="754F666B"/>
    <w:rsid w:val="75681757"/>
    <w:rsid w:val="75A346A8"/>
    <w:rsid w:val="79274752"/>
    <w:rsid w:val="79447918"/>
    <w:rsid w:val="79B9382C"/>
    <w:rsid w:val="7B043B76"/>
    <w:rsid w:val="7C041A6A"/>
    <w:rsid w:val="7E327570"/>
    <w:rsid w:val="7EB77EF6"/>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f">
      <v:fill on="t" focussize="0,0"/>
      <v:stroke on="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等线" w:hAnsi="等线" w:eastAsia="等线" w:cs="Times New Roman"/>
      <w:kern w:val="2"/>
      <w:sz w:val="21"/>
      <w:szCs w:val="22"/>
      <w:lang w:val="en-US" w:eastAsia="zh-CN" w:bidi="ar-SA"/>
    </w:rPr>
  </w:style>
  <w:style w:type="paragraph" w:styleId="2">
    <w:name w:val="heading 1"/>
    <w:basedOn w:val="1"/>
    <w:next w:val="1"/>
    <w:link w:val="10"/>
    <w:qFormat/>
    <w:uiPriority w:val="99"/>
    <w:pPr>
      <w:keepNext/>
      <w:keepLines/>
      <w:spacing w:before="340" w:after="330" w:line="578" w:lineRule="auto"/>
      <w:outlineLvl w:val="0"/>
    </w:pPr>
    <w:rPr>
      <w:b/>
      <w:bCs/>
      <w:kern w:val="44"/>
      <w:sz w:val="44"/>
      <w:szCs w:val="44"/>
    </w:rPr>
  </w:style>
  <w:style w:type="character" w:default="1" w:styleId="9">
    <w:name w:val="Default Paragraph Font"/>
    <w:semiHidden/>
    <w:qFormat/>
    <w:uiPriority w:val="99"/>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w:basedOn w:val="1"/>
    <w:link w:val="11"/>
    <w:qFormat/>
    <w:uiPriority w:val="99"/>
    <w:rPr>
      <w:rFonts w:ascii="仿宋_GB2312" w:hAnsi="仿宋_GB2312" w:eastAsia="仿宋_GB2312" w:cs="仿宋_GB2312"/>
      <w:sz w:val="32"/>
      <w:szCs w:val="32"/>
      <w:lang w:val="zh-CN"/>
    </w:rPr>
  </w:style>
  <w:style w:type="paragraph" w:styleId="4">
    <w:name w:val="Balloon Text"/>
    <w:basedOn w:val="1"/>
    <w:link w:val="15"/>
    <w:semiHidden/>
    <w:qFormat/>
    <w:uiPriority w:val="99"/>
    <w:rPr>
      <w:sz w:val="18"/>
      <w:szCs w:val="18"/>
    </w:rPr>
  </w:style>
  <w:style w:type="paragraph" w:styleId="5">
    <w:name w:val="footer"/>
    <w:basedOn w:val="1"/>
    <w:link w:val="12"/>
    <w:qFormat/>
    <w:uiPriority w:val="99"/>
    <w:pPr>
      <w:tabs>
        <w:tab w:val="center" w:pos="4153"/>
        <w:tab w:val="right" w:pos="8306"/>
      </w:tabs>
      <w:snapToGrid w:val="0"/>
      <w:jc w:val="left"/>
    </w:pPr>
    <w:rPr>
      <w:sz w:val="18"/>
      <w:szCs w:val="18"/>
    </w:rPr>
  </w:style>
  <w:style w:type="paragraph" w:styleId="6">
    <w:name w:val="header"/>
    <w:basedOn w:val="1"/>
    <w:link w:val="13"/>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basedOn w:val="7"/>
    <w:qFormat/>
    <w:uiPriority w:val="99"/>
    <w:rPr>
      <w:kern w:val="0"/>
      <w:sz w:val="22"/>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0">
    <w:name w:val="Heading 1 Char"/>
    <w:basedOn w:val="9"/>
    <w:link w:val="2"/>
    <w:qFormat/>
    <w:locked/>
    <w:uiPriority w:val="99"/>
    <w:rPr>
      <w:rFonts w:ascii="等线" w:hAnsi="等线" w:eastAsia="等线" w:cs="Times New Roman"/>
      <w:b/>
      <w:bCs/>
      <w:kern w:val="44"/>
      <w:sz w:val="44"/>
      <w:szCs w:val="44"/>
    </w:rPr>
  </w:style>
  <w:style w:type="character" w:customStyle="1" w:styleId="11">
    <w:name w:val="Body Text Char"/>
    <w:basedOn w:val="9"/>
    <w:link w:val="3"/>
    <w:qFormat/>
    <w:locked/>
    <w:uiPriority w:val="99"/>
    <w:rPr>
      <w:rFonts w:ascii="仿宋_GB2312" w:hAnsi="仿宋_GB2312" w:eastAsia="仿宋_GB2312" w:cs="仿宋_GB2312"/>
      <w:kern w:val="2"/>
      <w:sz w:val="32"/>
      <w:szCs w:val="32"/>
      <w:lang w:val="zh-CN"/>
    </w:rPr>
  </w:style>
  <w:style w:type="character" w:customStyle="1" w:styleId="12">
    <w:name w:val="Footer Char"/>
    <w:basedOn w:val="9"/>
    <w:link w:val="5"/>
    <w:qFormat/>
    <w:locked/>
    <w:uiPriority w:val="99"/>
    <w:rPr>
      <w:rFonts w:cs="Times New Roman"/>
      <w:sz w:val="18"/>
      <w:szCs w:val="18"/>
    </w:rPr>
  </w:style>
  <w:style w:type="character" w:customStyle="1" w:styleId="13">
    <w:name w:val="Header Char"/>
    <w:basedOn w:val="9"/>
    <w:link w:val="6"/>
    <w:qFormat/>
    <w:locked/>
    <w:uiPriority w:val="99"/>
    <w:rPr>
      <w:rFonts w:ascii="等线" w:hAnsi="等线" w:eastAsia="等线" w:cs="Times New Roman"/>
      <w:sz w:val="18"/>
      <w:szCs w:val="18"/>
    </w:rPr>
  </w:style>
  <w:style w:type="paragraph" w:customStyle="1" w:styleId="14">
    <w:name w:val="列出段落1"/>
    <w:basedOn w:val="1"/>
    <w:qFormat/>
    <w:uiPriority w:val="99"/>
    <w:pPr>
      <w:spacing w:before="2"/>
      <w:ind w:left="119" w:right="434" w:firstLine="643"/>
    </w:pPr>
    <w:rPr>
      <w:rFonts w:ascii="仿宋_GB2312" w:hAnsi="仿宋_GB2312" w:eastAsia="仿宋_GB2312" w:cs="仿宋_GB2312"/>
      <w:lang w:val="zh-CN"/>
    </w:rPr>
  </w:style>
  <w:style w:type="character" w:customStyle="1" w:styleId="15">
    <w:name w:val="Balloon Text Char"/>
    <w:basedOn w:val="9"/>
    <w:link w:val="4"/>
    <w:semiHidden/>
    <w:qFormat/>
    <w:locked/>
    <w:uiPriority w:val="99"/>
    <w:rPr>
      <w:rFonts w:ascii="等线" w:hAnsi="等线" w:eastAsia="等线" w:cs="Times New Roman"/>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7" Type="http://schemas.openxmlformats.org/officeDocument/2006/relationships/fontTable" Target="fontTable.xml"/><Relationship Id="rId26" Type="http://schemas.openxmlformats.org/officeDocument/2006/relationships/numbering" Target="numbering.xml"/><Relationship Id="rId25" Type="http://schemas.openxmlformats.org/officeDocument/2006/relationships/customXml" Target="../customXml/item1.xml"/><Relationship Id="rId24" Type="http://schemas.openxmlformats.org/officeDocument/2006/relationships/chart" Target="charts/chart5.xml"/><Relationship Id="rId23" Type="http://schemas.openxmlformats.org/officeDocument/2006/relationships/image" Target="media/image3.png"/><Relationship Id="rId22" Type="http://schemas.openxmlformats.org/officeDocument/2006/relationships/chart" Target="charts/chart4.xml"/><Relationship Id="rId21" Type="http://schemas.openxmlformats.org/officeDocument/2006/relationships/chart" Target="charts/chart3.xml"/><Relationship Id="rId20" Type="http://schemas.openxmlformats.org/officeDocument/2006/relationships/chart" Target="charts/chart2.xml"/><Relationship Id="rId2" Type="http://schemas.openxmlformats.org/officeDocument/2006/relationships/settings" Target="settings.xml"/><Relationship Id="rId19" Type="http://schemas.openxmlformats.org/officeDocument/2006/relationships/chart" Target="charts/chart1.xml"/><Relationship Id="rId18" Type="http://schemas.openxmlformats.org/officeDocument/2006/relationships/image" Target="media/image2.png"/><Relationship Id="rId17" Type="http://schemas.openxmlformats.org/officeDocument/2006/relationships/image" Target="media/image1.bmp"/><Relationship Id="rId16" Type="http://schemas.openxmlformats.org/officeDocument/2006/relationships/theme" Target="theme/theme1.xml"/><Relationship Id="rId15" Type="http://schemas.openxmlformats.org/officeDocument/2006/relationships/header" Target="header8.xml"/><Relationship Id="rId14" Type="http://schemas.openxmlformats.org/officeDocument/2006/relationships/header" Target="header7.xml"/><Relationship Id="rId13" Type="http://schemas.openxmlformats.org/officeDocument/2006/relationships/footer" Target="footer5.xml"/><Relationship Id="rId12" Type="http://schemas.openxmlformats.org/officeDocument/2006/relationships/footer" Target="footer4.xml"/><Relationship Id="rId11" Type="http://schemas.openxmlformats.org/officeDocument/2006/relationships/header" Target="header6.xml"/><Relationship Id="rId10" Type="http://schemas.openxmlformats.org/officeDocument/2006/relationships/header" Target="header5.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oleObject" Target="Book1" TargetMode="External"/></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rgbClr val="595959">
                    <a:lumMod val="65000"/>
                    <a:lumOff val="35000"/>
                  </a:srgbClr>
                </a:solidFill>
                <a:latin typeface="+mn-lt"/>
                <a:ea typeface="+mn-ea"/>
                <a:cs typeface="+mn-cs"/>
              </a:defRPr>
            </a:pPr>
            <a:r>
              <a:t>图</a:t>
            </a:r>
            <a:r>
              <a:rPr lang="en-US" altLang="zh-CN"/>
              <a:t>2</a:t>
            </a:r>
            <a:r>
              <a:rPr altLang="en-US"/>
              <a:t>：支出构成情况（按支出性质）</a:t>
            </a:r>
            <a:endParaRPr altLang="en-US"/>
          </a:p>
        </c:rich>
      </c:tx>
      <c:layout>
        <c:manualLayout>
          <c:xMode val="edge"/>
          <c:yMode val="edge"/>
          <c:x val="0.189444444444444"/>
          <c:y val="0.875"/>
        </c:manualLayout>
      </c:layout>
      <c:overlay val="0"/>
      <c:spPr>
        <a:noFill/>
        <a:ln>
          <a:noFill/>
        </a:ln>
        <a:effectLst/>
      </c:spPr>
    </c:title>
    <c:autoTitleDeleted val="0"/>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pie3DChart>
        <c:varyColors val="1"/>
        <c:ser>
          <c:idx val="0"/>
          <c:order val="0"/>
          <c:spPr>
            <a:scene3d>
              <a:camera prst="orthographicFront"/>
              <a:lightRig rig="threePt" dir="t"/>
            </a:scene3d>
            <a:sp3d contourW="25400"/>
          </c:spPr>
          <c:explosion val="0"/>
          <c:dPt>
            <c:idx val="0"/>
            <c:bubble3D val="0"/>
            <c:spPr>
              <a:solidFill>
                <a:srgbClr val="C0504D"/>
              </a:solidFill>
              <a:ln w="25400">
                <a:solidFill>
                  <a:srgbClr val="FFFFFF"/>
                </a:solidFill>
              </a:ln>
              <a:effectLst/>
              <a:scene3d>
                <a:camera prst="orthographicFront"/>
                <a:lightRig rig="threePt" dir="t"/>
              </a:scene3d>
              <a:sp3d contourW="25400"/>
            </c:spPr>
          </c:dPt>
          <c:dPt>
            <c:idx val="1"/>
            <c:bubble3D val="0"/>
            <c:explosion val="0"/>
            <c:spPr>
              <a:solidFill>
                <a:srgbClr val="4F81BD"/>
              </a:solidFill>
              <a:ln w="25400">
                <a:solidFill>
                  <a:srgbClr val="FFFFFF"/>
                </a:solidFill>
              </a:ln>
              <a:effectLst/>
              <a:scene3d>
                <a:camera prst="orthographicFront"/>
                <a:lightRig rig="threePt" dir="t"/>
              </a:scene3d>
              <a:sp3d contourW="25400"/>
            </c:spPr>
          </c:dPt>
          <c:dLbls>
            <c:dLbl>
              <c:idx val="0"/>
              <c:layout/>
              <c:tx>
                <c:rich>
                  <a:bodyPr rot="0" spcFirstLastPara="0" vertOverflow="ellipsis" vert="horz" wrap="square" lIns="38100" tIns="19050" rIns="38100" bIns="19050" anchor="ctr" anchorCtr="1"/>
                  <a:lstStyle/>
                  <a:p>
                    <a:pPr defTabSz="914400">
                      <a:defRPr lang="zh-CN" sz="900" b="0" i="0" u="none" strike="noStrike" kern="1200" baseline="0">
                        <a:solidFill>
                          <a:srgbClr val="404040">
                            <a:lumMod val="75000"/>
                            <a:lumOff val="25000"/>
                          </a:srgbClr>
                        </a:solidFill>
                        <a:latin typeface="+mn-lt"/>
                        <a:ea typeface="+mn-ea"/>
                        <a:cs typeface="+mn-cs"/>
                      </a:defRPr>
                    </a:pPr>
                    <a:r>
                      <a:t>基本支出8.35%</a:t>
                    </a:r>
                  </a:p>
                </c:rich>
              </c:tx>
              <c:dLblPos val="bestFit"/>
              <c:showLegendKey val="0"/>
              <c:showVal val="1"/>
              <c:showCatName val="0"/>
              <c:showSerName val="0"/>
              <c:showPercent val="0"/>
              <c:showBubbleSize val="0"/>
              <c:extLst>
                <c:ext xmlns:c15="http://schemas.microsoft.com/office/drawing/2012/chart" uri="{CE6537A1-D6FC-4f65-9D91-7224C49458BB}"/>
              </c:extLst>
            </c:dLbl>
            <c:dLbl>
              <c:idx val="1"/>
              <c:layout>
                <c:manualLayout>
                  <c:x val="0.0900589921112622"/>
                  <c:y val="-0.204298504113688"/>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rgbClr val="404040">
                            <a:lumMod val="75000"/>
                            <a:lumOff val="25000"/>
                          </a:srgbClr>
                        </a:solidFill>
                        <a:latin typeface="+mn-lt"/>
                        <a:ea typeface="+mn-ea"/>
                        <a:cs typeface="+mn-cs"/>
                      </a:defRPr>
                    </a:pPr>
                    <a:r>
                      <a:t>项目支出91.65%</a:t>
                    </a:r>
                  </a:p>
                </c:rich>
              </c:tx>
              <c:dLblPos val="bestFi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rgbClr val="404040">
                        <a:lumMod val="75000"/>
                        <a:lumOff val="25000"/>
                      </a:srgbClr>
                    </a:solidFill>
                    <a:latin typeface="+mn-lt"/>
                    <a:ea typeface="+mn-ea"/>
                    <a:cs typeface="+mn-cs"/>
                  </a:defRPr>
                </a:pPr>
              </a:p>
            </c:txPr>
            <c:dLblPos val="bestFit"/>
            <c:showLegendKey val="0"/>
            <c:showVal val="0"/>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rgbClr val="A6A6A6">
                          <a:lumMod val="35000"/>
                          <a:lumOff val="65000"/>
                        </a:srgbClr>
                      </a:solidFill>
                      <a:round/>
                    </a:ln>
                    <a:effectLst/>
                  </c:spPr>
                </c15:leaderLines>
              </c:ext>
            </c:extLst>
          </c:dLbls>
          <c:cat>
            <c:strRef>
              <c:f>[Book1]Sheet2!$A$1:$B$1</c:f>
              <c:strCache>
                <c:ptCount val="2"/>
                <c:pt idx="0">
                  <c:v>基本支出</c:v>
                </c:pt>
                <c:pt idx="1">
                  <c:v>项目支出</c:v>
                </c:pt>
              </c:strCache>
            </c:strRef>
          </c:cat>
          <c:val>
            <c:numRef>
              <c:f>[Book1]Sheet2!$A$2:$B$2</c:f>
              <c:numCache>
                <c:formatCode>0.00%</c:formatCode>
                <c:ptCount val="2"/>
                <c:pt idx="0">
                  <c:v>0.0835</c:v>
                </c:pt>
                <c:pt idx="1">
                  <c:v>0.9165</c:v>
                </c:pt>
              </c:numCache>
            </c:numRef>
          </c:val>
        </c:ser>
        <c:dLbls>
          <c:showLegendKey val="0"/>
          <c:showVal val="0"/>
          <c:showCatName val="0"/>
          <c:showSerName val="0"/>
          <c:showPercent val="0"/>
          <c:showBubbleSize val="0"/>
        </c:dLbls>
      </c:pie3DChart>
      <c:spPr>
        <a:noFill/>
        <a:ln>
          <a:noFill/>
        </a:ln>
        <a:effectLst/>
      </c:spPr>
    </c:plotArea>
    <c:plotVisOnly val="1"/>
    <c:dispBlanksAs val="gap"/>
    <c:showDLblsOverMax val="0"/>
  </c:chart>
  <c:spPr>
    <a:solidFill>
      <a:srgbClr val="FFFFFF"/>
    </a:solidFill>
    <a:ln w="9525" cap="flat" cmpd="sng" algn="ctr">
      <a:no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0083333333333"/>
          <c:y val="0.127959697732997"/>
          <c:w val="0.799222222222222"/>
          <c:h val="0.714760705289673"/>
        </c:manualLayout>
      </c:layout>
      <c:barChart>
        <c:barDir val="col"/>
        <c:grouping val="clustered"/>
        <c:varyColors val="0"/>
        <c:ser>
          <c:idx val="0"/>
          <c:order val="0"/>
          <c:tx>
            <c:strRef>
              <c:f>[Book1]Sheet1!$A$2</c:f>
              <c:strCache>
                <c:ptCount val="1"/>
                <c:pt idx="0">
                  <c:v>一般公共预算财政拨款收入</c:v>
                </c:pt>
              </c:strCache>
            </c:strRef>
          </c:tx>
          <c:spPr>
            <a:solidFill>
              <a:srgbClr val="4F81BD"/>
            </a:solidFill>
            <a:ln>
              <a:noFill/>
            </a:ln>
            <a:effectLst/>
          </c:spPr>
          <c:invertIfNegative val="0"/>
          <c:dLbls>
            <c:delete val="1"/>
          </c:dLbls>
          <c:cat>
            <c:strRef>
              <c:f>[Book1]Sheet1!$B$1:$C$1</c:f>
              <c:strCache>
                <c:ptCount val="2"/>
                <c:pt idx="0">
                  <c:v>2018年</c:v>
                </c:pt>
                <c:pt idx="1">
                  <c:v>2019年</c:v>
                </c:pt>
              </c:strCache>
            </c:strRef>
          </c:cat>
          <c:val>
            <c:numRef>
              <c:f>[Book1]Sheet1!$B$2:$C$2</c:f>
              <c:numCache>
                <c:formatCode>General</c:formatCode>
                <c:ptCount val="2"/>
                <c:pt idx="0">
                  <c:v>11565.52</c:v>
                </c:pt>
                <c:pt idx="1">
                  <c:v>17630.7</c:v>
                </c:pt>
              </c:numCache>
            </c:numRef>
          </c:val>
        </c:ser>
        <c:ser>
          <c:idx val="1"/>
          <c:order val="1"/>
          <c:tx>
            <c:strRef>
              <c:f>[Book1]Sheet1!$A$3</c:f>
              <c:strCache>
                <c:ptCount val="1"/>
                <c:pt idx="0">
                  <c:v>政府性基金预算财政拨款收入</c:v>
                </c:pt>
              </c:strCache>
            </c:strRef>
          </c:tx>
          <c:spPr>
            <a:solidFill>
              <a:srgbClr val="C0504D"/>
            </a:solidFill>
            <a:ln>
              <a:noFill/>
            </a:ln>
            <a:effectLst/>
          </c:spPr>
          <c:invertIfNegative val="0"/>
          <c:dLbls>
            <c:delete val="1"/>
          </c:dLbls>
          <c:cat>
            <c:strRef>
              <c:f>[Book1]Sheet1!$B$1:$C$1</c:f>
              <c:strCache>
                <c:ptCount val="2"/>
                <c:pt idx="0">
                  <c:v>2018年</c:v>
                </c:pt>
                <c:pt idx="1">
                  <c:v>2019年</c:v>
                </c:pt>
              </c:strCache>
            </c:strRef>
          </c:cat>
          <c:val>
            <c:numRef>
              <c:f>[Book1]Sheet1!$B$3:$C$3</c:f>
              <c:numCache>
                <c:formatCode>General</c:formatCode>
                <c:ptCount val="2"/>
                <c:pt idx="0">
                  <c:v>1800</c:v>
                </c:pt>
                <c:pt idx="1">
                  <c:v>5</c:v>
                </c:pt>
              </c:numCache>
            </c:numRef>
          </c:val>
        </c:ser>
        <c:dLbls>
          <c:showLegendKey val="0"/>
          <c:showVal val="0"/>
          <c:showCatName val="0"/>
          <c:showSerName val="0"/>
          <c:showPercent val="0"/>
          <c:showBubbleSize val="0"/>
        </c:dLbls>
        <c:gapWidth val="219"/>
        <c:overlap val="-27"/>
        <c:axId val="163789133"/>
        <c:axId val="25459848"/>
      </c:barChart>
      <c:catAx>
        <c:axId val="163789133"/>
        <c:scaling>
          <c:orientation val="minMax"/>
        </c:scaling>
        <c:delete val="0"/>
        <c:axPos val="b"/>
        <c:majorTickMark val="none"/>
        <c:minorTickMark val="none"/>
        <c:tickLblPos val="nextTo"/>
        <c:spPr>
          <a:noFill/>
          <a:ln w="9525" cap="flat" cmpd="sng" algn="ctr">
            <a:solidFill>
              <a:srgbClr val="D9D9D9">
                <a:lumMod val="15000"/>
                <a:lumOff val="85000"/>
              </a:srgbClr>
            </a:solidFill>
            <a:round/>
          </a:ln>
          <a:effectLst/>
        </c:spPr>
        <c:txPr>
          <a:bodyPr rot="-60000000" spcFirstLastPara="0" vertOverflow="ellipsis" vert="horz" wrap="square" anchor="ctr" anchorCtr="1"/>
          <a:lstStyle/>
          <a:p>
            <a:pPr>
              <a:defRPr lang="zh-CN" sz="900" b="0" i="0" u="none" strike="noStrike" kern="1200" baseline="0">
                <a:solidFill>
                  <a:srgbClr val="595959">
                    <a:lumMod val="65000"/>
                    <a:lumOff val="35000"/>
                  </a:srgbClr>
                </a:solidFill>
                <a:latin typeface="+mn-lt"/>
                <a:ea typeface="+mn-ea"/>
                <a:cs typeface="+mn-cs"/>
              </a:defRPr>
            </a:pPr>
          </a:p>
        </c:txPr>
        <c:crossAx val="25459848"/>
        <c:crosses val="autoZero"/>
        <c:auto val="1"/>
        <c:lblAlgn val="ctr"/>
        <c:lblOffset val="100"/>
        <c:noMultiLvlLbl val="0"/>
      </c:catAx>
      <c:valAx>
        <c:axId val="25459848"/>
        <c:scaling>
          <c:orientation val="minMax"/>
        </c:scaling>
        <c:delete val="0"/>
        <c:axPos val="l"/>
        <c:majorGridlines>
          <c:spPr>
            <a:ln w="9525" cap="flat" cmpd="sng" algn="ctr">
              <a:solidFill>
                <a:srgbClr val="D9D9D9">
                  <a:lumMod val="15000"/>
                  <a:lumOff val="85000"/>
                </a:srgb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rgbClr val="595959">
                    <a:lumMod val="65000"/>
                    <a:lumOff val="35000"/>
                  </a:srgbClr>
                </a:solidFill>
                <a:latin typeface="+mn-lt"/>
                <a:ea typeface="+mn-ea"/>
                <a:cs typeface="+mn-cs"/>
              </a:defRPr>
            </a:pPr>
          </a:p>
        </c:txPr>
        <c:crossAx val="163789133"/>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rgbClr val="595959">
                  <a:lumMod val="65000"/>
                  <a:lumOff val="35000"/>
                </a:srgbClr>
              </a:solidFill>
              <a:latin typeface="+mn-lt"/>
              <a:ea typeface="+mn-ea"/>
              <a:cs typeface="+mn-cs"/>
            </a:defRPr>
          </a:pPr>
        </a:p>
      </c:txPr>
    </c:legend>
    <c:plotVisOnly val="1"/>
    <c:dispBlanksAs val="gap"/>
    <c:showDLblsOverMax val="0"/>
  </c:chart>
  <c:spPr>
    <a:solidFill>
      <a:srgbClr val="FFFFFF"/>
    </a:solidFill>
    <a:ln w="9525" cap="flat" cmpd="sng" algn="ctr">
      <a:no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[Book1]Sheet1!$A$9</c:f>
              <c:strCache>
                <c:ptCount val="1"/>
                <c:pt idx="0">
                  <c:v>一般公共预算财政拨款支出</c:v>
                </c:pt>
              </c:strCache>
            </c:strRef>
          </c:tx>
          <c:spPr>
            <a:solidFill>
              <a:srgbClr val="4F81BD"/>
            </a:solidFill>
            <a:ln>
              <a:noFill/>
            </a:ln>
            <a:effectLst/>
          </c:spPr>
          <c:invertIfNegative val="0"/>
          <c:dLbls>
            <c:delete val="1"/>
          </c:dLbls>
          <c:cat>
            <c:strRef>
              <c:f>[Book1]Sheet1!$B$8:$C$8</c:f>
              <c:strCache>
                <c:ptCount val="2"/>
                <c:pt idx="0">
                  <c:v>2018年</c:v>
                </c:pt>
                <c:pt idx="1">
                  <c:v>2019年</c:v>
                </c:pt>
              </c:strCache>
            </c:strRef>
          </c:cat>
          <c:val>
            <c:numRef>
              <c:f>[Book1]Sheet1!$B$9:$C$9</c:f>
              <c:numCache>
                <c:formatCode>General</c:formatCode>
                <c:ptCount val="2"/>
                <c:pt idx="0">
                  <c:v>11565.52</c:v>
                </c:pt>
                <c:pt idx="1">
                  <c:v>17630.7</c:v>
                </c:pt>
              </c:numCache>
            </c:numRef>
          </c:val>
        </c:ser>
        <c:ser>
          <c:idx val="1"/>
          <c:order val="1"/>
          <c:tx>
            <c:strRef>
              <c:f>[Book1]Sheet1!$A$10</c:f>
              <c:strCache>
                <c:ptCount val="1"/>
                <c:pt idx="0">
                  <c:v>政府性基金预算财政拨款支出</c:v>
                </c:pt>
              </c:strCache>
            </c:strRef>
          </c:tx>
          <c:spPr>
            <a:solidFill>
              <a:srgbClr val="C0504D"/>
            </a:solidFill>
            <a:ln>
              <a:noFill/>
            </a:ln>
            <a:effectLst/>
          </c:spPr>
          <c:invertIfNegative val="0"/>
          <c:dLbls>
            <c:delete val="1"/>
          </c:dLbls>
          <c:cat>
            <c:strRef>
              <c:f>[Book1]Sheet1!$B$8:$C$8</c:f>
              <c:strCache>
                <c:ptCount val="2"/>
                <c:pt idx="0">
                  <c:v>2018年</c:v>
                </c:pt>
                <c:pt idx="1">
                  <c:v>2019年</c:v>
                </c:pt>
              </c:strCache>
            </c:strRef>
          </c:cat>
          <c:val>
            <c:numRef>
              <c:f>[Book1]Sheet1!$B$10:$C$10</c:f>
              <c:numCache>
                <c:formatCode>General</c:formatCode>
                <c:ptCount val="2"/>
                <c:pt idx="0">
                  <c:v>1800</c:v>
                </c:pt>
                <c:pt idx="1">
                  <c:v>5</c:v>
                </c:pt>
              </c:numCache>
            </c:numRef>
          </c:val>
        </c:ser>
        <c:dLbls>
          <c:showLegendKey val="0"/>
          <c:showVal val="0"/>
          <c:showCatName val="0"/>
          <c:showSerName val="0"/>
          <c:showPercent val="0"/>
          <c:showBubbleSize val="0"/>
        </c:dLbls>
        <c:gapWidth val="219"/>
        <c:overlap val="-27"/>
        <c:axId val="351681535"/>
        <c:axId val="432572795"/>
      </c:barChart>
      <c:catAx>
        <c:axId val="351681535"/>
        <c:scaling>
          <c:orientation val="minMax"/>
        </c:scaling>
        <c:delete val="0"/>
        <c:axPos val="b"/>
        <c:majorTickMark val="none"/>
        <c:minorTickMark val="none"/>
        <c:tickLblPos val="nextTo"/>
        <c:spPr>
          <a:noFill/>
          <a:ln w="9525" cap="flat" cmpd="sng" algn="ctr">
            <a:solidFill>
              <a:srgbClr val="D9D9D9">
                <a:lumMod val="15000"/>
                <a:lumOff val="85000"/>
              </a:srgbClr>
            </a:solidFill>
            <a:round/>
          </a:ln>
          <a:effectLst/>
        </c:spPr>
        <c:txPr>
          <a:bodyPr rot="-60000000" spcFirstLastPara="0" vertOverflow="ellipsis" vert="horz" wrap="square" anchor="ctr" anchorCtr="1"/>
          <a:lstStyle/>
          <a:p>
            <a:pPr>
              <a:defRPr lang="zh-CN" sz="900" b="0" i="0" u="none" strike="noStrike" kern="1200" baseline="0">
                <a:solidFill>
                  <a:srgbClr val="595959">
                    <a:lumMod val="65000"/>
                    <a:lumOff val="35000"/>
                  </a:srgbClr>
                </a:solidFill>
                <a:latin typeface="+mn-lt"/>
                <a:ea typeface="+mn-ea"/>
                <a:cs typeface="+mn-cs"/>
              </a:defRPr>
            </a:pPr>
          </a:p>
        </c:txPr>
        <c:crossAx val="432572795"/>
        <c:crosses val="autoZero"/>
        <c:auto val="1"/>
        <c:lblAlgn val="ctr"/>
        <c:lblOffset val="100"/>
        <c:noMultiLvlLbl val="0"/>
      </c:catAx>
      <c:valAx>
        <c:axId val="432572795"/>
        <c:scaling>
          <c:orientation val="minMax"/>
        </c:scaling>
        <c:delete val="0"/>
        <c:axPos val="l"/>
        <c:majorGridlines>
          <c:spPr>
            <a:ln w="9525" cap="flat" cmpd="sng" algn="ctr">
              <a:solidFill>
                <a:srgbClr val="D9D9D9">
                  <a:lumMod val="15000"/>
                  <a:lumOff val="85000"/>
                </a:srgb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rgbClr val="595959">
                    <a:lumMod val="65000"/>
                    <a:lumOff val="35000"/>
                  </a:srgbClr>
                </a:solidFill>
                <a:latin typeface="+mn-lt"/>
                <a:ea typeface="+mn-ea"/>
                <a:cs typeface="+mn-cs"/>
              </a:defRPr>
            </a:pPr>
          </a:p>
        </c:txPr>
        <c:crossAx val="351681535"/>
        <c:crosses val="autoZero"/>
        <c:crossBetween val="between"/>
      </c:valAx>
      <c:spPr>
        <a:noFill/>
        <a:ln>
          <a:noFill/>
        </a:ln>
        <a:effectLst/>
      </c:spPr>
    </c:plotArea>
    <c:legend>
      <c:legendPos val="b"/>
      <c:layout>
        <c:manualLayout>
          <c:xMode val="edge"/>
          <c:yMode val="edge"/>
          <c:x val="0.146597222222222"/>
          <c:y val="0.929018380915135"/>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rgbClr val="595959">
                  <a:lumMod val="65000"/>
                  <a:lumOff val="35000"/>
                </a:srgbClr>
              </a:solidFill>
              <a:latin typeface="+mn-lt"/>
              <a:ea typeface="+mn-ea"/>
              <a:cs typeface="+mn-cs"/>
            </a:defRPr>
          </a:pPr>
        </a:p>
      </c:txPr>
    </c:legend>
    <c:plotVisOnly val="1"/>
    <c:dispBlanksAs val="gap"/>
    <c:showDLblsOverMax val="0"/>
  </c:chart>
  <c:spPr>
    <a:solidFill>
      <a:srgbClr val="FFFFFF"/>
    </a:solidFill>
    <a:ln w="9525" cap="flat" cmpd="sng" algn="ctr">
      <a:no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2166666666667"/>
          <c:y val="0.0482456140350877"/>
          <c:w val="0.869361111111111"/>
          <c:h val="0.746359649122807"/>
        </c:manualLayout>
      </c:layout>
      <c:barChart>
        <c:barDir val="col"/>
        <c:grouping val="clustered"/>
        <c:varyColors val="0"/>
        <c:ser>
          <c:idx val="0"/>
          <c:order val="0"/>
          <c:tx>
            <c:strRef>
              <c:f>[Book1]Sheet1!$A$40</c:f>
              <c:strCache>
                <c:ptCount val="1"/>
                <c:pt idx="0">
                  <c:v>一般公共预算财政拨款</c:v>
                </c:pt>
              </c:strCache>
            </c:strRef>
          </c:tx>
          <c:spPr>
            <a:solidFill>
              <a:srgbClr val="4F81BD"/>
            </a:solidFill>
            <a:ln>
              <a:noFill/>
            </a:ln>
            <a:effectLst/>
          </c:spPr>
          <c:invertIfNegative val="0"/>
          <c:dLbls>
            <c:delete val="1"/>
          </c:dLbls>
          <c:cat>
            <c:strRef>
              <c:f>[Book1]Sheet1!$B$39:$C$39</c:f>
              <c:strCache>
                <c:ptCount val="2"/>
                <c:pt idx="0">
                  <c:v>2019年预算数</c:v>
                </c:pt>
                <c:pt idx="1">
                  <c:v>2019年决算数</c:v>
                </c:pt>
              </c:strCache>
            </c:strRef>
          </c:cat>
          <c:val>
            <c:numRef>
              <c:f>[Book1]Sheet1!$B$40:$C$40</c:f>
              <c:numCache>
                <c:formatCode>General</c:formatCode>
                <c:ptCount val="2"/>
                <c:pt idx="0">
                  <c:v>14250.45</c:v>
                </c:pt>
                <c:pt idx="1">
                  <c:v>17630.7</c:v>
                </c:pt>
              </c:numCache>
            </c:numRef>
          </c:val>
        </c:ser>
        <c:ser>
          <c:idx val="1"/>
          <c:order val="1"/>
          <c:tx>
            <c:strRef>
              <c:f>[Book1]Sheet1!$A$41</c:f>
              <c:strCache>
                <c:ptCount val="1"/>
                <c:pt idx="0">
                  <c:v>政府性基金预算财政拨款</c:v>
                </c:pt>
              </c:strCache>
            </c:strRef>
          </c:tx>
          <c:spPr>
            <a:solidFill>
              <a:srgbClr val="C0504D"/>
            </a:solidFill>
            <a:ln>
              <a:noFill/>
            </a:ln>
            <a:effectLst/>
          </c:spPr>
          <c:invertIfNegative val="0"/>
          <c:dLbls>
            <c:delete val="1"/>
          </c:dLbls>
          <c:cat>
            <c:strRef>
              <c:f>[Book1]Sheet1!$B$39:$C$39</c:f>
              <c:strCache>
                <c:ptCount val="2"/>
                <c:pt idx="0">
                  <c:v>2019年预算数</c:v>
                </c:pt>
                <c:pt idx="1">
                  <c:v>2019年决算数</c:v>
                </c:pt>
              </c:strCache>
            </c:strRef>
          </c:cat>
          <c:val>
            <c:numRef>
              <c:f>[Book1]Sheet1!$B$41:$C$41</c:f>
              <c:numCache>
                <c:formatCode>General</c:formatCode>
                <c:ptCount val="2"/>
                <c:pt idx="0">
                  <c:v>333.76</c:v>
                </c:pt>
                <c:pt idx="1">
                  <c:v>5</c:v>
                </c:pt>
              </c:numCache>
            </c:numRef>
          </c:val>
        </c:ser>
        <c:dLbls>
          <c:showLegendKey val="0"/>
          <c:showVal val="0"/>
          <c:showCatName val="0"/>
          <c:showSerName val="0"/>
          <c:showPercent val="0"/>
          <c:showBubbleSize val="0"/>
        </c:dLbls>
        <c:gapWidth val="219"/>
        <c:overlap val="-27"/>
        <c:axId val="453079818"/>
        <c:axId val="762332664"/>
      </c:barChart>
      <c:catAx>
        <c:axId val="453079818"/>
        <c:scaling>
          <c:orientation val="minMax"/>
        </c:scaling>
        <c:delete val="0"/>
        <c:axPos val="b"/>
        <c:majorTickMark val="none"/>
        <c:minorTickMark val="none"/>
        <c:tickLblPos val="nextTo"/>
        <c:spPr>
          <a:noFill/>
          <a:ln w="9525" cap="flat" cmpd="sng" algn="ctr">
            <a:solidFill>
              <a:srgbClr val="D9D9D9">
                <a:lumMod val="15000"/>
                <a:lumOff val="85000"/>
              </a:srgbClr>
            </a:solidFill>
            <a:round/>
          </a:ln>
          <a:effectLst/>
        </c:spPr>
        <c:txPr>
          <a:bodyPr rot="-60000000" spcFirstLastPara="0" vertOverflow="ellipsis" vert="horz" wrap="square" anchor="ctr" anchorCtr="1"/>
          <a:lstStyle/>
          <a:p>
            <a:pPr>
              <a:defRPr lang="zh-CN" sz="900" b="0" i="0" u="none" strike="noStrike" kern="1200" baseline="0">
                <a:solidFill>
                  <a:srgbClr val="595959">
                    <a:lumMod val="65000"/>
                    <a:lumOff val="35000"/>
                  </a:srgbClr>
                </a:solidFill>
                <a:latin typeface="+mn-lt"/>
                <a:ea typeface="+mn-ea"/>
                <a:cs typeface="+mn-cs"/>
              </a:defRPr>
            </a:pPr>
          </a:p>
        </c:txPr>
        <c:crossAx val="762332664"/>
        <c:crosses val="autoZero"/>
        <c:auto val="1"/>
        <c:lblAlgn val="ctr"/>
        <c:lblOffset val="100"/>
        <c:noMultiLvlLbl val="0"/>
      </c:catAx>
      <c:valAx>
        <c:axId val="762332664"/>
        <c:scaling>
          <c:orientation val="minMax"/>
        </c:scaling>
        <c:delete val="0"/>
        <c:axPos val="l"/>
        <c:majorGridlines>
          <c:spPr>
            <a:ln w="9525" cap="flat" cmpd="sng" algn="ctr">
              <a:solidFill>
                <a:srgbClr val="D9D9D9">
                  <a:lumMod val="15000"/>
                  <a:lumOff val="85000"/>
                </a:srgb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rgbClr val="595959">
                    <a:lumMod val="65000"/>
                    <a:lumOff val="35000"/>
                  </a:srgbClr>
                </a:solidFill>
                <a:latin typeface="+mn-lt"/>
                <a:ea typeface="+mn-ea"/>
                <a:cs typeface="+mn-cs"/>
              </a:defRPr>
            </a:pPr>
          </a:p>
        </c:txPr>
        <c:crossAx val="453079818"/>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rgbClr val="595959">
                  <a:lumMod val="65000"/>
                  <a:lumOff val="35000"/>
                </a:srgbClr>
              </a:solidFill>
              <a:latin typeface="+mn-lt"/>
              <a:ea typeface="+mn-ea"/>
              <a:cs typeface="+mn-cs"/>
            </a:defRPr>
          </a:pPr>
        </a:p>
      </c:txPr>
    </c:legend>
    <c:plotVisOnly val="1"/>
    <c:dispBlanksAs val="gap"/>
    <c:showDLblsOverMax val="0"/>
  </c:chart>
  <c:spPr>
    <a:solidFill>
      <a:srgbClr val="FFFFFF"/>
    </a:solidFill>
    <a:ln w="9525" cap="flat" cmpd="sng" algn="ctr">
      <a:no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251820699558929"/>
          <c:y val="0.0318487830139824"/>
          <c:w val="0.526207816186276"/>
          <c:h val="0.716338684619368"/>
        </c:manualLayout>
      </c:layout>
      <c:pie3DChart>
        <c:varyColors val="1"/>
        <c:ser>
          <c:idx val="0"/>
          <c:order val="0"/>
          <c:spPr/>
          <c:explosion val="0"/>
          <c:dPt>
            <c:idx val="0"/>
            <c:bubble3D val="0"/>
            <c:spPr>
              <a:solidFill>
                <a:srgbClr val="D99694">
                  <a:lumMod val="60000"/>
                  <a:lumOff val="40000"/>
                </a:srgbClr>
              </a:solidFill>
              <a:ln w="25400">
                <a:solidFill>
                  <a:srgbClr val="FFFFFF"/>
                </a:solidFill>
              </a:ln>
              <a:effectLst/>
            </c:spPr>
          </c:dPt>
          <c:dPt>
            <c:idx val="1"/>
            <c:bubble3D val="0"/>
            <c:spPr>
              <a:solidFill>
                <a:srgbClr val="C0504D"/>
              </a:solidFill>
              <a:ln w="25400">
                <a:solidFill>
                  <a:srgbClr val="FFFFFF"/>
                </a:solidFill>
              </a:ln>
              <a:effectLst/>
            </c:spPr>
          </c:dPt>
          <c:dPt>
            <c:idx val="2"/>
            <c:bubble3D val="0"/>
            <c:spPr>
              <a:solidFill>
                <a:srgbClr val="9BBB59"/>
              </a:solidFill>
              <a:ln w="25400">
                <a:solidFill>
                  <a:srgbClr val="FFFFFF"/>
                </a:solidFill>
              </a:ln>
              <a:effectLst/>
            </c:spPr>
          </c:dPt>
          <c:dPt>
            <c:idx val="3"/>
            <c:bubble3D val="0"/>
            <c:spPr>
              <a:solidFill>
                <a:srgbClr val="8064A2"/>
              </a:solidFill>
              <a:ln w="25400">
                <a:solidFill>
                  <a:srgbClr val="FFFFFF"/>
                </a:solidFill>
              </a:ln>
              <a:effectLst/>
            </c:spPr>
          </c:dPt>
          <c:dPt>
            <c:idx val="4"/>
            <c:bubble3D val="0"/>
            <c:spPr>
              <a:solidFill>
                <a:srgbClr val="4BACC6"/>
              </a:solidFill>
              <a:ln w="25400">
                <a:solidFill>
                  <a:srgbClr val="FFFFFF"/>
                </a:solidFill>
              </a:ln>
              <a:effectLst/>
            </c:spPr>
          </c:dPt>
          <c:dPt>
            <c:idx val="5"/>
            <c:bubble3D val="0"/>
            <c:spPr>
              <a:solidFill>
                <a:srgbClr val="F79646"/>
              </a:solidFill>
              <a:ln w="25400">
                <a:solidFill>
                  <a:srgbClr val="FFFFFF"/>
                </a:solidFill>
              </a:ln>
              <a:effectLst/>
            </c:spPr>
          </c:dPt>
          <c:dPt>
            <c:idx val="6"/>
            <c:bubble3D val="0"/>
            <c:spPr>
              <a:solidFill>
                <a:srgbClr val="2C4D75">
                  <a:lumMod val="60000"/>
                </a:srgbClr>
              </a:solidFill>
              <a:ln w="25400">
                <a:solidFill>
                  <a:srgbClr val="FFFFFF"/>
                </a:solidFill>
              </a:ln>
              <a:effectLst/>
            </c:spPr>
          </c:dPt>
          <c:dPt>
            <c:idx val="7"/>
            <c:bubble3D val="0"/>
            <c:explosion val="0"/>
            <c:spPr>
              <a:solidFill>
                <a:srgbClr val="4F81BD"/>
              </a:solidFill>
              <a:ln w="25400">
                <a:solidFill>
                  <a:srgbClr val="FFFFFF"/>
                </a:solidFill>
              </a:ln>
              <a:effectLst/>
            </c:spPr>
          </c:dPt>
          <c:dPt>
            <c:idx val="8"/>
            <c:bubble3D val="0"/>
            <c:spPr>
              <a:solidFill>
                <a:srgbClr val="5F7530">
                  <a:lumMod val="60000"/>
                </a:srgbClr>
              </a:solidFill>
              <a:ln w="25400">
                <a:solidFill>
                  <a:srgbClr val="FFFFFF"/>
                </a:solidFill>
              </a:ln>
              <a:effectLst/>
            </c:spPr>
          </c:dPt>
          <c:dPt>
            <c:idx val="9"/>
            <c:bubble3D val="0"/>
            <c:spPr>
              <a:solidFill>
                <a:srgbClr val="4D3B62">
                  <a:lumMod val="60000"/>
                </a:srgbClr>
              </a:solidFill>
              <a:ln w="25400">
                <a:solidFill>
                  <a:srgbClr val="FFFFFF"/>
                </a:solidFill>
              </a:ln>
              <a:effectLst/>
            </c:spPr>
          </c:dPt>
          <c:dPt>
            <c:idx val="10"/>
            <c:bubble3D val="0"/>
            <c:spPr>
              <a:solidFill>
                <a:srgbClr val="276A7C">
                  <a:lumMod val="60000"/>
                </a:srgbClr>
              </a:solidFill>
              <a:ln w="25400">
                <a:solidFill>
                  <a:srgbClr val="FFFFFF"/>
                </a:solidFill>
              </a:ln>
              <a:effectLst/>
            </c:spPr>
          </c:dPt>
          <c:dLbls>
            <c:dLbl>
              <c:idx val="0"/>
              <c:layout>
                <c:manualLayout>
                  <c:x val="-0.00833333333333333"/>
                  <c:y val="-0.0328358208955224"/>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145833333333333"/>
                  <c:y val="-0.0537313432835821"/>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1875"/>
                  <c:y val="-0.050816264823593"/>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0208333333333333"/>
                  <c:y val="-0.0263199872387941"/>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dLbl>
              <c:idx val="4"/>
              <c:layout/>
              <c:dLblPos val="bestFit"/>
              <c:showLegendKey val="0"/>
              <c:showVal val="1"/>
              <c:showCatName val="0"/>
              <c:showSerName val="0"/>
              <c:showPercent val="0"/>
              <c:showBubbleSize val="0"/>
              <c:extLst>
                <c:ext xmlns:c15="http://schemas.microsoft.com/office/drawing/2012/chart" uri="{CE6537A1-D6FC-4f65-9D91-7224C49458BB}"/>
              </c:extLst>
            </c:dLbl>
            <c:dLbl>
              <c:idx val="5"/>
              <c:layout>
                <c:manualLayout>
                  <c:x val="0.0318596808611579"/>
                  <c:y val="0.00831621125509793"/>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dLbl>
              <c:idx val="6"/>
              <c:layout>
                <c:manualLayout>
                  <c:x val="0.0504221318324565"/>
                  <c:y val="0.0311054394640294"/>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dLbl>
              <c:idx val="7"/>
              <c:layout/>
              <c:dLblPos val="bestFit"/>
              <c:showLegendKey val="0"/>
              <c:showVal val="1"/>
              <c:showCatName val="0"/>
              <c:showSerName val="0"/>
              <c:showPercent val="0"/>
              <c:showBubbleSize val="0"/>
              <c:extLst>
                <c:ext xmlns:c15="http://schemas.microsoft.com/office/drawing/2012/chart" uri="{CE6537A1-D6FC-4f65-9D91-7224C49458BB}"/>
              </c:extLst>
            </c:dLbl>
            <c:dLbl>
              <c:idx val="8"/>
              <c:layout>
                <c:manualLayout>
                  <c:x val="-0.0270833333333333"/>
                  <c:y val="-0.00298507462686567"/>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dLbl>
              <c:idx val="9"/>
              <c:layout>
                <c:manualLayout>
                  <c:x val="-0.0458333333333333"/>
                  <c:y val="-0.0119402985074627"/>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dLbl>
              <c:idx val="10"/>
              <c:delete val="1"/>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rgbClr val="404040">
                        <a:lumMod val="75000"/>
                        <a:lumOff val="25000"/>
                      </a:srgbClr>
                    </a:solidFill>
                    <a:latin typeface="+mn-lt"/>
                    <a:ea typeface="+mn-ea"/>
                    <a:cs typeface="+mn-cs"/>
                  </a:defRPr>
                </a:pPr>
              </a:p>
            </c:txPr>
            <c:dLblPos val="bestFit"/>
            <c:showLegendKey val="0"/>
            <c:showVal val="0"/>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rgbClr val="A6A6A6">
                          <a:lumMod val="35000"/>
                          <a:lumOff val="65000"/>
                        </a:srgbClr>
                      </a:solidFill>
                      <a:round/>
                    </a:ln>
                    <a:effectLst/>
                  </c:spPr>
                </c15:leaderLines>
              </c:ext>
            </c:extLst>
          </c:dLbls>
          <c:cat>
            <c:strRef>
              <c:f>[Book1]Sheet1!$A$63:$K$63</c:f>
              <c:strCache>
                <c:ptCount val="11"/>
                <c:pt idx="0">
                  <c:v>一般公共服务（类）支出</c:v>
                </c:pt>
                <c:pt idx="1">
                  <c:v>公共安全（类）支出</c:v>
                </c:pt>
                <c:pt idx="2">
                  <c:v>教育（类）支出</c:v>
                </c:pt>
                <c:pt idx="3">
                  <c:v>文化旅游体育与传媒（类）支出</c:v>
                </c:pt>
                <c:pt idx="4">
                  <c:v>社会保障和就业（类）支出</c:v>
                </c:pt>
                <c:pt idx="5">
                  <c:v>卫生健康（类）支出</c:v>
                </c:pt>
                <c:pt idx="6">
                  <c:v>节能环保（类）支出</c:v>
                </c:pt>
                <c:pt idx="7">
                  <c:v>城乡社区（类）支出</c:v>
                </c:pt>
                <c:pt idx="8">
                  <c:v>农林水（类）支出</c:v>
                </c:pt>
                <c:pt idx="9">
                  <c:v>交通运输（类）支出</c:v>
                </c:pt>
                <c:pt idx="10">
                  <c:v>灾害防治及应急管理（类）支出</c:v>
                </c:pt>
              </c:strCache>
            </c:strRef>
          </c:cat>
          <c:val>
            <c:numRef>
              <c:f>[Book1]Sheet1!$A$64:$K$64</c:f>
              <c:numCache>
                <c:formatCode>0.00%</c:formatCode>
                <c:ptCount val="11"/>
                <c:pt idx="0">
                  <c:v>0.0783</c:v>
                </c:pt>
                <c:pt idx="1">
                  <c:v>0.0193</c:v>
                </c:pt>
                <c:pt idx="2">
                  <c:v>0.0333</c:v>
                </c:pt>
                <c:pt idx="3">
                  <c:v>0.0059</c:v>
                </c:pt>
                <c:pt idx="4">
                  <c:v>0.0044</c:v>
                </c:pt>
                <c:pt idx="5">
                  <c:v>0.0147</c:v>
                </c:pt>
                <c:pt idx="6">
                  <c:v>0.003</c:v>
                </c:pt>
                <c:pt idx="7">
                  <c:v>0.6036</c:v>
                </c:pt>
                <c:pt idx="8">
                  <c:v>0.2012</c:v>
                </c:pt>
                <c:pt idx="9">
                  <c:v>0.0358</c:v>
                </c:pt>
                <c:pt idx="10">
                  <c:v>0.0005</c:v>
                </c:pt>
              </c:numCache>
            </c:numRef>
          </c:val>
        </c:ser>
        <c:dLbls>
          <c:showLegendKey val="0"/>
          <c:showVal val="0"/>
          <c:showCatName val="0"/>
          <c:showSerName val="0"/>
          <c:showPercent val="0"/>
          <c:showBubbleSize val="0"/>
        </c:dLbls>
      </c:pie3D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rgbClr val="595959">
                  <a:lumMod val="65000"/>
                  <a:lumOff val="35000"/>
                </a:srgbClr>
              </a:solidFill>
              <a:latin typeface="+mn-lt"/>
              <a:ea typeface="+mn-ea"/>
              <a:cs typeface="+mn-cs"/>
            </a:defRPr>
          </a:pPr>
        </a:p>
      </c:txPr>
    </c:legend>
    <c:plotVisOnly val="1"/>
    <c:dispBlanksAs val="gap"/>
    <c:showDLblsOverMax val="0"/>
  </c:chart>
  <c:spPr>
    <a:solidFill>
      <a:srgbClr val="FFFFFF"/>
    </a:solidFill>
    <a:ln w="9525" cap="flat" cmpd="sng" algn="ctr">
      <a:no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rgbClr val="4F81BD"/>
  <a:srgbClr val="C0504D"/>
  <a:srgbClr val="9BBB59"/>
  <a:srgbClr val="8064A2"/>
  <a:srgbClr val="4BACC6"/>
  <a:srgbClr val="F7964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rgbClr val="4F81BD"/>
  <a:srgbClr val="C0504D"/>
  <a:srgbClr val="9BBB59"/>
  <a:srgbClr val="8064A2"/>
  <a:srgbClr val="4BACC6"/>
  <a:srgbClr val="F7964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rgbClr val="4F81BD"/>
  <a:srgbClr val="C0504D"/>
  <a:srgbClr val="9BBB59"/>
  <a:srgbClr val="8064A2"/>
  <a:srgbClr val="4BACC6"/>
  <a:srgbClr val="F7964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rgbClr val="4F81BD"/>
  <a:srgbClr val="C0504D"/>
  <a:srgbClr val="9BBB59"/>
  <a:srgbClr val="8064A2"/>
  <a:srgbClr val="4BACC6"/>
  <a:srgbClr val="F7964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rgbClr val="4F81BD"/>
  <a:srgbClr val="C0504D"/>
  <a:srgbClr val="9BBB59"/>
  <a:srgbClr val="8064A2"/>
  <a:srgbClr val="4BACC6"/>
  <a:srgbClr val="F7964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rgbClr val="595959">
        <a:lumMod val="65000"/>
        <a:lumOff val="35000"/>
      </a:srgbClr>
    </cs:fontRef>
    <cs:defRPr sz="1000" kern="1200"/>
  </cs:axisTitle>
  <cs:categoryAxis>
    <cs:lnRef idx="0"/>
    <cs:fillRef idx="0"/>
    <cs:effectRef idx="0"/>
    <cs:fontRef idx="minor">
      <a:srgbClr val="595959">
        <a:lumMod val="65000"/>
        <a:lumOff val="35000"/>
      </a:srgbClr>
    </cs:fontRef>
    <cs:spPr>
      <a:ln w="9525" cap="flat" cmpd="sng" algn="ctr">
        <a:solidFill>
          <a:srgbClr val="D9D9D9">
            <a:lumMod val="15000"/>
            <a:lumOff val="85000"/>
          </a:srgbClr>
        </a:solidFill>
        <a:round/>
      </a:ln>
    </cs:spPr>
    <cs:defRPr sz="900" kern="1200"/>
  </cs:categoryAxis>
  <cs:chartArea mods="allowNoFillOverride allowNoLineOverride">
    <cs:lnRef idx="0"/>
    <cs:fillRef idx="0"/>
    <cs:effectRef idx="0"/>
    <cs:fontRef idx="minor">
      <a:srgbClr val="000000"/>
    </cs:fontRef>
    <cs:spPr>
      <a:solidFill>
        <a:srgbClr val="FFFFFF"/>
      </a:solidFill>
      <a:ln w="9525" cap="flat" cmpd="sng" algn="ctr">
        <a:solidFill>
          <a:srgbClr val="D9D9D9">
            <a:lumMod val="15000"/>
            <a:lumOff val="85000"/>
          </a:srgbClr>
        </a:solidFill>
        <a:round/>
      </a:ln>
    </cs:spPr>
    <cs:defRPr sz="900" kern="1200"/>
  </cs:chartArea>
  <cs:dataLabel>
    <cs:lnRef idx="0"/>
    <cs:fillRef idx="0"/>
    <cs:effectRef idx="0"/>
    <cs:fontRef idx="minor">
      <a:srgbClr val="404040">
        <a:lumMod val="75000"/>
        <a:lumOff val="25000"/>
      </a:srgbClr>
    </cs:fontRef>
    <cs:defRPr sz="900" kern="1200"/>
  </cs:dataLabel>
  <cs:dataLabelCallout>
    <cs:lnRef idx="0"/>
    <cs:fillRef idx="0"/>
    <cs:effectRef idx="0"/>
    <cs:fontRef idx="minor">
      <a:srgbClr val="595959">
        <a:lumMod val="65000"/>
        <a:lumOff val="35000"/>
      </a:srgbClr>
    </cs:fontRef>
    <cs:spPr>
      <a:solidFill>
        <a:srgbClr val="FFFFFF"/>
      </a:solidFill>
      <a:ln>
        <a:solidFill>
          <a:srgbClr val="BFBFBF">
            <a:lumMod val="25000"/>
            <a:lumOff val="75000"/>
          </a:srgb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rgbClr val="000000"/>
    </cs:fontRef>
    <cs:spPr>
      <a:ln w="19050">
        <a:solidFill>
          <a:srgbClr val="FFFFFF"/>
        </a:solidFill>
      </a:ln>
    </cs:spPr>
  </cs:dataPoint>
  <cs:dataPoint3D>
    <cs:lnRef idx="0"/>
    <cs:fillRef idx="1">
      <cs:styleClr val="auto"/>
    </cs:fillRef>
    <cs:effectRef idx="0"/>
    <cs:fontRef idx="minor">
      <a:srgbClr val="000000"/>
    </cs:fontRef>
    <cs:spPr>
      <a:ln w="25400">
        <a:solidFill>
          <a:srgbClr val="FFFFFF"/>
        </a:solidFill>
      </a:ln>
    </cs:spPr>
  </cs:dataPoint3D>
  <cs:dataPointLine>
    <cs:lnRef idx="0">
      <cs:styleClr val="auto"/>
    </cs:lnRef>
    <cs:fillRef idx="0"/>
    <cs:effectRef idx="0"/>
    <cs:fontRef idx="minor">
      <a:srgbClr val="000000"/>
    </cs:fontRef>
    <cs:spPr>
      <a:ln w="28575" cap="rnd">
        <a:solidFill>
          <a:srgbClr val="FFFFFF"/>
        </a:solidFill>
        <a:round/>
      </a:ln>
    </cs:spPr>
  </cs:dataPointLine>
  <cs:dataPointMarker>
    <cs:lnRef idx="0">
      <cs:styleClr val="auto"/>
    </cs:lnRef>
    <cs:fillRef idx="1">
      <cs:styleClr val="auto"/>
    </cs:fillRef>
    <cs:effectRef idx="0"/>
    <cs:fontRef idx="minor">
      <a:srgbClr val="000000"/>
    </cs:fontRef>
    <cs:spPr>
      <a:ln w="9525">
        <a:solidFill>
          <a:srgbClr val="FFFFFF"/>
        </a:solidFill>
      </a:ln>
    </cs:spPr>
  </cs:dataPointMarker>
  <cs:dataPointMarkerLayout symbol="circle" size="5"/>
  <cs:dataPointWireframe>
    <cs:lnRef idx="0">
      <cs:styleClr val="auto"/>
    </cs:lnRef>
    <cs:fillRef idx="0"/>
    <cs:effectRef idx="0"/>
    <cs:fontRef idx="minor">
      <a:srgbClr val="000000"/>
    </cs:fontRef>
    <cs:spPr>
      <a:ln w="9525" cap="rnd">
        <a:solidFill>
          <a:srgbClr val="FFFFFF"/>
        </a:solidFill>
        <a:round/>
      </a:ln>
    </cs:spPr>
  </cs:dataPointWireframe>
  <cs:dataTable>
    <cs:lnRef idx="0"/>
    <cs:fillRef idx="0"/>
    <cs:effectRef idx="0"/>
    <cs:fontRef idx="minor">
      <a:srgbClr val="595959">
        <a:lumMod val="65000"/>
        <a:lumOff val="35000"/>
      </a:srgbClr>
    </cs:fontRef>
    <cs:spPr>
      <a:noFill/>
      <a:ln w="9525" cap="flat" cmpd="sng" algn="ctr">
        <a:solidFill>
          <a:srgbClr val="D9D9D9">
            <a:lumMod val="15000"/>
            <a:lumOff val="85000"/>
          </a:srgbClr>
        </a:solidFill>
        <a:round/>
      </a:ln>
    </cs:spPr>
    <cs:defRPr sz="900" kern="1200"/>
  </cs:dataTable>
  <cs:downBar>
    <cs:lnRef idx="0"/>
    <cs:fillRef idx="0"/>
    <cs:effectRef idx="0"/>
    <cs:fontRef idx="minor">
      <a:srgbClr val="000000"/>
    </cs:fontRef>
    <cs:spPr>
      <a:solidFill>
        <a:srgbClr val="404040">
          <a:lumMod val="75000"/>
          <a:lumOff val="25000"/>
        </a:srgbClr>
      </a:solidFill>
      <a:ln w="9525" cap="flat" cmpd="sng" algn="ctr">
        <a:solidFill>
          <a:srgbClr val="595959">
            <a:lumMod val="65000"/>
            <a:lumOff val="35000"/>
          </a:srgbClr>
        </a:solidFill>
        <a:round/>
      </a:ln>
    </cs:spPr>
  </cs:downBar>
  <cs:dropLine>
    <cs:lnRef idx="0"/>
    <cs:fillRef idx="0"/>
    <cs:effectRef idx="0"/>
    <cs:fontRef idx="minor">
      <a:srgbClr val="000000"/>
    </cs:fontRef>
    <cs:spPr>
      <a:ln w="9525" cap="flat" cmpd="sng" algn="ctr">
        <a:solidFill>
          <a:srgbClr val="A6A6A6">
            <a:lumMod val="35000"/>
            <a:lumOff val="65000"/>
          </a:srgbClr>
        </a:solidFill>
        <a:round/>
      </a:ln>
    </cs:spPr>
  </cs:dropLine>
  <cs:errorBar>
    <cs:lnRef idx="0"/>
    <cs:fillRef idx="0"/>
    <cs:effectRef idx="0"/>
    <cs:fontRef idx="minor">
      <a:srgbClr val="000000"/>
    </cs:fontRef>
    <cs:spPr>
      <a:ln w="9525" cap="flat" cmpd="sng" algn="ctr">
        <a:solidFill>
          <a:srgbClr val="595959">
            <a:lumMod val="65000"/>
            <a:lumOff val="35000"/>
          </a:srgbClr>
        </a:solidFill>
        <a:round/>
      </a:ln>
    </cs:spPr>
  </cs:errorBar>
  <cs:floor>
    <cs:lnRef idx="0"/>
    <cs:fillRef idx="0"/>
    <cs:effectRef idx="0"/>
    <cs:fontRef idx="minor">
      <a:srgbClr val="000000"/>
    </cs:fontRef>
    <cs:spPr>
      <a:noFill/>
      <a:ln>
        <a:noFill/>
      </a:ln>
    </cs:spPr>
  </cs:floor>
  <cs:gridlineMajor>
    <cs:lnRef idx="0"/>
    <cs:fillRef idx="0"/>
    <cs:effectRef idx="0"/>
    <cs:fontRef idx="minor">
      <a:srgbClr val="000000"/>
    </cs:fontRef>
    <cs:spPr>
      <a:ln w="9525" cap="flat" cmpd="sng" algn="ctr">
        <a:solidFill>
          <a:srgbClr val="D9D9D9">
            <a:lumMod val="15000"/>
            <a:lumOff val="85000"/>
          </a:srgbClr>
        </a:solidFill>
        <a:round/>
      </a:ln>
    </cs:spPr>
  </cs:gridlineMajor>
  <cs:gridlineMinor>
    <cs:lnRef idx="0"/>
    <cs:fillRef idx="0"/>
    <cs:effectRef idx="0"/>
    <cs:fontRef idx="minor">
      <a:srgbClr val="000000"/>
    </cs:fontRef>
    <cs:spPr>
      <a:ln w="9525" cap="flat" cmpd="sng" algn="ctr">
        <a:solidFill>
          <a:srgbClr val="F2F2F2">
            <a:lumMod val="5000"/>
            <a:lumOff val="95000"/>
          </a:srgbClr>
        </a:solidFill>
        <a:round/>
      </a:ln>
    </cs:spPr>
  </cs:gridlineMinor>
  <cs:hiLoLine>
    <cs:lnRef idx="0"/>
    <cs:fillRef idx="0"/>
    <cs:effectRef idx="0"/>
    <cs:fontRef idx="minor">
      <a:srgbClr val="000000"/>
    </cs:fontRef>
    <cs:spPr>
      <a:ln w="9525" cap="flat" cmpd="sng" algn="ctr">
        <a:solidFill>
          <a:srgbClr val="808080">
            <a:lumMod val="50000"/>
            <a:lumOff val="50000"/>
          </a:srgbClr>
        </a:solidFill>
        <a:round/>
      </a:ln>
    </cs:spPr>
  </cs:hiLoLine>
  <cs:leaderLine>
    <cs:lnRef idx="0"/>
    <cs:fillRef idx="0"/>
    <cs:effectRef idx="0"/>
    <cs:fontRef idx="minor">
      <a:srgbClr val="000000"/>
    </cs:fontRef>
    <cs:spPr>
      <a:ln w="9525" cap="flat" cmpd="sng" algn="ctr">
        <a:solidFill>
          <a:srgbClr val="A6A6A6">
            <a:lumMod val="35000"/>
            <a:lumOff val="65000"/>
          </a:srgbClr>
        </a:solidFill>
        <a:round/>
      </a:ln>
    </cs:spPr>
  </cs:leaderLine>
  <cs:legend>
    <cs:lnRef idx="0"/>
    <cs:fillRef idx="0"/>
    <cs:effectRef idx="0"/>
    <cs:fontRef idx="minor">
      <a:srgbClr val="595959">
        <a:lumMod val="65000"/>
        <a:lumOff val="35000"/>
      </a:srgbClr>
    </cs:fontRef>
    <cs:defRPr sz="900" kern="1200"/>
  </cs:legend>
  <cs:plotArea mods="allowNoFillOverride allowNoLineOverride">
    <cs:lnRef idx="0"/>
    <cs:fillRef idx="0"/>
    <cs:effectRef idx="0"/>
    <cs:fontRef idx="minor">
      <a:srgbClr val="000000"/>
    </cs:fontRef>
  </cs:plotArea>
  <cs:plotArea3D mods="allowNoFillOverride allowNoLineOverride">
    <cs:lnRef idx="0"/>
    <cs:fillRef idx="0"/>
    <cs:effectRef idx="0"/>
    <cs:fontRef idx="minor">
      <a:srgbClr val="000000"/>
    </cs:fontRef>
  </cs:plotArea3D>
  <cs:seriesAxis>
    <cs:lnRef idx="0"/>
    <cs:fillRef idx="0"/>
    <cs:effectRef idx="0"/>
    <cs:fontRef idx="minor">
      <a:srgbClr val="595959">
        <a:lumMod val="65000"/>
        <a:lumOff val="35000"/>
      </a:srgbClr>
    </cs:fontRef>
    <cs:defRPr sz="900" kern="1200"/>
  </cs:seriesAxis>
  <cs:seriesLine>
    <cs:lnRef idx="0"/>
    <cs:fillRef idx="0"/>
    <cs:effectRef idx="0"/>
    <cs:fontRef idx="minor">
      <a:srgbClr val="000000"/>
    </cs:fontRef>
    <cs:spPr>
      <a:ln w="9525" cap="flat" cmpd="sng" algn="ctr">
        <a:solidFill>
          <a:srgbClr val="A6A6A6">
            <a:lumMod val="35000"/>
            <a:lumOff val="65000"/>
          </a:srgbClr>
        </a:solidFill>
        <a:round/>
      </a:ln>
    </cs:spPr>
  </cs:seriesLine>
  <cs:title>
    <cs:lnRef idx="0"/>
    <cs:fillRef idx="0"/>
    <cs:effectRef idx="0"/>
    <cs:fontRef idx="minor">
      <a:srgbClr val="595959">
        <a:lumMod val="65000"/>
        <a:lumOff val="35000"/>
      </a:srgbClr>
    </cs:fontRef>
    <cs:defRPr sz="1400" b="0" kern="1200" spc="0" baseline="0"/>
  </cs:title>
  <cs:trendline>
    <cs:lnRef idx="0">
      <cs:styleClr val="auto"/>
    </cs:lnRef>
    <cs:fillRef idx="0"/>
    <cs:effectRef idx="0"/>
    <cs:fontRef idx="minor">
      <a:srgbClr val="000000"/>
    </cs:fontRef>
    <cs:spPr>
      <a:ln w="19050" cap="rnd">
        <a:solidFill>
          <a:srgbClr val="FFFFFF"/>
        </a:solidFill>
        <a:prstDash val="sysDot"/>
      </a:ln>
    </cs:spPr>
  </cs:trendline>
  <cs:trendlineLabel>
    <cs:lnRef idx="0"/>
    <cs:fillRef idx="0"/>
    <cs:effectRef idx="0"/>
    <cs:fontRef idx="minor">
      <a:srgbClr val="595959">
        <a:lumMod val="65000"/>
        <a:lumOff val="35000"/>
      </a:srgbClr>
    </cs:fontRef>
    <cs:defRPr sz="900" kern="1200"/>
  </cs:trendlineLabel>
  <cs:upBar>
    <cs:lnRef idx="0"/>
    <cs:fillRef idx="0"/>
    <cs:effectRef idx="0"/>
    <cs:fontRef idx="minor">
      <a:srgbClr val="000000"/>
    </cs:fontRef>
    <cs:spPr>
      <a:solidFill>
        <a:srgbClr val="FFFFFF"/>
      </a:solidFill>
      <a:ln w="9525" cap="flat" cmpd="sng" algn="ctr">
        <a:solidFill>
          <a:srgbClr val="595959">
            <a:lumMod val="65000"/>
            <a:lumOff val="35000"/>
          </a:srgbClr>
        </a:solidFill>
        <a:round/>
      </a:ln>
    </cs:spPr>
  </cs:upBar>
  <cs:valueAxis>
    <cs:lnRef idx="0"/>
    <cs:fillRef idx="0"/>
    <cs:effectRef idx="0"/>
    <cs:fontRef idx="minor">
      <a:srgbClr val="595959">
        <a:lumMod val="65000"/>
        <a:lumOff val="35000"/>
      </a:srgbClr>
    </cs:fontRef>
    <cs:defRPr sz="900" kern="1200"/>
  </cs:valueAxis>
  <cs:wall>
    <cs:lnRef idx="0"/>
    <cs:fillRef idx="0"/>
    <cs:effectRef idx="0"/>
    <cs:fontRef idx="minor">
      <a:srgbClr val="000000"/>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rgbClr val="595959">
        <a:lumMod val="65000"/>
        <a:lumOff val="35000"/>
      </a:srgbClr>
    </cs:fontRef>
    <cs:defRPr sz="1000" kern="1200"/>
  </cs:axisTitle>
  <cs:categoryAxis>
    <cs:lnRef idx="0"/>
    <cs:fillRef idx="0"/>
    <cs:effectRef idx="0"/>
    <cs:fontRef idx="minor">
      <a:srgbClr val="595959">
        <a:lumMod val="65000"/>
        <a:lumOff val="35000"/>
      </a:srgbClr>
    </cs:fontRef>
    <cs:spPr>
      <a:ln w="9525" cap="flat" cmpd="sng" algn="ctr">
        <a:solidFill>
          <a:srgbClr val="D9D9D9">
            <a:lumMod val="15000"/>
            <a:lumOff val="85000"/>
          </a:srgbClr>
        </a:solidFill>
        <a:round/>
      </a:ln>
    </cs:spPr>
    <cs:defRPr sz="900" kern="1200"/>
  </cs:categoryAxis>
  <cs:chartArea mods="allowNoFillOverride allowNoLineOverride">
    <cs:lnRef idx="0"/>
    <cs:fillRef idx="0"/>
    <cs:effectRef idx="0"/>
    <cs:fontRef idx="minor">
      <a:srgbClr val="000000"/>
    </cs:fontRef>
    <cs:spPr>
      <a:solidFill>
        <a:srgbClr val="FFFFFF"/>
      </a:solidFill>
      <a:ln w="9525" cap="flat" cmpd="sng" algn="ctr">
        <a:solidFill>
          <a:srgbClr val="D9D9D9">
            <a:lumMod val="15000"/>
            <a:lumOff val="85000"/>
          </a:srgbClr>
        </a:solidFill>
        <a:round/>
      </a:ln>
    </cs:spPr>
    <cs:defRPr sz="1000" kern="1200"/>
  </cs:chartArea>
  <cs:dataLabel>
    <cs:lnRef idx="0"/>
    <cs:fillRef idx="0"/>
    <cs:effectRef idx="0"/>
    <cs:fontRef idx="minor">
      <a:srgbClr val="404040">
        <a:lumMod val="75000"/>
        <a:lumOff val="25000"/>
      </a:srgbClr>
    </cs:fontRef>
    <cs:defRPr sz="900" kern="1200"/>
  </cs:dataLabel>
  <cs:dataLabelCallout>
    <cs:lnRef idx="0"/>
    <cs:fillRef idx="0"/>
    <cs:effectRef idx="0"/>
    <cs:fontRef idx="minor">
      <a:srgbClr val="595959">
        <a:lumMod val="65000"/>
        <a:lumOff val="35000"/>
      </a:srgbClr>
    </cs:fontRef>
    <cs:spPr>
      <a:solidFill>
        <a:srgbClr val="FFFFFF"/>
      </a:solidFill>
      <a:ln>
        <a:solidFill>
          <a:srgbClr val="BFBFBF">
            <a:lumMod val="25000"/>
            <a:lumOff val="75000"/>
          </a:srgb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rgbClr val="000000"/>
    </cs:fontRef>
  </cs:dataPoint>
  <cs:dataPoint3D>
    <cs:lnRef idx="0"/>
    <cs:fillRef idx="1">
      <cs:styleClr val="auto"/>
    </cs:fillRef>
    <cs:effectRef idx="0"/>
    <cs:fontRef idx="minor">
      <a:srgbClr val="000000"/>
    </cs:fontRef>
  </cs:dataPoint3D>
  <cs:dataPointLine>
    <cs:lnRef idx="0">
      <cs:styleClr val="auto"/>
    </cs:lnRef>
    <cs:fillRef idx="1"/>
    <cs:effectRef idx="0"/>
    <cs:fontRef idx="minor">
      <a:srgbClr val="000000"/>
    </cs:fontRef>
    <cs:spPr>
      <a:ln w="28575" cap="rnd">
        <a:solidFill>
          <a:srgbClr val="FFFFFF"/>
        </a:solidFill>
        <a:round/>
      </a:ln>
    </cs:spPr>
  </cs:dataPointLine>
  <cs:dataPointMarker>
    <cs:lnRef idx="0">
      <cs:styleClr val="auto"/>
    </cs:lnRef>
    <cs:fillRef idx="1">
      <cs:styleClr val="auto"/>
    </cs:fillRef>
    <cs:effectRef idx="0"/>
    <cs:fontRef idx="minor">
      <a:srgbClr val="000000"/>
    </cs:fontRef>
    <cs:spPr>
      <a:ln w="9525">
        <a:solidFill>
          <a:srgbClr val="FFFFFF"/>
        </a:solidFill>
      </a:ln>
    </cs:spPr>
  </cs:dataPointMarker>
  <cs:dataPointMarkerLayout symbol="circle" size="5"/>
  <cs:dataPointWireframe>
    <cs:lnRef idx="0">
      <cs:styleClr val="auto"/>
    </cs:lnRef>
    <cs:fillRef idx="1"/>
    <cs:effectRef idx="0"/>
    <cs:fontRef idx="minor">
      <a:srgbClr val="000000"/>
    </cs:fontRef>
    <cs:spPr>
      <a:ln w="9525" cap="rnd">
        <a:solidFill>
          <a:srgbClr val="FFFFFF"/>
        </a:solidFill>
        <a:round/>
      </a:ln>
    </cs:spPr>
  </cs:dataPointWireframe>
  <cs:dataTable>
    <cs:lnRef idx="0"/>
    <cs:fillRef idx="0"/>
    <cs:effectRef idx="0"/>
    <cs:fontRef idx="minor">
      <a:srgbClr val="595959">
        <a:lumMod val="65000"/>
        <a:lumOff val="35000"/>
      </a:srgbClr>
    </cs:fontRef>
    <cs:spPr>
      <a:noFill/>
      <a:ln w="9525" cap="flat" cmpd="sng" algn="ctr">
        <a:solidFill>
          <a:srgbClr val="D9D9D9">
            <a:lumMod val="15000"/>
            <a:lumOff val="85000"/>
          </a:srgbClr>
        </a:solidFill>
        <a:round/>
      </a:ln>
    </cs:spPr>
    <cs:defRPr sz="900" kern="1200"/>
  </cs:dataTable>
  <cs:downBar>
    <cs:lnRef idx="0"/>
    <cs:fillRef idx="0"/>
    <cs:effectRef idx="0"/>
    <cs:fontRef idx="minor">
      <a:srgbClr val="000000"/>
    </cs:fontRef>
    <cs:spPr>
      <a:solidFill>
        <a:srgbClr val="595959">
          <a:lumMod val="65000"/>
          <a:lumOff val="35000"/>
        </a:srgbClr>
      </a:solidFill>
      <a:ln w="9525">
        <a:solidFill>
          <a:srgbClr val="595959">
            <a:lumMod val="65000"/>
            <a:lumOff val="35000"/>
          </a:srgbClr>
        </a:solidFill>
      </a:ln>
    </cs:spPr>
  </cs:downBar>
  <cs:dropLine>
    <cs:lnRef idx="0"/>
    <cs:fillRef idx="0"/>
    <cs:effectRef idx="0"/>
    <cs:fontRef idx="minor">
      <a:srgbClr val="000000"/>
    </cs:fontRef>
    <cs:spPr>
      <a:ln w="9525" cap="flat" cmpd="sng" algn="ctr">
        <a:solidFill>
          <a:srgbClr val="A6A6A6">
            <a:lumMod val="35000"/>
            <a:lumOff val="65000"/>
          </a:srgbClr>
        </a:solidFill>
        <a:round/>
      </a:ln>
    </cs:spPr>
  </cs:dropLine>
  <cs:errorBar>
    <cs:lnRef idx="0"/>
    <cs:fillRef idx="0"/>
    <cs:effectRef idx="0"/>
    <cs:fontRef idx="minor">
      <a:srgbClr val="000000"/>
    </cs:fontRef>
    <cs:spPr>
      <a:ln w="9525" cap="flat" cmpd="sng" algn="ctr">
        <a:solidFill>
          <a:srgbClr val="595959">
            <a:lumMod val="65000"/>
            <a:lumOff val="35000"/>
          </a:srgbClr>
        </a:solidFill>
        <a:round/>
      </a:ln>
    </cs:spPr>
  </cs:errorBar>
  <cs:floor>
    <cs:lnRef idx="0"/>
    <cs:fillRef idx="0"/>
    <cs:effectRef idx="0"/>
    <cs:fontRef idx="minor">
      <a:srgbClr val="000000"/>
    </cs:fontRef>
    <cs:spPr>
      <a:noFill/>
      <a:ln>
        <a:noFill/>
      </a:ln>
    </cs:spPr>
  </cs:floor>
  <cs:gridlineMajor>
    <cs:lnRef idx="0"/>
    <cs:fillRef idx="0"/>
    <cs:effectRef idx="0"/>
    <cs:fontRef idx="minor">
      <a:srgbClr val="000000"/>
    </cs:fontRef>
    <cs:spPr>
      <a:ln w="9525" cap="flat" cmpd="sng" algn="ctr">
        <a:solidFill>
          <a:srgbClr val="D9D9D9">
            <a:lumMod val="15000"/>
            <a:lumOff val="85000"/>
          </a:srgbClr>
        </a:solidFill>
        <a:round/>
      </a:ln>
    </cs:spPr>
  </cs:gridlineMajor>
  <cs:gridlineMinor>
    <cs:lnRef idx="0"/>
    <cs:fillRef idx="0"/>
    <cs:effectRef idx="0"/>
    <cs:fontRef idx="minor">
      <a:srgbClr val="000000"/>
    </cs:fontRef>
    <cs:spPr>
      <a:ln w="9525" cap="flat" cmpd="sng" algn="ctr">
        <a:solidFill>
          <a:srgbClr val="F2F2F2">
            <a:lumMod val="5000"/>
            <a:lumOff val="95000"/>
          </a:srgbClr>
        </a:solidFill>
        <a:round/>
      </a:ln>
    </cs:spPr>
  </cs:gridlineMinor>
  <cs:hiLoLine>
    <cs:lnRef idx="0"/>
    <cs:fillRef idx="0"/>
    <cs:effectRef idx="0"/>
    <cs:fontRef idx="minor">
      <a:srgbClr val="000000"/>
    </cs:fontRef>
    <cs:spPr>
      <a:ln w="9525" cap="flat" cmpd="sng" algn="ctr">
        <a:solidFill>
          <a:srgbClr val="404040">
            <a:lumMod val="75000"/>
            <a:lumOff val="25000"/>
          </a:srgbClr>
        </a:solidFill>
        <a:round/>
      </a:ln>
    </cs:spPr>
  </cs:hiLoLine>
  <cs:leaderLine>
    <cs:lnRef idx="0"/>
    <cs:fillRef idx="0"/>
    <cs:effectRef idx="0"/>
    <cs:fontRef idx="minor">
      <a:srgbClr val="000000"/>
    </cs:fontRef>
    <cs:spPr>
      <a:ln w="9525" cap="flat" cmpd="sng" algn="ctr">
        <a:solidFill>
          <a:srgbClr val="A6A6A6">
            <a:lumMod val="35000"/>
            <a:lumOff val="65000"/>
          </a:srgbClr>
        </a:solidFill>
        <a:round/>
      </a:ln>
    </cs:spPr>
  </cs:leaderLine>
  <cs:legend>
    <cs:lnRef idx="0"/>
    <cs:fillRef idx="0"/>
    <cs:effectRef idx="0"/>
    <cs:fontRef idx="minor">
      <a:srgbClr val="595959">
        <a:lumMod val="65000"/>
        <a:lumOff val="35000"/>
      </a:srgbClr>
    </cs:fontRef>
    <cs:defRPr sz="900" kern="1200"/>
  </cs:legend>
  <cs:plotArea mods="allowNoFillOverride allowNoLineOverride">
    <cs:lnRef idx="0"/>
    <cs:fillRef idx="0"/>
    <cs:effectRef idx="0"/>
    <cs:fontRef idx="minor">
      <a:srgbClr val="000000"/>
    </cs:fontRef>
  </cs:plotArea>
  <cs:plotArea3D mods="allowNoFillOverride allowNoLineOverride">
    <cs:lnRef idx="0"/>
    <cs:fillRef idx="0"/>
    <cs:effectRef idx="0"/>
    <cs:fontRef idx="minor">
      <a:srgbClr val="000000"/>
    </cs:fontRef>
  </cs:plotArea3D>
  <cs:seriesAxis>
    <cs:lnRef idx="0"/>
    <cs:fillRef idx="0"/>
    <cs:effectRef idx="0"/>
    <cs:fontRef idx="minor">
      <a:srgbClr val="595959">
        <a:lumMod val="65000"/>
        <a:lumOff val="35000"/>
      </a:srgbClr>
    </cs:fontRef>
    <cs:defRPr sz="900" kern="1200"/>
  </cs:seriesAxis>
  <cs:seriesLine>
    <cs:lnRef idx="0"/>
    <cs:fillRef idx="0"/>
    <cs:effectRef idx="0"/>
    <cs:fontRef idx="minor">
      <a:srgbClr val="000000"/>
    </cs:fontRef>
    <cs:spPr>
      <a:ln w="9525" cap="flat" cmpd="sng" algn="ctr">
        <a:solidFill>
          <a:srgbClr val="A6A6A6">
            <a:lumMod val="35000"/>
            <a:lumOff val="65000"/>
          </a:srgbClr>
        </a:solidFill>
        <a:round/>
      </a:ln>
    </cs:spPr>
  </cs:seriesLine>
  <cs:title>
    <cs:lnRef idx="0"/>
    <cs:fillRef idx="0"/>
    <cs:effectRef idx="0"/>
    <cs:fontRef idx="minor">
      <a:srgbClr val="595959">
        <a:lumMod val="65000"/>
        <a:lumOff val="35000"/>
      </a:srgbClr>
    </cs:fontRef>
    <cs:defRPr sz="1400" b="0" kern="1200" spc="0" baseline="0"/>
  </cs:title>
  <cs:trendline>
    <cs:lnRef idx="0">
      <cs:styleClr val="auto"/>
    </cs:lnRef>
    <cs:fillRef idx="0"/>
    <cs:effectRef idx="0"/>
    <cs:fontRef idx="minor">
      <a:srgbClr val="000000"/>
    </cs:fontRef>
    <cs:spPr>
      <a:ln w="19050" cap="rnd">
        <a:solidFill>
          <a:srgbClr val="FFFFFF"/>
        </a:solidFill>
        <a:prstDash val="sysDot"/>
      </a:ln>
    </cs:spPr>
  </cs:trendline>
  <cs:trendlineLabel>
    <cs:lnRef idx="0"/>
    <cs:fillRef idx="0"/>
    <cs:effectRef idx="0"/>
    <cs:fontRef idx="minor">
      <a:srgbClr val="595959">
        <a:lumMod val="65000"/>
        <a:lumOff val="35000"/>
      </a:srgbClr>
    </cs:fontRef>
    <cs:defRPr sz="900" kern="1200"/>
  </cs:trendlineLabel>
  <cs:upBar>
    <cs:lnRef idx="0"/>
    <cs:fillRef idx="0"/>
    <cs:effectRef idx="0"/>
    <cs:fontRef idx="minor">
      <a:srgbClr val="000000"/>
    </cs:fontRef>
    <cs:spPr>
      <a:solidFill>
        <a:srgbClr val="FFFFFF"/>
      </a:solidFill>
      <a:ln w="9525">
        <a:solidFill>
          <a:srgbClr val="D9D9D9">
            <a:lumMod val="15000"/>
            <a:lumOff val="85000"/>
          </a:srgbClr>
        </a:solidFill>
      </a:ln>
    </cs:spPr>
  </cs:upBar>
  <cs:valueAxis>
    <cs:lnRef idx="0"/>
    <cs:fillRef idx="0"/>
    <cs:effectRef idx="0"/>
    <cs:fontRef idx="minor">
      <a:srgbClr val="595959">
        <a:lumMod val="65000"/>
        <a:lumOff val="35000"/>
      </a:srgbClr>
    </cs:fontRef>
    <cs:defRPr sz="900" kern="1200"/>
  </cs:valueAxis>
  <cs:wall>
    <cs:lnRef idx="0"/>
    <cs:fillRef idx="0"/>
    <cs:effectRef idx="0"/>
    <cs:fontRef idx="minor">
      <a:srgbClr val="000000"/>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rgbClr val="595959">
        <a:lumMod val="65000"/>
        <a:lumOff val="35000"/>
      </a:srgbClr>
    </cs:fontRef>
    <cs:defRPr sz="1000" kern="1200"/>
  </cs:axisTitle>
  <cs:categoryAxis>
    <cs:lnRef idx="0"/>
    <cs:fillRef idx="0"/>
    <cs:effectRef idx="0"/>
    <cs:fontRef idx="minor">
      <a:srgbClr val="595959">
        <a:lumMod val="65000"/>
        <a:lumOff val="35000"/>
      </a:srgbClr>
    </cs:fontRef>
    <cs:spPr>
      <a:ln w="9525" cap="flat" cmpd="sng" algn="ctr">
        <a:solidFill>
          <a:srgbClr val="D9D9D9">
            <a:lumMod val="15000"/>
            <a:lumOff val="85000"/>
          </a:srgbClr>
        </a:solidFill>
        <a:round/>
      </a:ln>
    </cs:spPr>
    <cs:defRPr sz="900" kern="1200"/>
  </cs:categoryAxis>
  <cs:chartArea mods="allowNoFillOverride allowNoLineOverride">
    <cs:lnRef idx="0"/>
    <cs:fillRef idx="0"/>
    <cs:effectRef idx="0"/>
    <cs:fontRef idx="minor">
      <a:srgbClr val="000000"/>
    </cs:fontRef>
    <cs:spPr>
      <a:solidFill>
        <a:srgbClr val="FFFFFF"/>
      </a:solidFill>
      <a:ln w="9525" cap="flat" cmpd="sng" algn="ctr">
        <a:solidFill>
          <a:srgbClr val="D9D9D9">
            <a:lumMod val="15000"/>
            <a:lumOff val="85000"/>
          </a:srgbClr>
        </a:solidFill>
        <a:round/>
      </a:ln>
    </cs:spPr>
    <cs:defRPr sz="1000" kern="1200"/>
  </cs:chartArea>
  <cs:dataLabel>
    <cs:lnRef idx="0"/>
    <cs:fillRef idx="0"/>
    <cs:effectRef idx="0"/>
    <cs:fontRef idx="minor">
      <a:srgbClr val="404040">
        <a:lumMod val="75000"/>
        <a:lumOff val="25000"/>
      </a:srgbClr>
    </cs:fontRef>
    <cs:defRPr sz="900" kern="1200"/>
  </cs:dataLabel>
  <cs:dataLabelCallout>
    <cs:lnRef idx="0"/>
    <cs:fillRef idx="0"/>
    <cs:effectRef idx="0"/>
    <cs:fontRef idx="minor">
      <a:srgbClr val="595959">
        <a:lumMod val="65000"/>
        <a:lumOff val="35000"/>
      </a:srgbClr>
    </cs:fontRef>
    <cs:spPr>
      <a:solidFill>
        <a:srgbClr val="FFFFFF"/>
      </a:solidFill>
      <a:ln>
        <a:solidFill>
          <a:srgbClr val="BFBFBF">
            <a:lumMod val="25000"/>
            <a:lumOff val="75000"/>
          </a:srgb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rgbClr val="000000"/>
    </cs:fontRef>
  </cs:dataPoint>
  <cs:dataPoint3D>
    <cs:lnRef idx="0"/>
    <cs:fillRef idx="1">
      <cs:styleClr val="auto"/>
    </cs:fillRef>
    <cs:effectRef idx="0"/>
    <cs:fontRef idx="minor">
      <a:srgbClr val="000000"/>
    </cs:fontRef>
  </cs:dataPoint3D>
  <cs:dataPointLine>
    <cs:lnRef idx="0">
      <cs:styleClr val="auto"/>
    </cs:lnRef>
    <cs:fillRef idx="1"/>
    <cs:effectRef idx="0"/>
    <cs:fontRef idx="minor">
      <a:srgbClr val="000000"/>
    </cs:fontRef>
    <cs:spPr>
      <a:ln w="28575" cap="rnd">
        <a:solidFill>
          <a:srgbClr val="FFFFFF"/>
        </a:solidFill>
        <a:round/>
      </a:ln>
    </cs:spPr>
  </cs:dataPointLine>
  <cs:dataPointMarker>
    <cs:lnRef idx="0">
      <cs:styleClr val="auto"/>
    </cs:lnRef>
    <cs:fillRef idx="1">
      <cs:styleClr val="auto"/>
    </cs:fillRef>
    <cs:effectRef idx="0"/>
    <cs:fontRef idx="minor">
      <a:srgbClr val="000000"/>
    </cs:fontRef>
    <cs:spPr>
      <a:ln w="9525">
        <a:solidFill>
          <a:srgbClr val="FFFFFF"/>
        </a:solidFill>
      </a:ln>
    </cs:spPr>
  </cs:dataPointMarker>
  <cs:dataPointMarkerLayout symbol="circle" size="5"/>
  <cs:dataPointWireframe>
    <cs:lnRef idx="0">
      <cs:styleClr val="auto"/>
    </cs:lnRef>
    <cs:fillRef idx="1"/>
    <cs:effectRef idx="0"/>
    <cs:fontRef idx="minor">
      <a:srgbClr val="000000"/>
    </cs:fontRef>
    <cs:spPr>
      <a:ln w="9525" cap="rnd">
        <a:solidFill>
          <a:srgbClr val="FFFFFF"/>
        </a:solidFill>
        <a:round/>
      </a:ln>
    </cs:spPr>
  </cs:dataPointWireframe>
  <cs:dataTable>
    <cs:lnRef idx="0"/>
    <cs:fillRef idx="0"/>
    <cs:effectRef idx="0"/>
    <cs:fontRef idx="minor">
      <a:srgbClr val="595959">
        <a:lumMod val="65000"/>
        <a:lumOff val="35000"/>
      </a:srgbClr>
    </cs:fontRef>
    <cs:spPr>
      <a:noFill/>
      <a:ln w="9525" cap="flat" cmpd="sng" algn="ctr">
        <a:solidFill>
          <a:srgbClr val="D9D9D9">
            <a:lumMod val="15000"/>
            <a:lumOff val="85000"/>
          </a:srgbClr>
        </a:solidFill>
        <a:round/>
      </a:ln>
    </cs:spPr>
    <cs:defRPr sz="900" kern="1200"/>
  </cs:dataTable>
  <cs:downBar>
    <cs:lnRef idx="0"/>
    <cs:fillRef idx="0"/>
    <cs:effectRef idx="0"/>
    <cs:fontRef idx="minor">
      <a:srgbClr val="000000"/>
    </cs:fontRef>
    <cs:spPr>
      <a:solidFill>
        <a:srgbClr val="595959">
          <a:lumMod val="65000"/>
          <a:lumOff val="35000"/>
        </a:srgbClr>
      </a:solidFill>
      <a:ln w="9525">
        <a:solidFill>
          <a:srgbClr val="595959">
            <a:lumMod val="65000"/>
            <a:lumOff val="35000"/>
          </a:srgbClr>
        </a:solidFill>
      </a:ln>
    </cs:spPr>
  </cs:downBar>
  <cs:dropLine>
    <cs:lnRef idx="0"/>
    <cs:fillRef idx="0"/>
    <cs:effectRef idx="0"/>
    <cs:fontRef idx="minor">
      <a:srgbClr val="000000"/>
    </cs:fontRef>
    <cs:spPr>
      <a:ln w="9525" cap="flat" cmpd="sng" algn="ctr">
        <a:solidFill>
          <a:srgbClr val="A6A6A6">
            <a:lumMod val="35000"/>
            <a:lumOff val="65000"/>
          </a:srgbClr>
        </a:solidFill>
        <a:round/>
      </a:ln>
    </cs:spPr>
  </cs:dropLine>
  <cs:errorBar>
    <cs:lnRef idx="0"/>
    <cs:fillRef idx="0"/>
    <cs:effectRef idx="0"/>
    <cs:fontRef idx="minor">
      <a:srgbClr val="000000"/>
    </cs:fontRef>
    <cs:spPr>
      <a:ln w="9525" cap="flat" cmpd="sng" algn="ctr">
        <a:solidFill>
          <a:srgbClr val="595959">
            <a:lumMod val="65000"/>
            <a:lumOff val="35000"/>
          </a:srgbClr>
        </a:solidFill>
        <a:round/>
      </a:ln>
    </cs:spPr>
  </cs:errorBar>
  <cs:floor>
    <cs:lnRef idx="0"/>
    <cs:fillRef idx="0"/>
    <cs:effectRef idx="0"/>
    <cs:fontRef idx="minor">
      <a:srgbClr val="000000"/>
    </cs:fontRef>
    <cs:spPr>
      <a:noFill/>
      <a:ln>
        <a:noFill/>
      </a:ln>
    </cs:spPr>
  </cs:floor>
  <cs:gridlineMajor>
    <cs:lnRef idx="0"/>
    <cs:fillRef idx="0"/>
    <cs:effectRef idx="0"/>
    <cs:fontRef idx="minor">
      <a:srgbClr val="000000"/>
    </cs:fontRef>
    <cs:spPr>
      <a:ln w="9525" cap="flat" cmpd="sng" algn="ctr">
        <a:solidFill>
          <a:srgbClr val="D9D9D9">
            <a:lumMod val="15000"/>
            <a:lumOff val="85000"/>
          </a:srgbClr>
        </a:solidFill>
        <a:round/>
      </a:ln>
    </cs:spPr>
  </cs:gridlineMajor>
  <cs:gridlineMinor>
    <cs:lnRef idx="0"/>
    <cs:fillRef idx="0"/>
    <cs:effectRef idx="0"/>
    <cs:fontRef idx="minor">
      <a:srgbClr val="000000"/>
    </cs:fontRef>
    <cs:spPr>
      <a:ln w="9525" cap="flat" cmpd="sng" algn="ctr">
        <a:solidFill>
          <a:srgbClr val="F2F2F2">
            <a:lumMod val="5000"/>
            <a:lumOff val="95000"/>
          </a:srgbClr>
        </a:solidFill>
        <a:round/>
      </a:ln>
    </cs:spPr>
  </cs:gridlineMinor>
  <cs:hiLoLine>
    <cs:lnRef idx="0"/>
    <cs:fillRef idx="0"/>
    <cs:effectRef idx="0"/>
    <cs:fontRef idx="minor">
      <a:srgbClr val="000000"/>
    </cs:fontRef>
    <cs:spPr>
      <a:ln w="9525" cap="flat" cmpd="sng" algn="ctr">
        <a:solidFill>
          <a:srgbClr val="404040">
            <a:lumMod val="75000"/>
            <a:lumOff val="25000"/>
          </a:srgbClr>
        </a:solidFill>
        <a:round/>
      </a:ln>
    </cs:spPr>
  </cs:hiLoLine>
  <cs:leaderLine>
    <cs:lnRef idx="0"/>
    <cs:fillRef idx="0"/>
    <cs:effectRef idx="0"/>
    <cs:fontRef idx="minor">
      <a:srgbClr val="000000"/>
    </cs:fontRef>
    <cs:spPr>
      <a:ln w="9525" cap="flat" cmpd="sng" algn="ctr">
        <a:solidFill>
          <a:srgbClr val="A6A6A6">
            <a:lumMod val="35000"/>
            <a:lumOff val="65000"/>
          </a:srgbClr>
        </a:solidFill>
        <a:round/>
      </a:ln>
    </cs:spPr>
  </cs:leaderLine>
  <cs:legend>
    <cs:lnRef idx="0"/>
    <cs:fillRef idx="0"/>
    <cs:effectRef idx="0"/>
    <cs:fontRef idx="minor">
      <a:srgbClr val="595959">
        <a:lumMod val="65000"/>
        <a:lumOff val="35000"/>
      </a:srgbClr>
    </cs:fontRef>
    <cs:defRPr sz="900" kern="1200"/>
  </cs:legend>
  <cs:plotArea mods="allowNoFillOverride allowNoLineOverride">
    <cs:lnRef idx="0"/>
    <cs:fillRef idx="0"/>
    <cs:effectRef idx="0"/>
    <cs:fontRef idx="minor">
      <a:srgbClr val="000000"/>
    </cs:fontRef>
  </cs:plotArea>
  <cs:plotArea3D mods="allowNoFillOverride allowNoLineOverride">
    <cs:lnRef idx="0"/>
    <cs:fillRef idx="0"/>
    <cs:effectRef idx="0"/>
    <cs:fontRef idx="minor">
      <a:srgbClr val="000000"/>
    </cs:fontRef>
  </cs:plotArea3D>
  <cs:seriesAxis>
    <cs:lnRef idx="0"/>
    <cs:fillRef idx="0"/>
    <cs:effectRef idx="0"/>
    <cs:fontRef idx="minor">
      <a:srgbClr val="595959">
        <a:lumMod val="65000"/>
        <a:lumOff val="35000"/>
      </a:srgbClr>
    </cs:fontRef>
    <cs:defRPr sz="900" kern="1200"/>
  </cs:seriesAxis>
  <cs:seriesLine>
    <cs:lnRef idx="0"/>
    <cs:fillRef idx="0"/>
    <cs:effectRef idx="0"/>
    <cs:fontRef idx="minor">
      <a:srgbClr val="000000"/>
    </cs:fontRef>
    <cs:spPr>
      <a:ln w="9525" cap="flat" cmpd="sng" algn="ctr">
        <a:solidFill>
          <a:srgbClr val="A6A6A6">
            <a:lumMod val="35000"/>
            <a:lumOff val="65000"/>
          </a:srgbClr>
        </a:solidFill>
        <a:round/>
      </a:ln>
    </cs:spPr>
  </cs:seriesLine>
  <cs:title>
    <cs:lnRef idx="0"/>
    <cs:fillRef idx="0"/>
    <cs:effectRef idx="0"/>
    <cs:fontRef idx="minor">
      <a:srgbClr val="595959">
        <a:lumMod val="65000"/>
        <a:lumOff val="35000"/>
      </a:srgbClr>
    </cs:fontRef>
    <cs:defRPr sz="1400" b="0" kern="1200" spc="0" baseline="0"/>
  </cs:title>
  <cs:trendline>
    <cs:lnRef idx="0">
      <cs:styleClr val="auto"/>
    </cs:lnRef>
    <cs:fillRef idx="0"/>
    <cs:effectRef idx="0"/>
    <cs:fontRef idx="minor">
      <a:srgbClr val="000000"/>
    </cs:fontRef>
    <cs:spPr>
      <a:ln w="19050" cap="rnd">
        <a:solidFill>
          <a:srgbClr val="FFFFFF"/>
        </a:solidFill>
        <a:prstDash val="sysDot"/>
      </a:ln>
    </cs:spPr>
  </cs:trendline>
  <cs:trendlineLabel>
    <cs:lnRef idx="0"/>
    <cs:fillRef idx="0"/>
    <cs:effectRef idx="0"/>
    <cs:fontRef idx="minor">
      <a:srgbClr val="595959">
        <a:lumMod val="65000"/>
        <a:lumOff val="35000"/>
      </a:srgbClr>
    </cs:fontRef>
    <cs:defRPr sz="900" kern="1200"/>
  </cs:trendlineLabel>
  <cs:upBar>
    <cs:lnRef idx="0"/>
    <cs:fillRef idx="0"/>
    <cs:effectRef idx="0"/>
    <cs:fontRef idx="minor">
      <a:srgbClr val="000000"/>
    </cs:fontRef>
    <cs:spPr>
      <a:solidFill>
        <a:srgbClr val="FFFFFF"/>
      </a:solidFill>
      <a:ln w="9525">
        <a:solidFill>
          <a:srgbClr val="D9D9D9">
            <a:lumMod val="15000"/>
            <a:lumOff val="85000"/>
          </a:srgbClr>
        </a:solidFill>
      </a:ln>
    </cs:spPr>
  </cs:upBar>
  <cs:valueAxis>
    <cs:lnRef idx="0"/>
    <cs:fillRef idx="0"/>
    <cs:effectRef idx="0"/>
    <cs:fontRef idx="minor">
      <a:srgbClr val="595959">
        <a:lumMod val="65000"/>
        <a:lumOff val="35000"/>
      </a:srgbClr>
    </cs:fontRef>
    <cs:defRPr sz="900" kern="1200"/>
  </cs:valueAxis>
  <cs:wall>
    <cs:lnRef idx="0"/>
    <cs:fillRef idx="0"/>
    <cs:effectRef idx="0"/>
    <cs:fontRef idx="minor">
      <a:srgbClr val="000000"/>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rgbClr val="595959">
        <a:lumMod val="65000"/>
        <a:lumOff val="35000"/>
      </a:srgbClr>
    </cs:fontRef>
    <cs:defRPr sz="1000" kern="1200"/>
  </cs:axisTitle>
  <cs:categoryAxis>
    <cs:lnRef idx="0"/>
    <cs:fillRef idx="0"/>
    <cs:effectRef idx="0"/>
    <cs:fontRef idx="minor">
      <a:srgbClr val="595959">
        <a:lumMod val="65000"/>
        <a:lumOff val="35000"/>
      </a:srgbClr>
    </cs:fontRef>
    <cs:spPr>
      <a:ln w="9525" cap="flat" cmpd="sng" algn="ctr">
        <a:solidFill>
          <a:srgbClr val="D9D9D9">
            <a:lumMod val="15000"/>
            <a:lumOff val="85000"/>
          </a:srgbClr>
        </a:solidFill>
        <a:round/>
      </a:ln>
    </cs:spPr>
    <cs:defRPr sz="900" kern="1200"/>
  </cs:categoryAxis>
  <cs:chartArea mods="allowNoFillOverride allowNoLineOverride">
    <cs:lnRef idx="0"/>
    <cs:fillRef idx="0"/>
    <cs:effectRef idx="0"/>
    <cs:fontRef idx="minor">
      <a:srgbClr val="000000"/>
    </cs:fontRef>
    <cs:spPr>
      <a:solidFill>
        <a:srgbClr val="FFFFFF"/>
      </a:solidFill>
      <a:ln w="9525" cap="flat" cmpd="sng" algn="ctr">
        <a:solidFill>
          <a:srgbClr val="D9D9D9">
            <a:lumMod val="15000"/>
            <a:lumOff val="85000"/>
          </a:srgbClr>
        </a:solidFill>
        <a:round/>
      </a:ln>
    </cs:spPr>
    <cs:defRPr sz="1000" kern="1200"/>
  </cs:chartArea>
  <cs:dataLabel>
    <cs:lnRef idx="0"/>
    <cs:fillRef idx="0"/>
    <cs:effectRef idx="0"/>
    <cs:fontRef idx="minor">
      <a:srgbClr val="404040">
        <a:lumMod val="75000"/>
        <a:lumOff val="25000"/>
      </a:srgbClr>
    </cs:fontRef>
    <cs:defRPr sz="900" kern="1200"/>
  </cs:dataLabel>
  <cs:dataLabelCallout>
    <cs:lnRef idx="0"/>
    <cs:fillRef idx="0"/>
    <cs:effectRef idx="0"/>
    <cs:fontRef idx="minor">
      <a:srgbClr val="595959">
        <a:lumMod val="65000"/>
        <a:lumOff val="35000"/>
      </a:srgbClr>
    </cs:fontRef>
    <cs:spPr>
      <a:solidFill>
        <a:srgbClr val="FFFFFF"/>
      </a:solidFill>
      <a:ln>
        <a:solidFill>
          <a:srgbClr val="BFBFBF">
            <a:lumMod val="25000"/>
            <a:lumOff val="75000"/>
          </a:srgb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rgbClr val="000000"/>
    </cs:fontRef>
  </cs:dataPoint>
  <cs:dataPoint3D>
    <cs:lnRef idx="0"/>
    <cs:fillRef idx="1">
      <cs:styleClr val="auto"/>
    </cs:fillRef>
    <cs:effectRef idx="0"/>
    <cs:fontRef idx="minor">
      <a:srgbClr val="000000"/>
    </cs:fontRef>
  </cs:dataPoint3D>
  <cs:dataPointLine>
    <cs:lnRef idx="0">
      <cs:styleClr val="auto"/>
    </cs:lnRef>
    <cs:fillRef idx="1"/>
    <cs:effectRef idx="0"/>
    <cs:fontRef idx="minor">
      <a:srgbClr val="000000"/>
    </cs:fontRef>
    <cs:spPr>
      <a:ln w="28575" cap="rnd">
        <a:solidFill>
          <a:srgbClr val="FFFFFF"/>
        </a:solidFill>
        <a:round/>
      </a:ln>
    </cs:spPr>
  </cs:dataPointLine>
  <cs:dataPointMarker>
    <cs:lnRef idx="0">
      <cs:styleClr val="auto"/>
    </cs:lnRef>
    <cs:fillRef idx="1">
      <cs:styleClr val="auto"/>
    </cs:fillRef>
    <cs:effectRef idx="0"/>
    <cs:fontRef idx="minor">
      <a:srgbClr val="000000"/>
    </cs:fontRef>
    <cs:spPr>
      <a:ln w="9525">
        <a:solidFill>
          <a:srgbClr val="FFFFFF"/>
        </a:solidFill>
      </a:ln>
    </cs:spPr>
  </cs:dataPointMarker>
  <cs:dataPointMarkerLayout symbol="circle" size="5"/>
  <cs:dataPointWireframe>
    <cs:lnRef idx="0">
      <cs:styleClr val="auto"/>
    </cs:lnRef>
    <cs:fillRef idx="1"/>
    <cs:effectRef idx="0"/>
    <cs:fontRef idx="minor">
      <a:srgbClr val="000000"/>
    </cs:fontRef>
    <cs:spPr>
      <a:ln w="9525" cap="rnd">
        <a:solidFill>
          <a:srgbClr val="FFFFFF"/>
        </a:solidFill>
        <a:round/>
      </a:ln>
    </cs:spPr>
  </cs:dataPointWireframe>
  <cs:dataTable>
    <cs:lnRef idx="0"/>
    <cs:fillRef idx="0"/>
    <cs:effectRef idx="0"/>
    <cs:fontRef idx="minor">
      <a:srgbClr val="595959">
        <a:lumMod val="65000"/>
        <a:lumOff val="35000"/>
      </a:srgbClr>
    </cs:fontRef>
    <cs:spPr>
      <a:noFill/>
      <a:ln w="9525" cap="flat" cmpd="sng" algn="ctr">
        <a:solidFill>
          <a:srgbClr val="D9D9D9">
            <a:lumMod val="15000"/>
            <a:lumOff val="85000"/>
          </a:srgbClr>
        </a:solidFill>
        <a:round/>
      </a:ln>
    </cs:spPr>
    <cs:defRPr sz="900" kern="1200"/>
  </cs:dataTable>
  <cs:downBar>
    <cs:lnRef idx="0"/>
    <cs:fillRef idx="0"/>
    <cs:effectRef idx="0"/>
    <cs:fontRef idx="minor">
      <a:srgbClr val="000000"/>
    </cs:fontRef>
    <cs:spPr>
      <a:solidFill>
        <a:srgbClr val="595959">
          <a:lumMod val="65000"/>
          <a:lumOff val="35000"/>
        </a:srgbClr>
      </a:solidFill>
      <a:ln w="9525">
        <a:solidFill>
          <a:srgbClr val="595959">
            <a:lumMod val="65000"/>
            <a:lumOff val="35000"/>
          </a:srgbClr>
        </a:solidFill>
      </a:ln>
    </cs:spPr>
  </cs:downBar>
  <cs:dropLine>
    <cs:lnRef idx="0"/>
    <cs:fillRef idx="0"/>
    <cs:effectRef idx="0"/>
    <cs:fontRef idx="minor">
      <a:srgbClr val="000000"/>
    </cs:fontRef>
    <cs:spPr>
      <a:ln w="9525" cap="flat" cmpd="sng" algn="ctr">
        <a:solidFill>
          <a:srgbClr val="A6A6A6">
            <a:lumMod val="35000"/>
            <a:lumOff val="65000"/>
          </a:srgbClr>
        </a:solidFill>
        <a:round/>
      </a:ln>
    </cs:spPr>
  </cs:dropLine>
  <cs:errorBar>
    <cs:lnRef idx="0"/>
    <cs:fillRef idx="0"/>
    <cs:effectRef idx="0"/>
    <cs:fontRef idx="minor">
      <a:srgbClr val="000000"/>
    </cs:fontRef>
    <cs:spPr>
      <a:ln w="9525" cap="flat" cmpd="sng" algn="ctr">
        <a:solidFill>
          <a:srgbClr val="595959">
            <a:lumMod val="65000"/>
            <a:lumOff val="35000"/>
          </a:srgbClr>
        </a:solidFill>
        <a:round/>
      </a:ln>
    </cs:spPr>
  </cs:errorBar>
  <cs:floor>
    <cs:lnRef idx="0"/>
    <cs:fillRef idx="0"/>
    <cs:effectRef idx="0"/>
    <cs:fontRef idx="minor">
      <a:srgbClr val="000000"/>
    </cs:fontRef>
    <cs:spPr>
      <a:noFill/>
      <a:ln>
        <a:noFill/>
      </a:ln>
    </cs:spPr>
  </cs:floor>
  <cs:gridlineMajor>
    <cs:lnRef idx="0"/>
    <cs:fillRef idx="0"/>
    <cs:effectRef idx="0"/>
    <cs:fontRef idx="minor">
      <a:srgbClr val="000000"/>
    </cs:fontRef>
    <cs:spPr>
      <a:ln w="9525" cap="flat" cmpd="sng" algn="ctr">
        <a:solidFill>
          <a:srgbClr val="D9D9D9">
            <a:lumMod val="15000"/>
            <a:lumOff val="85000"/>
          </a:srgbClr>
        </a:solidFill>
        <a:round/>
      </a:ln>
    </cs:spPr>
  </cs:gridlineMajor>
  <cs:gridlineMinor>
    <cs:lnRef idx="0"/>
    <cs:fillRef idx="0"/>
    <cs:effectRef idx="0"/>
    <cs:fontRef idx="minor">
      <a:srgbClr val="000000"/>
    </cs:fontRef>
    <cs:spPr>
      <a:ln w="9525" cap="flat" cmpd="sng" algn="ctr">
        <a:solidFill>
          <a:srgbClr val="F2F2F2">
            <a:lumMod val="5000"/>
            <a:lumOff val="95000"/>
          </a:srgbClr>
        </a:solidFill>
        <a:round/>
      </a:ln>
    </cs:spPr>
  </cs:gridlineMinor>
  <cs:hiLoLine>
    <cs:lnRef idx="0"/>
    <cs:fillRef idx="0"/>
    <cs:effectRef idx="0"/>
    <cs:fontRef idx="minor">
      <a:srgbClr val="000000"/>
    </cs:fontRef>
    <cs:spPr>
      <a:ln w="9525" cap="flat" cmpd="sng" algn="ctr">
        <a:solidFill>
          <a:srgbClr val="404040">
            <a:lumMod val="75000"/>
            <a:lumOff val="25000"/>
          </a:srgbClr>
        </a:solidFill>
        <a:round/>
      </a:ln>
    </cs:spPr>
  </cs:hiLoLine>
  <cs:leaderLine>
    <cs:lnRef idx="0"/>
    <cs:fillRef idx="0"/>
    <cs:effectRef idx="0"/>
    <cs:fontRef idx="minor">
      <a:srgbClr val="000000"/>
    </cs:fontRef>
    <cs:spPr>
      <a:ln w="9525" cap="flat" cmpd="sng" algn="ctr">
        <a:solidFill>
          <a:srgbClr val="A6A6A6">
            <a:lumMod val="35000"/>
            <a:lumOff val="65000"/>
          </a:srgbClr>
        </a:solidFill>
        <a:round/>
      </a:ln>
    </cs:spPr>
  </cs:leaderLine>
  <cs:legend>
    <cs:lnRef idx="0"/>
    <cs:fillRef idx="0"/>
    <cs:effectRef idx="0"/>
    <cs:fontRef idx="minor">
      <a:srgbClr val="595959">
        <a:lumMod val="65000"/>
        <a:lumOff val="35000"/>
      </a:srgbClr>
    </cs:fontRef>
    <cs:defRPr sz="900" kern="1200"/>
  </cs:legend>
  <cs:plotArea mods="allowNoFillOverride allowNoLineOverride">
    <cs:lnRef idx="0"/>
    <cs:fillRef idx="0"/>
    <cs:effectRef idx="0"/>
    <cs:fontRef idx="minor">
      <a:srgbClr val="000000"/>
    </cs:fontRef>
  </cs:plotArea>
  <cs:plotArea3D mods="allowNoFillOverride allowNoLineOverride">
    <cs:lnRef idx="0"/>
    <cs:fillRef idx="0"/>
    <cs:effectRef idx="0"/>
    <cs:fontRef idx="minor">
      <a:srgbClr val="000000"/>
    </cs:fontRef>
  </cs:plotArea3D>
  <cs:seriesAxis>
    <cs:lnRef idx="0"/>
    <cs:fillRef idx="0"/>
    <cs:effectRef idx="0"/>
    <cs:fontRef idx="minor">
      <a:srgbClr val="595959">
        <a:lumMod val="65000"/>
        <a:lumOff val="35000"/>
      </a:srgbClr>
    </cs:fontRef>
    <cs:defRPr sz="900" kern="1200"/>
  </cs:seriesAxis>
  <cs:seriesLine>
    <cs:lnRef idx="0"/>
    <cs:fillRef idx="0"/>
    <cs:effectRef idx="0"/>
    <cs:fontRef idx="minor">
      <a:srgbClr val="000000"/>
    </cs:fontRef>
    <cs:spPr>
      <a:ln w="9525" cap="flat" cmpd="sng" algn="ctr">
        <a:solidFill>
          <a:srgbClr val="A6A6A6">
            <a:lumMod val="35000"/>
            <a:lumOff val="65000"/>
          </a:srgbClr>
        </a:solidFill>
        <a:round/>
      </a:ln>
    </cs:spPr>
  </cs:seriesLine>
  <cs:title>
    <cs:lnRef idx="0"/>
    <cs:fillRef idx="0"/>
    <cs:effectRef idx="0"/>
    <cs:fontRef idx="minor">
      <a:srgbClr val="595959">
        <a:lumMod val="65000"/>
        <a:lumOff val="35000"/>
      </a:srgbClr>
    </cs:fontRef>
    <cs:defRPr sz="1400" b="0" kern="1200" spc="0" baseline="0"/>
  </cs:title>
  <cs:trendline>
    <cs:lnRef idx="0">
      <cs:styleClr val="auto"/>
    </cs:lnRef>
    <cs:fillRef idx="0"/>
    <cs:effectRef idx="0"/>
    <cs:fontRef idx="minor">
      <a:srgbClr val="000000"/>
    </cs:fontRef>
    <cs:spPr>
      <a:ln w="19050" cap="rnd">
        <a:solidFill>
          <a:srgbClr val="FFFFFF"/>
        </a:solidFill>
        <a:prstDash val="sysDot"/>
      </a:ln>
    </cs:spPr>
  </cs:trendline>
  <cs:trendlineLabel>
    <cs:lnRef idx="0"/>
    <cs:fillRef idx="0"/>
    <cs:effectRef idx="0"/>
    <cs:fontRef idx="minor">
      <a:srgbClr val="595959">
        <a:lumMod val="65000"/>
        <a:lumOff val="35000"/>
      </a:srgbClr>
    </cs:fontRef>
    <cs:defRPr sz="900" kern="1200"/>
  </cs:trendlineLabel>
  <cs:upBar>
    <cs:lnRef idx="0"/>
    <cs:fillRef idx="0"/>
    <cs:effectRef idx="0"/>
    <cs:fontRef idx="minor">
      <a:srgbClr val="000000"/>
    </cs:fontRef>
    <cs:spPr>
      <a:solidFill>
        <a:srgbClr val="FFFFFF"/>
      </a:solidFill>
      <a:ln w="9525">
        <a:solidFill>
          <a:srgbClr val="D9D9D9">
            <a:lumMod val="15000"/>
            <a:lumOff val="85000"/>
          </a:srgbClr>
        </a:solidFill>
      </a:ln>
    </cs:spPr>
  </cs:upBar>
  <cs:valueAxis>
    <cs:lnRef idx="0"/>
    <cs:fillRef idx="0"/>
    <cs:effectRef idx="0"/>
    <cs:fontRef idx="minor">
      <a:srgbClr val="595959">
        <a:lumMod val="65000"/>
        <a:lumOff val="35000"/>
      </a:srgbClr>
    </cs:fontRef>
    <cs:defRPr sz="900" kern="1200"/>
  </cs:valueAxis>
  <cs:wall>
    <cs:lnRef idx="0"/>
    <cs:fillRef idx="0"/>
    <cs:effectRef idx="0"/>
    <cs:fontRef idx="minor">
      <a:srgbClr val="000000"/>
    </cs:fontRef>
    <cs:spPr>
      <a:noFill/>
      <a:ln>
        <a:noFill/>
      </a:ln>
    </cs:spPr>
  </cs:wall>
</cs:chartStyle>
</file>

<file path=word/charts/style5.xml><?xml version="1.0" encoding="utf-8"?>
<cs:chartStyle xmlns:cs="http://schemas.microsoft.com/office/drawing/2012/chartStyle" xmlns:a="http://schemas.openxmlformats.org/drawingml/2006/main" id="262">
  <cs:axisTitle>
    <cs:lnRef idx="0"/>
    <cs:fillRef idx="0"/>
    <cs:effectRef idx="0"/>
    <cs:fontRef idx="minor">
      <a:srgbClr val="595959">
        <a:lumMod val="65000"/>
        <a:lumOff val="35000"/>
      </a:srgbClr>
    </cs:fontRef>
    <cs:defRPr sz="1000" kern="1200"/>
  </cs:axisTitle>
  <cs:categoryAxis>
    <cs:lnRef idx="0"/>
    <cs:fillRef idx="0"/>
    <cs:effectRef idx="0"/>
    <cs:fontRef idx="minor">
      <a:srgbClr val="595959">
        <a:lumMod val="65000"/>
        <a:lumOff val="35000"/>
      </a:srgbClr>
    </cs:fontRef>
    <cs:spPr>
      <a:ln w="9525" cap="flat" cmpd="sng" algn="ctr">
        <a:solidFill>
          <a:srgbClr val="D9D9D9">
            <a:lumMod val="15000"/>
            <a:lumOff val="85000"/>
          </a:srgbClr>
        </a:solidFill>
        <a:round/>
      </a:ln>
    </cs:spPr>
    <cs:defRPr sz="900" kern="1200"/>
  </cs:categoryAxis>
  <cs:chartArea mods="allowNoFillOverride allowNoLineOverride">
    <cs:lnRef idx="0"/>
    <cs:fillRef idx="0"/>
    <cs:effectRef idx="0"/>
    <cs:fontRef idx="minor">
      <a:srgbClr val="000000"/>
    </cs:fontRef>
    <cs:spPr>
      <a:solidFill>
        <a:srgbClr val="FFFFFF"/>
      </a:solidFill>
      <a:ln w="9525" cap="flat" cmpd="sng" algn="ctr">
        <a:solidFill>
          <a:srgbClr val="D9D9D9">
            <a:lumMod val="15000"/>
            <a:lumOff val="85000"/>
          </a:srgbClr>
        </a:solidFill>
        <a:round/>
      </a:ln>
    </cs:spPr>
    <cs:defRPr sz="900" kern="1200"/>
  </cs:chartArea>
  <cs:dataLabel>
    <cs:lnRef idx="0"/>
    <cs:fillRef idx="0"/>
    <cs:effectRef idx="0"/>
    <cs:fontRef idx="minor">
      <a:srgbClr val="404040">
        <a:lumMod val="75000"/>
        <a:lumOff val="25000"/>
      </a:srgbClr>
    </cs:fontRef>
    <cs:defRPr sz="900" kern="1200"/>
  </cs:dataLabel>
  <cs:dataLabelCallout>
    <cs:lnRef idx="0"/>
    <cs:fillRef idx="0"/>
    <cs:effectRef idx="0"/>
    <cs:fontRef idx="minor">
      <a:srgbClr val="595959">
        <a:lumMod val="65000"/>
        <a:lumOff val="35000"/>
      </a:srgbClr>
    </cs:fontRef>
    <cs:spPr>
      <a:solidFill>
        <a:srgbClr val="FFFFFF"/>
      </a:solidFill>
      <a:ln>
        <a:solidFill>
          <a:srgbClr val="BFBFBF">
            <a:lumMod val="25000"/>
            <a:lumOff val="75000"/>
          </a:srgb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rgbClr val="000000"/>
    </cs:fontRef>
    <cs:spPr>
      <a:ln w="19050">
        <a:solidFill>
          <a:srgbClr val="FFFFFF"/>
        </a:solidFill>
      </a:ln>
    </cs:spPr>
  </cs:dataPoint>
  <cs:dataPoint3D>
    <cs:lnRef idx="0"/>
    <cs:fillRef idx="1">
      <cs:styleClr val="auto"/>
    </cs:fillRef>
    <cs:effectRef idx="0"/>
    <cs:fontRef idx="minor">
      <a:srgbClr val="000000"/>
    </cs:fontRef>
    <cs:spPr>
      <a:ln w="25400">
        <a:solidFill>
          <a:srgbClr val="FFFFFF"/>
        </a:solidFill>
      </a:ln>
    </cs:spPr>
  </cs:dataPoint3D>
  <cs:dataPointLine>
    <cs:lnRef idx="0">
      <cs:styleClr val="auto"/>
    </cs:lnRef>
    <cs:fillRef idx="0"/>
    <cs:effectRef idx="0"/>
    <cs:fontRef idx="minor">
      <a:srgbClr val="000000"/>
    </cs:fontRef>
    <cs:spPr>
      <a:ln w="28575" cap="rnd">
        <a:solidFill>
          <a:srgbClr val="FFFFFF"/>
        </a:solidFill>
        <a:round/>
      </a:ln>
    </cs:spPr>
  </cs:dataPointLine>
  <cs:dataPointMarker>
    <cs:lnRef idx="0">
      <cs:styleClr val="auto"/>
    </cs:lnRef>
    <cs:fillRef idx="1">
      <cs:styleClr val="auto"/>
    </cs:fillRef>
    <cs:effectRef idx="0"/>
    <cs:fontRef idx="minor">
      <a:srgbClr val="000000"/>
    </cs:fontRef>
    <cs:spPr>
      <a:ln w="9525">
        <a:solidFill>
          <a:srgbClr val="FFFFFF"/>
        </a:solidFill>
      </a:ln>
    </cs:spPr>
  </cs:dataPointMarker>
  <cs:dataPointMarkerLayout symbol="circle" size="5"/>
  <cs:dataPointWireframe>
    <cs:lnRef idx="0">
      <cs:styleClr val="auto"/>
    </cs:lnRef>
    <cs:fillRef idx="0"/>
    <cs:effectRef idx="0"/>
    <cs:fontRef idx="minor">
      <a:srgbClr val="000000"/>
    </cs:fontRef>
    <cs:spPr>
      <a:ln w="9525" cap="rnd">
        <a:solidFill>
          <a:srgbClr val="FFFFFF"/>
        </a:solidFill>
        <a:round/>
      </a:ln>
    </cs:spPr>
  </cs:dataPointWireframe>
  <cs:dataTable>
    <cs:lnRef idx="0"/>
    <cs:fillRef idx="0"/>
    <cs:effectRef idx="0"/>
    <cs:fontRef idx="minor">
      <a:srgbClr val="595959">
        <a:lumMod val="65000"/>
        <a:lumOff val="35000"/>
      </a:srgbClr>
    </cs:fontRef>
    <cs:spPr>
      <a:noFill/>
      <a:ln w="9525" cap="flat" cmpd="sng" algn="ctr">
        <a:solidFill>
          <a:srgbClr val="D9D9D9">
            <a:lumMod val="15000"/>
            <a:lumOff val="85000"/>
          </a:srgbClr>
        </a:solidFill>
        <a:round/>
      </a:ln>
    </cs:spPr>
    <cs:defRPr sz="900" kern="1200"/>
  </cs:dataTable>
  <cs:downBar>
    <cs:lnRef idx="0"/>
    <cs:fillRef idx="0"/>
    <cs:effectRef idx="0"/>
    <cs:fontRef idx="minor">
      <a:srgbClr val="000000"/>
    </cs:fontRef>
    <cs:spPr>
      <a:solidFill>
        <a:srgbClr val="404040">
          <a:lumMod val="75000"/>
          <a:lumOff val="25000"/>
        </a:srgbClr>
      </a:solidFill>
      <a:ln w="9525" cap="flat" cmpd="sng" algn="ctr">
        <a:solidFill>
          <a:srgbClr val="595959">
            <a:lumMod val="65000"/>
            <a:lumOff val="35000"/>
          </a:srgbClr>
        </a:solidFill>
        <a:round/>
      </a:ln>
    </cs:spPr>
  </cs:downBar>
  <cs:dropLine>
    <cs:lnRef idx="0"/>
    <cs:fillRef idx="0"/>
    <cs:effectRef idx="0"/>
    <cs:fontRef idx="minor">
      <a:srgbClr val="000000"/>
    </cs:fontRef>
    <cs:spPr>
      <a:ln w="9525" cap="flat" cmpd="sng" algn="ctr">
        <a:solidFill>
          <a:srgbClr val="A6A6A6">
            <a:lumMod val="35000"/>
            <a:lumOff val="65000"/>
          </a:srgbClr>
        </a:solidFill>
        <a:round/>
      </a:ln>
    </cs:spPr>
  </cs:dropLine>
  <cs:errorBar>
    <cs:lnRef idx="0"/>
    <cs:fillRef idx="0"/>
    <cs:effectRef idx="0"/>
    <cs:fontRef idx="minor">
      <a:srgbClr val="000000"/>
    </cs:fontRef>
    <cs:spPr>
      <a:ln w="9525" cap="flat" cmpd="sng" algn="ctr">
        <a:solidFill>
          <a:srgbClr val="595959">
            <a:lumMod val="65000"/>
            <a:lumOff val="35000"/>
          </a:srgbClr>
        </a:solidFill>
        <a:round/>
      </a:ln>
    </cs:spPr>
  </cs:errorBar>
  <cs:floor>
    <cs:lnRef idx="0"/>
    <cs:fillRef idx="0"/>
    <cs:effectRef idx="0"/>
    <cs:fontRef idx="minor">
      <a:srgbClr val="000000"/>
    </cs:fontRef>
    <cs:spPr>
      <a:noFill/>
      <a:ln>
        <a:noFill/>
      </a:ln>
    </cs:spPr>
  </cs:floor>
  <cs:gridlineMajor>
    <cs:lnRef idx="0"/>
    <cs:fillRef idx="0"/>
    <cs:effectRef idx="0"/>
    <cs:fontRef idx="minor">
      <a:srgbClr val="000000"/>
    </cs:fontRef>
    <cs:spPr>
      <a:ln w="9525" cap="flat" cmpd="sng" algn="ctr">
        <a:solidFill>
          <a:srgbClr val="D9D9D9">
            <a:lumMod val="15000"/>
            <a:lumOff val="85000"/>
          </a:srgbClr>
        </a:solidFill>
        <a:round/>
      </a:ln>
    </cs:spPr>
  </cs:gridlineMajor>
  <cs:gridlineMinor>
    <cs:lnRef idx="0"/>
    <cs:fillRef idx="0"/>
    <cs:effectRef idx="0"/>
    <cs:fontRef idx="minor">
      <a:srgbClr val="000000"/>
    </cs:fontRef>
    <cs:spPr>
      <a:ln w="9525" cap="flat" cmpd="sng" algn="ctr">
        <a:solidFill>
          <a:srgbClr val="F2F2F2">
            <a:lumMod val="5000"/>
            <a:lumOff val="95000"/>
          </a:srgbClr>
        </a:solidFill>
        <a:round/>
      </a:ln>
    </cs:spPr>
  </cs:gridlineMinor>
  <cs:hiLoLine>
    <cs:lnRef idx="0"/>
    <cs:fillRef idx="0"/>
    <cs:effectRef idx="0"/>
    <cs:fontRef idx="minor">
      <a:srgbClr val="000000"/>
    </cs:fontRef>
    <cs:spPr>
      <a:ln w="9525" cap="flat" cmpd="sng" algn="ctr">
        <a:solidFill>
          <a:srgbClr val="808080">
            <a:lumMod val="50000"/>
            <a:lumOff val="50000"/>
          </a:srgbClr>
        </a:solidFill>
        <a:round/>
      </a:ln>
    </cs:spPr>
  </cs:hiLoLine>
  <cs:leaderLine>
    <cs:lnRef idx="0"/>
    <cs:fillRef idx="0"/>
    <cs:effectRef idx="0"/>
    <cs:fontRef idx="minor">
      <a:srgbClr val="000000"/>
    </cs:fontRef>
    <cs:spPr>
      <a:ln w="9525" cap="flat" cmpd="sng" algn="ctr">
        <a:solidFill>
          <a:srgbClr val="A6A6A6">
            <a:lumMod val="35000"/>
            <a:lumOff val="65000"/>
          </a:srgbClr>
        </a:solidFill>
        <a:round/>
      </a:ln>
    </cs:spPr>
  </cs:leaderLine>
  <cs:legend>
    <cs:lnRef idx="0"/>
    <cs:fillRef idx="0"/>
    <cs:effectRef idx="0"/>
    <cs:fontRef idx="minor">
      <a:srgbClr val="595959">
        <a:lumMod val="65000"/>
        <a:lumOff val="35000"/>
      </a:srgbClr>
    </cs:fontRef>
    <cs:defRPr sz="900" kern="1200"/>
  </cs:legend>
  <cs:plotArea mods="allowNoFillOverride allowNoLineOverride">
    <cs:lnRef idx="0"/>
    <cs:fillRef idx="0"/>
    <cs:effectRef idx="0"/>
    <cs:fontRef idx="minor">
      <a:srgbClr val="000000"/>
    </cs:fontRef>
  </cs:plotArea>
  <cs:plotArea3D mods="allowNoFillOverride allowNoLineOverride">
    <cs:lnRef idx="0"/>
    <cs:fillRef idx="0"/>
    <cs:effectRef idx="0"/>
    <cs:fontRef idx="minor">
      <a:srgbClr val="000000"/>
    </cs:fontRef>
  </cs:plotArea3D>
  <cs:seriesAxis>
    <cs:lnRef idx="0"/>
    <cs:fillRef idx="0"/>
    <cs:effectRef idx="0"/>
    <cs:fontRef idx="minor">
      <a:srgbClr val="595959">
        <a:lumMod val="65000"/>
        <a:lumOff val="35000"/>
      </a:srgbClr>
    </cs:fontRef>
    <cs:defRPr sz="900" kern="1200"/>
  </cs:seriesAxis>
  <cs:seriesLine>
    <cs:lnRef idx="0"/>
    <cs:fillRef idx="0"/>
    <cs:effectRef idx="0"/>
    <cs:fontRef idx="minor">
      <a:srgbClr val="000000"/>
    </cs:fontRef>
    <cs:spPr>
      <a:ln w="9525" cap="flat" cmpd="sng" algn="ctr">
        <a:solidFill>
          <a:srgbClr val="A6A6A6">
            <a:lumMod val="35000"/>
            <a:lumOff val="65000"/>
          </a:srgbClr>
        </a:solidFill>
        <a:round/>
      </a:ln>
    </cs:spPr>
  </cs:seriesLine>
  <cs:title>
    <cs:lnRef idx="0"/>
    <cs:fillRef idx="0"/>
    <cs:effectRef idx="0"/>
    <cs:fontRef idx="minor">
      <a:srgbClr val="595959">
        <a:lumMod val="65000"/>
        <a:lumOff val="35000"/>
      </a:srgbClr>
    </cs:fontRef>
    <cs:defRPr sz="1400" b="0" kern="1200" spc="0" baseline="0"/>
  </cs:title>
  <cs:trendline>
    <cs:lnRef idx="0">
      <cs:styleClr val="auto"/>
    </cs:lnRef>
    <cs:fillRef idx="0"/>
    <cs:effectRef idx="0"/>
    <cs:fontRef idx="minor">
      <a:srgbClr val="000000"/>
    </cs:fontRef>
    <cs:spPr>
      <a:ln w="19050" cap="rnd">
        <a:solidFill>
          <a:srgbClr val="FFFFFF"/>
        </a:solidFill>
        <a:prstDash val="sysDot"/>
      </a:ln>
    </cs:spPr>
  </cs:trendline>
  <cs:trendlineLabel>
    <cs:lnRef idx="0"/>
    <cs:fillRef idx="0"/>
    <cs:effectRef idx="0"/>
    <cs:fontRef idx="minor">
      <a:srgbClr val="595959">
        <a:lumMod val="65000"/>
        <a:lumOff val="35000"/>
      </a:srgbClr>
    </cs:fontRef>
    <cs:defRPr sz="900" kern="1200"/>
  </cs:trendlineLabel>
  <cs:upBar>
    <cs:lnRef idx="0"/>
    <cs:fillRef idx="0"/>
    <cs:effectRef idx="0"/>
    <cs:fontRef idx="minor">
      <a:srgbClr val="000000"/>
    </cs:fontRef>
    <cs:spPr>
      <a:solidFill>
        <a:srgbClr val="FFFFFF"/>
      </a:solidFill>
      <a:ln w="9525" cap="flat" cmpd="sng" algn="ctr">
        <a:solidFill>
          <a:srgbClr val="595959">
            <a:lumMod val="65000"/>
            <a:lumOff val="35000"/>
          </a:srgbClr>
        </a:solidFill>
        <a:round/>
      </a:ln>
    </cs:spPr>
  </cs:upBar>
  <cs:valueAxis>
    <cs:lnRef idx="0"/>
    <cs:fillRef idx="0"/>
    <cs:effectRef idx="0"/>
    <cs:fontRef idx="minor">
      <a:srgbClr val="595959">
        <a:lumMod val="65000"/>
        <a:lumOff val="35000"/>
      </a:srgbClr>
    </cs:fontRef>
    <cs:defRPr sz="900" kern="1200"/>
  </cs:valueAxis>
  <cs:wall>
    <cs:lnRef idx="0"/>
    <cs:fillRef idx="0"/>
    <cs:effectRef idx="0"/>
    <cs:fontRef idx="minor">
      <a:srgbClr val="000000"/>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38</Pages>
  <Words>2730</Words>
  <Characters>15565</Characters>
  <Lines>0</Lines>
  <Paragraphs>0</Paragraphs>
  <TotalTime>4</TotalTime>
  <ScaleCrop>false</ScaleCrop>
  <LinksUpToDate>false</LinksUpToDate>
  <CharactersWithSpaces>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2020-07-30T02:37:00Z</cp:lastPrinted>
  <dcterms:modified xsi:type="dcterms:W3CDTF">2021-06-18T09:03:55Z</dcterms:modified>
  <cp:revision>45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