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8480"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8480;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0528"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0528;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9504"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9504;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6432"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6432;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1552"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4928;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7456"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7456;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yellow"/>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yellow"/>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石家庄市鹿泉区科学技术协会</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p>
      <w:pPr>
        <w:jc w:val="center"/>
        <w:rPr>
          <w:rFonts w:ascii="黑体" w:hAnsi="黑体" w:eastAsia="黑体" w:cs="黑体"/>
          <w:sz w:val="56"/>
          <w:szCs w:val="7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ind w:firstLine="3360" w:firstLineChars="700"/>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4" w:type="first"/>
          <w:footerReference r:id="rId16" w:type="first"/>
          <w:headerReference r:id="rId13" w:type="default"/>
          <w:footerReference r:id="rId15"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257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257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32"/>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numPr>
          <w:ilvl w:val="0"/>
          <w:numId w:val="1"/>
        </w:numPr>
        <w:spacing w:before="0" w:after="0" w:line="580" w:lineRule="exact"/>
        <w:ind w:firstLine="640" w:firstLineChars="200"/>
        <w:jc w:val="left"/>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pPr>
        <w:widowControl/>
        <w:ind w:firstLine="640"/>
        <w:jc w:val="left"/>
        <w:rPr>
          <w:rFonts w:ascii="仿宋" w:hAnsi="仿宋" w:eastAsia="仿宋" w:cs="仿宋"/>
          <w:color w:val="000000"/>
          <w:kern w:val="1"/>
          <w:sz w:val="32"/>
          <w:szCs w:val="32"/>
        </w:rPr>
      </w:pPr>
      <w:r>
        <w:rPr>
          <w:rFonts w:ascii="仿宋" w:hAnsi="仿宋" w:eastAsia="仿宋" w:cs="仿宋"/>
          <w:color w:val="000000"/>
          <w:kern w:val="1"/>
          <w:sz w:val="32"/>
          <w:szCs w:val="32"/>
        </w:rPr>
        <w:t>1指导有关学会、协会、研究会及各企业科协、科协社会团体的科普工作，面向农民、社区居民、青少年、城镇劳动者、领导干部和公务员等重点人群，开展科技培训、科普惠农、科普益民等重点科普活动；开展科普日、科技周、减灾日、三下乡等系列科普活动；加强全民科学素质教育基地和科普教育基地建设，加强科普工作典型创建工作，加强科普设施建设，通过多种形式开展科普知识宣传活动。</w:t>
      </w:r>
    </w:p>
    <w:p>
      <w:pPr>
        <w:widowControl/>
        <w:ind w:firstLine="640"/>
        <w:jc w:val="left"/>
      </w:pPr>
      <w:r>
        <w:rPr>
          <w:rFonts w:ascii="仿宋" w:hAnsi="仿宋" w:eastAsia="仿宋" w:cs="仿宋"/>
          <w:color w:val="000000"/>
          <w:kern w:val="1"/>
          <w:sz w:val="32"/>
          <w:szCs w:val="32"/>
        </w:rPr>
        <w:t>2、开展反邪教、反对伪科学的活动。</w:t>
      </w:r>
    </w:p>
    <w:p>
      <w:pPr>
        <w:widowControl/>
        <w:ind w:firstLine="640"/>
        <w:jc w:val="left"/>
        <w:rPr>
          <w:rFonts w:hint="eastAsia" w:ascii="黑体" w:hAnsi="Calibri" w:eastAsia="黑体" w:cs="黑体"/>
          <w:kern w:val="0"/>
          <w:sz w:val="32"/>
          <w:szCs w:val="32"/>
        </w:rPr>
      </w:pPr>
      <w:r>
        <w:rPr>
          <w:rFonts w:ascii="仿宋" w:hAnsi="仿宋" w:eastAsia="仿宋" w:cs="仿宋"/>
          <w:color w:val="000000"/>
          <w:kern w:val="1"/>
          <w:sz w:val="32"/>
          <w:szCs w:val="32"/>
        </w:rPr>
        <w:t>3、发展我区同外界科学技术团体、科学技术工作者的交往和联系，改进运行机制：一是坚持民主办会的原则，认真做好服务工作。二是发挥优势，广泛调动有关学会的积极性，加强集成，形成整体合力，做好涉及全局的重要工作。三是完善建设科技工作者之家的各项举措，全心全意为科技工作者服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cs="ArialUnicodeMS" w:hAnsiTheme="minorHAnsi" w:eastAsiaTheme="minorEastAsia"/>
                <w:kern w:val="0"/>
                <w:sz w:val="28"/>
                <w:szCs w:val="28"/>
              </w:rPr>
              <w:t>鹿泉区科学技术协会</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cs="ArialUnicodeMS" w:hAnsiTheme="minorHAnsi" w:eastAsiaTheme="minorEastAsia"/>
                <w:kern w:val="0"/>
                <w:sz w:val="28"/>
                <w:szCs w:val="28"/>
              </w:rPr>
              <w:t>参公事业单位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cs="ArialUnicodeMS" w:hAnsiTheme="minorHAnsi" w:eastAsiaTheme="minorEastAsia"/>
                <w:kern w:val="0"/>
                <w:sz w:val="28"/>
                <w:szCs w:val="28"/>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9" w:type="first"/>
          <w:headerReference r:id="rId17" w:type="default"/>
          <w:footerReference r:id="rId18"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20"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36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36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both"/>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667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667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191.71</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 xml:space="preserve">36.83 </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21.87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人员增加</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197.71</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191.71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96.97</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3.03</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84864" behindDoc="0" locked="0" layoutInCell="1" allowOverlap="1">
            <wp:simplePos x="0" y="0"/>
            <wp:positionH relativeFrom="column">
              <wp:posOffset>890270</wp:posOffset>
            </wp:positionH>
            <wp:positionV relativeFrom="paragraph">
              <wp:posOffset>53975</wp:posOffset>
            </wp:positionV>
            <wp:extent cx="3594735" cy="2896870"/>
            <wp:effectExtent l="4445" t="4445" r="20320" b="13335"/>
            <wp:wrapNone/>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76672" behindDoc="0" locked="0" layoutInCell="1" allowOverlap="1">
                <wp:simplePos x="0" y="0"/>
                <wp:positionH relativeFrom="column">
                  <wp:posOffset>1366520</wp:posOffset>
                </wp:positionH>
                <wp:positionV relativeFrom="paragraph">
                  <wp:posOffset>12700</wp:posOffset>
                </wp:positionV>
                <wp:extent cx="2760345" cy="490220"/>
                <wp:effectExtent l="0" t="0" r="1905" b="5080"/>
                <wp:wrapNone/>
                <wp:docPr id="155" name="文本框 32"/>
                <wp:cNvGraphicFramePr/>
                <a:graphic xmlns:a="http://schemas.openxmlformats.org/drawingml/2006/main">
                  <a:graphicData uri="http://schemas.microsoft.com/office/word/2010/wordprocessingShape">
                    <wps:wsp>
                      <wps:cNvSpPr txBox="1"/>
                      <wps:spPr>
                        <a:xfrm>
                          <a:off x="2498725" y="7167880"/>
                          <a:ext cx="2760345" cy="49022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107.6pt;margin-top:1pt;height:38.6pt;width:217.35pt;z-index:251676672;mso-width-relative:page;mso-height-relative:page;" fillcolor="#FFFFFF" filled="t" stroked="f" coordsize="21600,21600" o:gfxdata="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ofEVd1AAAAAgBAAAPAAAAAAAAAAEAIAAA&#10;ACIAAABkcnMvZG93bnJldi54bWxQSwECFAAUAAAACACHTuJAZZlivkkCAABeBAAADgAAAAAAAAAB&#10;ACAAAAAjAQAAZHJzL2Uyb0RvYy54bWxQSwUGAAAAAAYABgBZAQAA3gU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197.85</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172.22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87.05</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25.63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12.95</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85888" behindDoc="0" locked="0" layoutInCell="1" allowOverlap="1">
            <wp:simplePos x="0" y="0"/>
            <wp:positionH relativeFrom="column">
              <wp:posOffset>776605</wp:posOffset>
            </wp:positionH>
            <wp:positionV relativeFrom="paragraph">
              <wp:posOffset>-34290</wp:posOffset>
            </wp:positionV>
            <wp:extent cx="3288665" cy="2352675"/>
            <wp:effectExtent l="4445" t="5080" r="21590" b="4445"/>
            <wp:wrapNone/>
            <wp:docPr id="38" name="图表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74624" behindDoc="1" locked="0" layoutInCell="1" allowOverlap="1">
                <wp:simplePos x="0" y="0"/>
                <wp:positionH relativeFrom="column">
                  <wp:posOffset>897890</wp:posOffset>
                </wp:positionH>
                <wp:positionV relativeFrom="paragraph">
                  <wp:posOffset>321945</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1953895" y="302895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0.7pt;margin-top:25.35pt;height:38.05pt;width:260.95pt;z-index:-251641856;mso-width-relative:page;mso-height-relative:page;" fillcolor="#FFFFFF" filled="t" stroked="f" coordsize="21600,21600" o:gfxdata="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H2bSWzUAAAACgEAAA8AAAAAAAAAAQAgAAAAIgAAAGRy&#10;cy9kb3ducmV2LnhtbFBLAQIUABQAAAAIAIdO4kAvtdUzQgIAAF0EAAAOAAAAAAAAAAEAIAAAACMB&#10;AABkcnMvZTJvRG9jLnhtbFBLBQYAAAAABgAGAFkBAADXBQ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197.71</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31.33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18.61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人员增加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197.85</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24.62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14.21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人员增加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highlight w:val="yellow"/>
          <w:lang w:eastAsia="zh-CN"/>
        </w:rPr>
        <w:drawing>
          <wp:anchor distT="0" distB="0" distL="114300" distR="114300" simplePos="0" relativeHeight="251661312" behindDoc="0" locked="0" layoutInCell="1" allowOverlap="1">
            <wp:simplePos x="0" y="0"/>
            <wp:positionH relativeFrom="column">
              <wp:posOffset>182245</wp:posOffset>
            </wp:positionH>
            <wp:positionV relativeFrom="paragraph">
              <wp:posOffset>86360</wp:posOffset>
            </wp:positionV>
            <wp:extent cx="5080000" cy="2791460"/>
            <wp:effectExtent l="4445" t="4445" r="20955" b="23495"/>
            <wp:wrapNone/>
            <wp:docPr id="39" name="图表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0" w:firstLineChars="200"/>
        <w:rPr>
          <w:rFonts w:hint="eastAsia" w:ascii="楷体_GB2312" w:hAnsi="Times New Roman" w:eastAsia="楷体_GB2312" w:cs="DengXian-Bold"/>
          <w:b/>
          <w:bCs/>
          <w:sz w:val="32"/>
          <w:szCs w:val="32"/>
        </w:rPr>
      </w:pPr>
      <w:r>
        <w:rPr>
          <w:sz w:val="32"/>
        </w:rPr>
        <mc:AlternateContent>
          <mc:Choice Requires="wps">
            <w:drawing>
              <wp:anchor distT="0" distB="0" distL="114300" distR="114300" simplePos="0" relativeHeight="251703296" behindDoc="1" locked="0" layoutInCell="1" allowOverlap="1">
                <wp:simplePos x="0" y="0"/>
                <wp:positionH relativeFrom="column">
                  <wp:posOffset>1012190</wp:posOffset>
                </wp:positionH>
                <wp:positionV relativeFrom="paragraph">
                  <wp:posOffset>335280</wp:posOffset>
                </wp:positionV>
                <wp:extent cx="3495040" cy="483235"/>
                <wp:effectExtent l="0" t="0" r="10160" b="12065"/>
                <wp:wrapNone/>
                <wp:docPr id="42" name="文本框 42"/>
                <wp:cNvGraphicFramePr/>
                <a:graphic xmlns:a="http://schemas.openxmlformats.org/drawingml/2006/main">
                  <a:graphicData uri="http://schemas.microsoft.com/office/word/2010/wordprocessingShape">
                    <wps:wsp>
                      <wps:cNvSpPr txBox="1"/>
                      <wps:spPr>
                        <a:xfrm>
                          <a:off x="0" y="0"/>
                          <a:ext cx="3495040"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3</w:t>
                            </w:r>
                            <w:r>
                              <w:rPr>
                                <w:rFonts w:hint="eastAsia" w:ascii="仿宋_GB2312" w:hAnsi="Times New Roman" w:eastAsia="仿宋_GB2312" w:cs="DengXian-Regular"/>
                                <w:sz w:val="28"/>
                                <w:szCs w:val="28"/>
                              </w:rPr>
                              <w:t>：财政拨款收支与2018 年度决算对比情况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9.7pt;margin-top:26.4pt;height:38.05pt;width:275.2pt;z-index:-251613184;mso-width-relative:page;mso-height-relative:page;" fillcolor="#FFFFFF" filled="t" stroked="f" coordsize="21600,21600" o:gfxdata="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diHdL1AAAAAoBAAAPAAAAAAAAAAEAIAAAACIAAABkcnMvZG93bnJl&#10;di54bWxQSwECFAAUAAAACACHTuJA9u1s9ToCAABRBAAADgAAAAAAAAABACAAAAAjAQAAZHJzL2Uy&#10;b0RvYy54bWxQSwUGAAAAAAYABgBZAQAAzwU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3</w:t>
                      </w:r>
                      <w:r>
                        <w:rPr>
                          <w:rFonts w:hint="eastAsia" w:ascii="仿宋_GB2312" w:hAnsi="Times New Roman" w:eastAsia="仿宋_GB2312" w:cs="DengXian-Regular"/>
                          <w:sz w:val="28"/>
                          <w:szCs w:val="28"/>
                        </w:rPr>
                        <w:t>：财政拨款收支与2018 年度决算对比情况</w:t>
                      </w:r>
                    </w:p>
                    <w:p>
                      <w:pPr>
                        <w:spacing w:after="160" w:line="480" w:lineRule="auto"/>
                        <w:rPr>
                          <w:rFonts w:ascii="Times New Roman" w:hAnsi="Times New Roman" w:eastAsia="宋体" w:cs="Times New Roman"/>
                          <w:sz w:val="20"/>
                        </w:rPr>
                      </w:pPr>
                    </w:p>
                  </w:txbxContent>
                </v:textbox>
              </v:shape>
            </w:pict>
          </mc:Fallback>
        </mc:AlternateContent>
      </w: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191.71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107.76</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13.8</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val="en-US" w:eastAsia="zh-CN"/>
        </w:rPr>
        <w:t>人员增加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197.85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111.21</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19.94</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val="en-US" w:eastAsia="zh-CN"/>
        </w:rPr>
        <w:t>人员增加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highlight w:val="yellow"/>
          <w:lang w:eastAsia="zh-CN"/>
        </w:rPr>
        <w:drawing>
          <wp:anchor distT="0" distB="0" distL="114300" distR="114300" simplePos="0" relativeHeight="251686912" behindDoc="0" locked="0" layoutInCell="1" allowOverlap="1">
            <wp:simplePos x="0" y="0"/>
            <wp:positionH relativeFrom="column">
              <wp:posOffset>-36830</wp:posOffset>
            </wp:positionH>
            <wp:positionV relativeFrom="paragraph">
              <wp:posOffset>137160</wp:posOffset>
            </wp:positionV>
            <wp:extent cx="5080000" cy="3238500"/>
            <wp:effectExtent l="4445" t="4445" r="20955" b="14605"/>
            <wp:wrapNone/>
            <wp:docPr id="43" name="图表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sz w:val="32"/>
        </w:rPr>
        <mc:AlternateContent>
          <mc:Choice Requires="wps">
            <w:drawing>
              <wp:anchor distT="0" distB="0" distL="114300" distR="114300" simplePos="0" relativeHeight="251720704" behindDoc="1" locked="0" layoutInCell="1" allowOverlap="1">
                <wp:simplePos x="0" y="0"/>
                <wp:positionH relativeFrom="column">
                  <wp:posOffset>1002665</wp:posOffset>
                </wp:positionH>
                <wp:positionV relativeFrom="paragraph">
                  <wp:posOffset>213995</wp:posOffset>
                </wp:positionV>
                <wp:extent cx="3314065" cy="483235"/>
                <wp:effectExtent l="0" t="0" r="635" b="12065"/>
                <wp:wrapNone/>
                <wp:docPr id="44" name="文本框 44"/>
                <wp:cNvGraphicFramePr/>
                <a:graphic xmlns:a="http://schemas.openxmlformats.org/drawingml/2006/main">
                  <a:graphicData uri="http://schemas.microsoft.com/office/word/2010/wordprocessingShape">
                    <wps:wsp>
                      <wps:cNvSpPr txBox="1"/>
                      <wps:spPr>
                        <a:xfrm>
                          <a:off x="0" y="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hint="eastAsia"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4</w:t>
                            </w:r>
                            <w:r>
                              <w:rPr>
                                <w:rFonts w:hint="eastAsia" w:ascii="仿宋_GB2312" w:hAnsi="Times New Roman" w:eastAsia="仿宋_GB2312" w:cs="DengXian-Regular"/>
                                <w:sz w:val="28"/>
                                <w:szCs w:val="28"/>
                              </w:rPr>
                              <w:t>：财政拨款收支与年初预算数对比</w:t>
                            </w:r>
                          </w:p>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95pt;margin-top:16.85pt;height:38.05pt;width:260.95pt;z-index:-251595776;mso-width-relative:page;mso-height-relative:page;" fillcolor="#FFFFFF" filled="t" stroked="f" coordsize="21600,21600" o:gfxdata="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iih5cNQAAAAKAQAADwAAAAAAAAABACAAAAAiAAAAZHJzL2Rvd25y&#10;ZXYueG1sUEsBAhQAFAAAAAgAh07iQC2Uuh07AgAAUQQAAA4AAAAAAAAAAQAgAAAAIwEAAGRycy9l&#10;Mm9Eb2MueG1sUEsFBgAAAAAGAAYAWQEAANAFAAAAAA==&#10;">
                <v:fill on="t" focussize="0,0"/>
                <v:stroke on="f" weight="0.5pt"/>
                <v:imagedata o:title=""/>
                <o:lock v:ext="edit" aspectratio="f"/>
                <v:textbox>
                  <w:txbxContent>
                    <w:p>
                      <w:pPr>
                        <w:adjustRightInd w:val="0"/>
                        <w:snapToGrid w:val="0"/>
                        <w:spacing w:after="160" w:line="560" w:lineRule="exact"/>
                        <w:jc w:val="center"/>
                        <w:rPr>
                          <w:rFonts w:hint="eastAsia"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4</w:t>
                      </w:r>
                      <w:r>
                        <w:rPr>
                          <w:rFonts w:hint="eastAsia" w:ascii="仿宋_GB2312" w:hAnsi="Times New Roman" w:eastAsia="仿宋_GB2312" w:cs="DengXian-Regular"/>
                          <w:sz w:val="28"/>
                          <w:szCs w:val="28"/>
                        </w:rPr>
                        <w:t>：财政拨款收支与年初预算数对比</w:t>
                      </w:r>
                    </w:p>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况</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197.85</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143.51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72.53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卫生健康</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9.57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4.84</w:t>
      </w:r>
      <w:r>
        <w:rPr>
          <w:rFonts w:hint="eastAsia" w:ascii="仿宋_GB2312" w:hAnsi="Times New Roman" w:eastAsia="仿宋_GB2312" w:cs="DengXian-Regular"/>
          <w:sz w:val="32"/>
          <w:szCs w:val="32"/>
        </w:rPr>
        <w:t>%；科学技术（类）支出</w:t>
      </w:r>
      <w:r>
        <w:rPr>
          <w:rFonts w:hint="eastAsia" w:ascii="仿宋_GB2312" w:hAnsi="Times New Roman" w:eastAsia="仿宋_GB2312" w:cs="DengXian-Regular"/>
          <w:sz w:val="32"/>
          <w:szCs w:val="32"/>
          <w:lang w:val="en-US" w:eastAsia="zh-CN"/>
        </w:rPr>
        <w:t>25.63</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12.95</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12.58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6.36</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6.57</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3.32</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drawing>
          <wp:anchor distT="0" distB="0" distL="114300" distR="114300" simplePos="0" relativeHeight="251683840" behindDoc="0" locked="0" layoutInCell="1" allowOverlap="1">
            <wp:simplePos x="0" y="0"/>
            <wp:positionH relativeFrom="column">
              <wp:posOffset>766445</wp:posOffset>
            </wp:positionH>
            <wp:positionV relativeFrom="paragraph">
              <wp:posOffset>86360</wp:posOffset>
            </wp:positionV>
            <wp:extent cx="3785235" cy="2095500"/>
            <wp:effectExtent l="4445" t="4445" r="20320" b="14605"/>
            <wp:wrapNone/>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pPr>
        <w:adjustRightInd w:val="0"/>
        <w:snapToGrid w:val="0"/>
        <w:spacing w:line="580" w:lineRule="exact"/>
        <w:rPr>
          <w:rFonts w:hint="eastAsia" w:ascii="楷体_GB2312" w:hAnsi="Times New Roman" w:eastAsia="楷体_GB2312" w:cs="DengXian-Bold"/>
          <w:b/>
          <w:bCs/>
          <w:sz w:val="32"/>
          <w:szCs w:val="32"/>
          <w:lang w:eastAsia="zh-CN"/>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sz w:val="32"/>
        </w:rPr>
        <mc:AlternateContent>
          <mc:Choice Requires="wps">
            <w:drawing>
              <wp:anchor distT="0" distB="0" distL="114300" distR="114300" simplePos="0" relativeHeight="251675648" behindDoc="1" locked="0" layoutInCell="1" allowOverlap="1">
                <wp:simplePos x="0" y="0"/>
                <wp:positionH relativeFrom="column">
                  <wp:posOffset>981075</wp:posOffset>
                </wp:positionH>
                <wp:positionV relativeFrom="paragraph">
                  <wp:posOffset>923290</wp:posOffset>
                </wp:positionV>
                <wp:extent cx="3576320" cy="391795"/>
                <wp:effectExtent l="0" t="0" r="5080" b="8255"/>
                <wp:wrapNone/>
                <wp:docPr id="164" name="文本框 32"/>
                <wp:cNvGraphicFramePr/>
                <a:graphic xmlns:a="http://schemas.openxmlformats.org/drawingml/2006/main">
                  <a:graphicData uri="http://schemas.microsoft.com/office/word/2010/wordprocessingShape">
                    <wps:wsp>
                      <wps:cNvSpPr txBox="1"/>
                      <wps:spPr>
                        <a:xfrm>
                          <a:off x="1989455" y="9621520"/>
                          <a:ext cx="3576320" cy="39179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77.25pt;margin-top:72.7pt;height:30.85pt;width:281.6pt;z-index:-251640832;mso-width-relative:page;mso-height-relative:page;" fillcolor="#FFFFFF" filled="t" stroked="f" coordsize="21600,21600" o:gfxdata="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BiuccT1gAAAAsBAAAPAAAAAAAAAAEAIAAA&#10;ACIAAABkcnMvZG93bnJldi54bWxQSwECFAAUAAAACACHTuJA3pCjMkcCAABeBAAADgAAAAAAAAAB&#10;ACAAAAAlAQAAZHJzL2Uyb0RvYy54bWxQSwUGAAAAAAYABgBZAQAA3gU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图X：财政拨款支出决算结构（按功能分类）</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172.22</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136.37</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35.86</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2.15</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79.63</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0.55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20.37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比预期活动较少</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1.66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338.78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较2018年活动有所增长</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本部门2019年度无本单位组织的出国（境）团组。</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2.15</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0.55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20.37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比预期活动较少</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val="en-US" w:eastAsia="zh-CN"/>
        </w:rPr>
        <w:t>增加1.66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增加338.78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较2018年活动有所增长</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val="en-US" w:eastAsia="zh-CN"/>
        </w:rPr>
        <w:t>未发生“公务用车购置”经费支出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0.55</w:t>
      </w:r>
      <w:r>
        <w:rPr>
          <w:rFonts w:hint="eastAsia" w:ascii="仿宋_GB2312" w:hAnsi="Times New Roman" w:eastAsia="仿宋_GB2312" w:cs="DengXian-Regular"/>
          <w:sz w:val="32"/>
          <w:szCs w:val="32"/>
        </w:rPr>
        <w:t>万元，增降低</w:t>
      </w:r>
      <w:r>
        <w:rPr>
          <w:rFonts w:hint="eastAsia" w:ascii="仿宋_GB2312" w:hAnsi="Times New Roman" w:eastAsia="仿宋_GB2312" w:cs="DengXian-Regular"/>
          <w:sz w:val="32"/>
          <w:szCs w:val="32"/>
          <w:lang w:val="en-US" w:eastAsia="zh-CN"/>
        </w:rPr>
        <w:t>20.37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比预期活动较少</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1.66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增加338.78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较2018年活动有所增长</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left="420" w:leftChars="200" w:firstLine="0" w:firstLineChars="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p>
    <w:p>
      <w:pPr>
        <w:adjustRightInd w:val="0"/>
        <w:snapToGrid w:val="0"/>
        <w:spacing w:after="0"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w:t>
      </w:r>
      <w:r>
        <w:rPr>
          <w:sz w:val="44"/>
        </w:rPr>
        <mc:AlternateContent>
          <mc:Choice Requires="wpg">
            <w:drawing>
              <wp:anchor distT="0" distB="0" distL="114300" distR="114300" simplePos="0" relativeHeight="25168076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4" name="组合 74"/>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076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FvHpBPZAAAACQEAAA8A&#10;AAAAAAAAAQAgAAAAIgAAAGRycy9kb3ducmV2LnhtbFBLAQIUABQAAAAIAIdO4kAqr5hjMwMAABgJ&#10;AAAOAAAAAAAAAAEAIAAAACgBAABkcnMvZTJvRG9jLnhtbFBLBQYAAAAABgAGAFkBAADNBgAAAAA=&#10;">
                <o:lock v:ext="edit" aspectratio="f"/>
                <v:rect id="矩形 13" o:spid="_x0000_s1026" o:spt="1" style="position:absolute;left:4551;top:52615;height:1175;width:8546;v-text-anchor:middle;" fillcolor="#B8B8B8" filled="t" stroked="f" coordsize="21600,21600" o:gfxdata="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16+I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3fxAL8AAADb&#10;AAAADwAAAGRycy9kb3ducmV2LnhtbEWPT2sCMRTE74V+h/AKXoqbVaqVrdFDRVgQC2oPHh/Jc3ft&#10;5mWbxD/99qYgeBxm5jfMdH61rTiTD41jBYMsB0GsnWm4UvC9W/YnIEJENtg6JgV/FGA+e36aYmHc&#10;hTd03sZKJAiHAhXUMXaFlEHXZDFkriNO3sF5izFJX0nj8ZLgtpXDPB9Liw2nhRo7+qxJ/2xPVsH+&#10;S/u9HtHq97V7W28W5bEJ4ahU72WQf4CIdI2P8L1dGgWTd/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d38QC/&#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度公务接待共0批次、0人次</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10.68%</w:t>
      </w:r>
      <w:r>
        <w:rPr>
          <w:rFonts w:hint="eastAsia" w:ascii="仿宋_GB2312" w:hAnsi="仿宋_GB2312" w:eastAsia="仿宋_GB2312" w:cs="仿宋_GB2312"/>
          <w:sz w:val="32"/>
          <w:szCs w:val="32"/>
        </w:rPr>
        <w:t>。组织对“科普经费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老科协活动经费”等</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本部门在今年部门决算公开中反映科普经费项目及老科协活动经费项目等</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个项目绩效自评结果。</w:t>
      </w:r>
    </w:p>
    <w:p>
      <w:pPr>
        <w:numPr>
          <w:ilvl w:val="0"/>
          <w:numId w:val="3"/>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科普经费项目自评综述：根据年初设定的绩效目标，科普经费项目绩效自评得分为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val="en-US" w:eastAsia="zh-CN"/>
        </w:rPr>
        <w:t>活动都已举办完成</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按计划花费完成</w:t>
      </w:r>
      <w:r>
        <w:rPr>
          <w:rFonts w:hint="eastAsia" w:ascii="仿宋_GB2312" w:hAnsi="仿宋_GB2312" w:eastAsia="仿宋_GB2312" w:cs="仿宋_GB2312"/>
          <w:sz w:val="32"/>
          <w:szCs w:val="32"/>
        </w:rPr>
        <w:t>。发现的主要问题及原因：一是</w:t>
      </w:r>
      <w:r>
        <w:rPr>
          <w:rFonts w:hint="eastAsia" w:ascii="仿宋_GB2312" w:hAnsi="仿宋_GB2312" w:eastAsia="仿宋_GB2312" w:cs="仿宋_GB2312"/>
          <w:sz w:val="32"/>
          <w:szCs w:val="32"/>
          <w:lang w:val="en-US" w:eastAsia="zh-CN"/>
        </w:rPr>
        <w:t>没有按已计划的规定时间完成活动</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val="en-US" w:eastAsia="zh-CN"/>
        </w:rPr>
        <w:t>做好计划，并且严格执行</w:t>
      </w:r>
      <w:r>
        <w:rPr>
          <w:rFonts w:hint="eastAsia" w:ascii="仿宋_GB2312" w:hAnsi="仿宋_GB2312" w:eastAsia="仿宋_GB2312" w:cs="仿宋_GB2312"/>
          <w:sz w:val="32"/>
          <w:szCs w:val="32"/>
        </w:rPr>
        <w:t>。</w:t>
      </w:r>
    </w:p>
    <w:p>
      <w:pPr>
        <w:numPr>
          <w:ilvl w:val="0"/>
          <w:numId w:val="3"/>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老科协活动经费项目绩效自评综述：根据年初设定的绩效目标，科普经费项目绩效自评得分为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。项目绩效目标完成情况：一是一是</w:t>
      </w:r>
      <w:r>
        <w:rPr>
          <w:rFonts w:hint="eastAsia" w:ascii="仿宋_GB2312" w:hAnsi="仿宋_GB2312" w:eastAsia="仿宋_GB2312" w:cs="仿宋_GB2312"/>
          <w:sz w:val="32"/>
          <w:szCs w:val="32"/>
          <w:lang w:val="en-US" w:eastAsia="zh-CN"/>
        </w:rPr>
        <w:t>活动都已举办完成</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按计划花费完成</w:t>
      </w:r>
      <w:r>
        <w:rPr>
          <w:rFonts w:hint="eastAsia" w:ascii="仿宋_GB2312" w:hAnsi="仿宋_GB2312" w:eastAsia="仿宋_GB2312" w:cs="仿宋_GB2312"/>
          <w:sz w:val="32"/>
          <w:szCs w:val="32"/>
        </w:rPr>
        <w:t>。发现的主要问题及原因：一是</w:t>
      </w:r>
      <w:r>
        <w:rPr>
          <w:rFonts w:hint="eastAsia" w:ascii="仿宋_GB2312" w:hAnsi="仿宋_GB2312" w:eastAsia="仿宋_GB2312" w:cs="仿宋_GB2312"/>
          <w:sz w:val="32"/>
          <w:szCs w:val="32"/>
          <w:lang w:val="en-US" w:eastAsia="zh-CN"/>
        </w:rPr>
        <w:t>没有按已计划的规定时间完成活动</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val="en-US" w:eastAsia="zh-CN"/>
        </w:rPr>
        <w:t>做好计划，并且严格执行</w:t>
      </w:r>
      <w:r>
        <w:rPr>
          <w:rFonts w:hint="eastAsia" w:ascii="仿宋_GB2312" w:hAnsi="仿宋_GB2312" w:eastAsia="仿宋_GB2312" w:cs="仿宋_GB2312"/>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w:t>
      </w:r>
      <w:r>
        <w:rPr>
          <w:rFonts w:hint="eastAsia" w:ascii="楷体_GB2312" w:hAnsi="Times New Roman" w:eastAsia="楷体_GB2312" w:cs="DengXian-Bold"/>
          <w:b/>
          <w:bCs/>
          <w:color w:val="auto"/>
          <w:sz w:val="32"/>
          <w:szCs w:val="32"/>
        </w:rPr>
        <w:t>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141.57</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17.01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13.66</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人员增加</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辆，比上年</w:t>
      </w:r>
      <w:r>
        <w:rPr>
          <w:rFonts w:hint="eastAsia" w:ascii="仿宋_GB2312" w:hAnsi="Times New Roman" w:eastAsia="仿宋_GB2312" w:cs="DengXian-Regular"/>
          <w:sz w:val="32"/>
          <w:szCs w:val="32"/>
          <w:lang w:val="en-US" w:eastAsia="zh-CN"/>
        </w:rPr>
        <w:t>无变化</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after="0" w:line="580" w:lineRule="exact"/>
        <w:ind w:firstLine="640" w:firstLineChars="200"/>
        <w:rPr>
          <w:rFonts w:hint="eastAsia" w:ascii="仿宋_GB2312" w:cs="DengXian-Regular" w:eastAsiaTheme="minorEastAsia"/>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w:t>
      </w:r>
      <w:r>
        <w:rPr>
          <w:rFonts w:hint="eastAsia" w:ascii="仿宋_GB2312" w:hAnsi="仿宋_GB2312" w:eastAsia="仿宋_GB2312" w:cs="仿宋_GB2312"/>
          <w:color w:val="000000"/>
          <w:kern w:val="0"/>
          <w:sz w:val="32"/>
          <w:szCs w:val="32"/>
        </w:rPr>
        <w:t>政府性基金预算财政拨款、国有资本经营预算财政拨</w:t>
      </w:r>
      <w:r>
        <w:rPr>
          <w:rFonts w:ascii="仿宋_GB2312" w:hAnsi="仿宋_GB2312" w:eastAsia="仿宋_GB2312" w:cs="仿宋_GB2312"/>
          <w:sz w:val="32"/>
          <w:szCs w:val="32"/>
        </w:rPr>
        <mc:AlternateContent>
          <mc:Choice Requires="wpg">
            <w:drawing>
              <wp:anchor distT="0" distB="0" distL="114300" distR="114300" simplePos="0" relativeHeight="25168179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28" name="组合 28"/>
                <wp:cNvGraphicFramePr/>
                <a:graphic xmlns:a="http://schemas.openxmlformats.org/drawingml/2006/main">
                  <a:graphicData uri="http://schemas.microsoft.com/office/word/2010/wordprocessingGroup">
                    <wpg:wgp>
                      <wpg:cNvGrpSpPr/>
                      <wpg:grpSpPr>
                        <a:xfrm>
                          <a:off x="0" y="0"/>
                          <a:ext cx="3088640" cy="523240"/>
                          <a:chOff x="4551" y="52615"/>
                          <a:chExt cx="8546" cy="1398"/>
                        </a:xfrm>
                        <a:effectLst/>
                      </wpg:grpSpPr>
                      <wps:wsp>
                        <wps:cNvPr id="32"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3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179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yaUsrcAAAADQEAAA8AAAAAAAAA&#10;AQAgAAAAIgAAAGRycy9kb3ducmV2LnhtbFBLAQIUABQAAAAIAIdO4kDuRutsKgMAABgJAAAOAAAA&#10;AAAAAAEAIAAAACsBAABkcnMvZTJvRG9jLnhtbFBLBQYAAAAABgAGAFkBAADHBgAAAAA=&#10;">
                <o:lock v:ext="edit" aspectratio="f"/>
                <v:rect id="矩形 13" o:spid="_x0000_s1026" o:spt="1" style="position:absolute;left:4551;top:52615;height:1175;width:8546;v-text-anchor:middle;" fillcolor="#B8B8B8" filled="t" stroked="f" coordsize="21600,21600" o:gfxdata="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vaccS/&#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qmkL8AAADb&#10;AAAADwAAAGRycy9kb3ducmV2LnhtbEWPzWsCMRTE74X+D+EVvBTN+lGRdaOHFmFBWtB68PhInrtr&#10;Ny/bJH7996ZQ8DjMzG+YYnm1rTiTD41jBcNBBoJYO9NwpWD3verPQISIbLB1TApuFGC5eH4qMDfu&#10;whs6b2MlEoRDjgrqGLtcyqBrshgGriNO3sF5izFJX0nj8ZLgtpWjLJtKiw2nhRo7eq9J/2xPVsH+&#10;S/u9fqP172s3+dx8lMcmhKNSvZdhNgcR6Rof4f92aRSMJ/D3Jf0Aubg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QappC/&#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仿宋_GB2312" w:hAnsi="仿宋_GB2312" w:eastAsia="仿宋_GB2312" w:cs="仿宋_GB2312"/>
          <w:color w:val="000000"/>
          <w:kern w:val="0"/>
          <w:sz w:val="32"/>
          <w:szCs w:val="32"/>
        </w:rPr>
        <w:t>款、政府采购</w:t>
      </w:r>
      <w:r>
        <w:rPr>
          <w:rFonts w:ascii="仿宋_GB2312" w:hAnsi="仿宋_GB2312" w:eastAsia="仿宋_GB2312" w:cs="仿宋_GB2312"/>
          <w:sz w:val="32"/>
          <w:szCs w:val="32"/>
        </w:rPr>
        <mc:AlternateContent>
          <mc:Choice Requires="wpg">
            <w:drawing>
              <wp:anchor distT="0" distB="0" distL="114300" distR="114300" simplePos="0" relativeHeight="251682816" behindDoc="0" locked="1" layoutInCell="1" allowOverlap="1">
                <wp:simplePos x="0" y="0"/>
                <wp:positionH relativeFrom="column">
                  <wp:posOffset>-875030</wp:posOffset>
                </wp:positionH>
                <wp:positionV relativeFrom="page">
                  <wp:posOffset>-877570</wp:posOffset>
                </wp:positionV>
                <wp:extent cx="3088640" cy="523240"/>
                <wp:effectExtent l="3175" t="0" r="13335" b="29210"/>
                <wp:wrapNone/>
                <wp:docPr id="67" name="组合 67"/>
                <wp:cNvGraphicFramePr/>
                <a:graphic xmlns:a="http://schemas.openxmlformats.org/drawingml/2006/main">
                  <a:graphicData uri="http://schemas.microsoft.com/office/word/2010/wordprocessingGroup">
                    <wpg:wgp>
                      <wpg:cNvGrpSpPr/>
                      <wpg:grpSpPr>
                        <a:xfrm>
                          <a:off x="0" y="0"/>
                          <a:ext cx="3088640" cy="523240"/>
                          <a:chOff x="4551" y="52615"/>
                          <a:chExt cx="8546" cy="1398"/>
                        </a:xfrm>
                        <a:effectLst/>
                      </wpg:grpSpPr>
                      <wps:wsp>
                        <wps:cNvPr id="6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69"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68.9pt;margin-top:-69.1pt;height:41.2pt;width:243.2pt;mso-position-vertical-relative:page;z-index:251682816;mso-width-relative:page;mso-height-relative:page;" coordorigin="4551,52615" coordsize="8546,1398" o:gfxdata="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CnIIH3AAAAA0BAAAPAAAAAAAA&#10;AAEAIAAAACIAAABkcnMvZG93bnJldi54bWxQSwECFAAUAAAACACHTuJAk8b3iSsDAAAYCQAADgAA&#10;AAAAAAABACAAAAArAQAAZHJzL2Uyb0RvYy54bWxQSwUGAAAAAAYABgBZAQAAyAYAAAAA&#10;">
                <o:lock v:ext="edit" aspectratio="f"/>
                <v:rect id="矩形 13" o:spid="_x0000_s1026" o:spt="1" style="position:absolute;left:4551;top:52615;height:1175;width:8546;v-text-anchor:middle;" fillcolor="#B8B8B8" filled="t" stroked="f" coordsize="21600,21600" o:gfxdata="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YFpM7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2agmE74AAADb&#10;AAAADwAAAGRycy9kb3ducmV2LnhtbEWPT2sCMRTE74V+h/AKXopmFSu6bvTQIixIC1oPHh/Jc3ft&#10;5mWbxH/f3hSEHoeZ+Q1TLK+2FWfyoXGsYDjIQBBrZxquFOy+V/0piBCRDbaOScGNAiwXz08F5sZd&#10;eEPnbaxEgnDIUUEdY5dLGXRNFsPAdcTJOzhvMSbpK2k8XhLctnKUZRNpseG0UGNH7zXpn+3JKth/&#10;ab/Xb7T+fe3Gn5uP8tiEcFSq9zLM5iAiXeN/+NEujYLJDP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agmE7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仿宋_GB2312" w:hAnsi="仿宋_GB2312" w:eastAsia="仿宋_GB2312" w:cs="仿宋_GB2312"/>
          <w:color w:val="000000"/>
          <w:kern w:val="0"/>
          <w:sz w:val="32"/>
          <w:szCs w:val="32"/>
        </w:rPr>
        <w:t>情况</w:t>
      </w:r>
      <w:r>
        <w:rPr>
          <w:rFonts w:hint="eastAsia" w:ascii="仿宋_GB2312" w:eastAsia="仿宋_GB2312" w:cs="DengXian-Regular"/>
          <w:sz w:val="32"/>
          <w:szCs w:val="32"/>
        </w:rPr>
        <w:t>无收支及结转结余情况，故08、0</w:t>
      </w:r>
      <w:r>
        <w:rPr>
          <w:rFonts w:hint="eastAsia" w:ascii="宋体" w:hAnsi="宋体" w:cs="宋体"/>
          <w:sz w:val="32"/>
          <w:szCs w:val="32"/>
        </w:rPr>
        <w:t>9</w:t>
      </w:r>
      <w:r>
        <w:rPr>
          <w:rFonts w:hint="eastAsia" w:ascii="仿宋_GB2312" w:eastAsia="仿宋_GB2312" w:cs="DengXian-Regular"/>
          <w:sz w:val="32"/>
          <w:szCs w:val="32"/>
        </w:rPr>
        <w:t>表以空表列示</w:t>
      </w:r>
      <w:r>
        <w:rPr>
          <w:rFonts w:hint="eastAsia" w:ascii="仿宋_GB2312" w:cs="DengXian-Regular" w:eastAsiaTheme="minorEastAsia"/>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2" w:type="first"/>
          <w:footerReference r:id="rId24" w:type="first"/>
          <w:headerReference r:id="rId21" w:type="default"/>
          <w:footerReference r:id="rId23"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769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769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32"/>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5"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7"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872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872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8"/>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科协</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191.71</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143.51</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tabs>
                <w:tab w:val="left" w:pos="200"/>
                <w:tab w:val="right" w:pos="781"/>
              </w:tabs>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ab/>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bidi="ar-SA"/>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2"/>
                <w:sz w:val="22"/>
                <w:szCs w:val="22"/>
                <w:u w:val="none"/>
                <w:lang w:val="en-US" w:eastAsia="zh-CN" w:bidi="ar-SA"/>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25.63</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6.00</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197.71</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197.85</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7.50</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7.36</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205.21</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205.21</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8"/>
        <w:tblW w:w="5000" w:type="pct"/>
        <w:jc w:val="center"/>
        <w:tblLayout w:type="fixed"/>
        <w:tblCellMar>
          <w:top w:w="0" w:type="dxa"/>
          <w:left w:w="0" w:type="dxa"/>
          <w:bottom w:w="0" w:type="dxa"/>
          <w:right w:w="0" w:type="dxa"/>
        </w:tblCellMar>
      </w:tblPr>
      <w:tblGrid>
        <w:gridCol w:w="630"/>
        <w:gridCol w:w="84"/>
        <w:gridCol w:w="87"/>
        <w:gridCol w:w="3315"/>
        <w:gridCol w:w="930"/>
        <w:gridCol w:w="915"/>
        <w:gridCol w:w="473"/>
        <w:gridCol w:w="484"/>
        <w:gridCol w:w="473"/>
        <w:gridCol w:w="474"/>
        <w:gridCol w:w="1237"/>
      </w:tblGrid>
      <w:tr>
        <w:tblPrEx>
          <w:tblCellMar>
            <w:top w:w="0" w:type="dxa"/>
            <w:left w:w="0" w:type="dxa"/>
            <w:bottom w:w="0" w:type="dxa"/>
            <w:right w:w="0" w:type="dxa"/>
          </w:tblCellMar>
        </w:tblPrEx>
        <w:trPr>
          <w:trHeight w:val="670" w:hRule="atLeast"/>
          <w:jc w:val="center"/>
        </w:trPr>
        <w:tc>
          <w:tcPr>
            <w:tcW w:w="5000" w:type="pct"/>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346"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21"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10"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2"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9"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5"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9"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39" w:type="pct"/>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346" w:type="pct"/>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6"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21"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val="en-US" w:eastAsia="zh-CN" w:bidi="ar"/>
              </w:rPr>
              <w:t>科协</w:t>
            </w:r>
          </w:p>
        </w:tc>
        <w:tc>
          <w:tcPr>
            <w:tcW w:w="510"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2"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9"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5"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9" w:type="pct"/>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2261" w:type="pct"/>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10"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502"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259"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265"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259"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260"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679"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440" w:type="pct"/>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821" w:type="pct"/>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51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2"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5"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7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440"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21" w:type="pct"/>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51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2"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5"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7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440"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21" w:type="pct"/>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51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2"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5"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7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261" w:type="pct"/>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1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50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5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2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25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26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7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2261" w:type="pct"/>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197.71</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191.71</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0</w:t>
            </w: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0</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0</w:t>
            </w: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0</w:t>
            </w: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6.00</w:t>
            </w: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r>
              <w:rPr>
                <w:rFonts w:hint="eastAsia" w:ascii="宋体" w:hAnsi="宋体" w:eastAsia="宋体" w:cs="宋体"/>
                <w:color w:val="000000"/>
                <w:sz w:val="22"/>
              </w:rPr>
              <w:tab/>
            </w:r>
            <w:r>
              <w:rPr>
                <w:rFonts w:hint="eastAsia" w:ascii="宋体" w:hAnsi="宋体" w:eastAsia="宋体" w:cs="宋体"/>
                <w:color w:val="000000"/>
                <w:sz w:val="22"/>
              </w:rPr>
              <w:tab/>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141.57</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141.57</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20131</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党委办公厅（室）及相关机构事务</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141.57</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141.57</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2013101</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行政运行</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141.57</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141.57</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206</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科学技术支出</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29.00</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23.00</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6.00</w:t>
            </w: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20601</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科学技术管理事务</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7.00</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7.00</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2060199</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其他科学技术管理事务支出</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7.00</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7.00</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20607</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科学技术普及</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16.00</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6.00</w:t>
            </w: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2060702</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科普活动</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16.00</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6.00</w:t>
            </w: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社会保障和就业支出</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行政事业单位离退休</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2080505</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卫生健康支出</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7.99</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7.99</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行政事业单位医疗</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7.99</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7.99</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2101101</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行政单位医疗</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7.99</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7.99</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住房保障支出</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6.57</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22102</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住房改革支出</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6.57</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2210201</w:t>
            </w: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住房公积金</w:t>
            </w: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6.57</w:t>
            </w: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40"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1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0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5"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0"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9"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5000" w:type="pct"/>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r>
        <w:tblPrEx>
          <w:tblCellMar>
            <w:top w:w="0" w:type="dxa"/>
            <w:left w:w="0" w:type="dxa"/>
            <w:bottom w:w="0" w:type="dxa"/>
            <w:right w:w="0" w:type="dxa"/>
          </w:tblCellMar>
        </w:tblPrEx>
        <w:trPr>
          <w:trHeight w:val="385" w:hRule="atLeast"/>
          <w:jc w:val="center"/>
        </w:trPr>
        <w:tc>
          <w:tcPr>
            <w:tcW w:w="5000" w:type="pct"/>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lang w:bidi="ar"/>
              </w:rPr>
            </w:pPr>
          </w:p>
        </w:tc>
      </w:tr>
    </w:tbl>
    <w:p>
      <w:pPr>
        <w:jc w:val="left"/>
      </w:pPr>
    </w:p>
    <w:p>
      <w:r>
        <w:br w:type="page"/>
      </w:r>
    </w:p>
    <w:tbl>
      <w:tblPr>
        <w:tblStyle w:val="8"/>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eastAsiaTheme="minorEastAsia"/>
                <w:color w:val="000000"/>
                <w:sz w:val="20"/>
                <w:szCs w:val="20"/>
                <w:lang w:eastAsia="zh-CN"/>
              </w:rPr>
            </w:pPr>
            <w:r>
              <w:rPr>
                <w:rFonts w:hint="eastAsia" w:ascii="Arial" w:hAnsi="Arial" w:cs="Arial"/>
                <w:color w:val="000000"/>
                <w:sz w:val="20"/>
                <w:szCs w:val="20"/>
                <w:lang w:eastAsia="zh-CN"/>
              </w:rPr>
              <w:t xml:space="preserve"> </w:t>
            </w:r>
            <w:bookmarkStart w:id="0" w:name="_GoBack"/>
            <w:bookmarkEnd w:id="0"/>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val="en-US" w:eastAsia="zh-CN" w:bidi="ar"/>
              </w:rPr>
              <w:t>科协</w:t>
            </w: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197.85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172.22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25.63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rPr>
              <w:t>201</w:t>
            </w:r>
            <w:r>
              <w:rPr>
                <w:rFonts w:hint="eastAsia" w:ascii="宋体" w:hAnsi="宋体" w:eastAsia="宋体" w:cs="宋体"/>
                <w:color w:val="000000"/>
                <w:sz w:val="22"/>
              </w:rPr>
              <w:tab/>
            </w:r>
            <w:r>
              <w:rPr>
                <w:rFonts w:hint="eastAsia" w:ascii="宋体" w:hAnsi="宋体" w:eastAsia="宋体" w:cs="宋体"/>
                <w:color w:val="000000"/>
                <w:sz w:val="22"/>
              </w:rPr>
              <w:tab/>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20131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党委办公厅（室）及相关机构事务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2013101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206</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科学技术支出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25.63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25.63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20601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科学技术管理事务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2060199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其他科学技术管理事务支出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20607</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科学技术普及</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18.63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18.63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2060702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科普活动</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18.63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18.63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社会保障和就业支出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行政事业单位离退休</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2080505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210</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卫生健康支出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21011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行政事业单位医疗</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kern w:val="2"/>
                <w:sz w:val="22"/>
                <w:szCs w:val="22"/>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2101101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行政单位医疗</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221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住房保障支出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22102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住房改革支出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2210201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住房公积金</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8"/>
        <w:tblW w:w="9590" w:type="dxa"/>
        <w:jc w:val="center"/>
        <w:tblLayout w:type="fixed"/>
        <w:tblCellMar>
          <w:top w:w="0" w:type="dxa"/>
          <w:left w:w="0" w:type="dxa"/>
          <w:bottom w:w="0" w:type="dxa"/>
          <w:right w:w="0" w:type="dxa"/>
        </w:tblCellMar>
      </w:tblPr>
      <w:tblGrid>
        <w:gridCol w:w="2922"/>
        <w:gridCol w:w="338"/>
        <w:gridCol w:w="749"/>
        <w:gridCol w:w="2946"/>
        <w:gridCol w:w="507"/>
        <w:gridCol w:w="763"/>
        <w:gridCol w:w="780"/>
        <w:gridCol w:w="585"/>
      </w:tblGrid>
      <w:tr>
        <w:tblPrEx>
          <w:tblCellMar>
            <w:top w:w="0" w:type="dxa"/>
            <w:left w:w="0" w:type="dxa"/>
            <w:bottom w:w="0" w:type="dxa"/>
            <w:right w:w="0" w:type="dxa"/>
          </w:tblCellMar>
        </w:tblPrEx>
        <w:trPr>
          <w:trHeight w:val="90" w:hRule="atLeast"/>
          <w:jc w:val="center"/>
        </w:trPr>
        <w:tc>
          <w:tcPr>
            <w:tcW w:w="959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2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科协</w:t>
            </w:r>
          </w:p>
        </w:tc>
        <w:tc>
          <w:tcPr>
            <w:tcW w:w="33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2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8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33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4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6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5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191.71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23.00</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23.00</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191.71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195.22</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195.22</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7.50</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3.99</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3.99</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7.50</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3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199.21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199.21</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199.21</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9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8"/>
        <w:tblW w:w="9990" w:type="dxa"/>
        <w:jc w:val="center"/>
        <w:tblLayout w:type="autofit"/>
        <w:tblCellMar>
          <w:top w:w="0" w:type="dxa"/>
          <w:left w:w="0" w:type="dxa"/>
          <w:bottom w:w="0" w:type="dxa"/>
          <w:right w:w="0" w:type="dxa"/>
        </w:tblCellMar>
      </w:tblPr>
      <w:tblGrid>
        <w:gridCol w:w="718"/>
        <w:gridCol w:w="41"/>
        <w:gridCol w:w="41"/>
        <w:gridCol w:w="3770"/>
        <w:gridCol w:w="1891"/>
        <w:gridCol w:w="1891"/>
        <w:gridCol w:w="1736"/>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val="en-US" w:eastAsia="zh-CN" w:bidi="ar"/>
              </w:rPr>
              <w:t>科协</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195.22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172.22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23.00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党委办公厅（室）及相关机构事务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科学技术支出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23.00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23.00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20601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科学技术管理事务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2060199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其他科学技术管理事务支出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20607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科学技术普及</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2060702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科普活动</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8"/>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val="en-US" w:eastAsia="zh-CN" w:bidi="ar"/>
              </w:rPr>
              <w:t>科协</w:t>
            </w: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119.21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32.93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39.39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10.14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26.60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0.50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0.31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2.93</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2.93</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12.58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9.57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0.22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23.98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17.16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6.98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0.58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17.16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0.87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4.80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2.73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136.37</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35.86</w:t>
            </w:r>
          </w:p>
        </w:tc>
      </w:tr>
    </w:tbl>
    <w:p>
      <w:r>
        <w:br w:type="page"/>
      </w:r>
    </w:p>
    <w:tbl>
      <w:tblPr>
        <w:tblStyle w:val="8"/>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科协</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2.70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2.70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2.70</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2.15</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2.15</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2.15</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0.00</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8"/>
        <w:tblW w:w="9510" w:type="dxa"/>
        <w:jc w:val="center"/>
        <w:tblLayout w:type="autofit"/>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科协</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ascii="楷体" w:hAnsi="楷体" w:eastAsia="楷体" w:cs="楷体"/>
          <w:sz w:val="32"/>
          <w:szCs w:val="32"/>
        </w:rPr>
      </w:pPr>
      <w:r>
        <w:rPr>
          <w:rFonts w:hint="eastAsia" w:ascii="楷体" w:hAnsi="楷体" w:eastAsia="楷体" w:cs="楷体"/>
          <w:sz w:val="32"/>
          <w:szCs w:val="32"/>
        </w:rPr>
        <w:t>本部门本年度无相关收入（或支出、收支及结转结余等）情况，按要求空表列示</w:t>
      </w:r>
    </w:p>
    <w:p>
      <w:pPr>
        <w:rPr>
          <w:rFonts w:hint="eastAsia" w:ascii="楷体" w:hAnsi="楷体" w:eastAsia="楷体" w:cs="楷体"/>
          <w:sz w:val="32"/>
          <w:szCs w:val="32"/>
        </w:rPr>
      </w:pPr>
    </w:p>
    <w:p>
      <w:pPr>
        <w:rPr>
          <w:rFonts w:hint="eastAsia" w:ascii="楷体" w:hAnsi="楷体" w:eastAsia="楷体" w:cs="楷体"/>
          <w:sz w:val="32"/>
          <w:szCs w:val="32"/>
        </w:rPr>
      </w:pPr>
    </w:p>
    <w:p>
      <w:pPr>
        <w:rPr>
          <w:rFonts w:hint="eastAsia" w:ascii="楷体" w:hAnsi="楷体" w:eastAsia="楷体" w:cs="楷体"/>
          <w:sz w:val="32"/>
          <w:szCs w:val="32"/>
        </w:rPr>
      </w:pPr>
    </w:p>
    <w:p>
      <w:pPr>
        <w:rPr>
          <w:rFonts w:hint="eastAsia" w:ascii="楷体" w:hAnsi="楷体" w:eastAsia="楷体" w:cs="楷体"/>
          <w:sz w:val="32"/>
          <w:szCs w:val="32"/>
        </w:rPr>
      </w:pPr>
    </w:p>
    <w:p>
      <w:pPr>
        <w:rPr>
          <w:rFonts w:hint="eastAsia" w:ascii="楷体" w:hAnsi="楷体" w:eastAsia="楷体" w:cs="楷体"/>
          <w:sz w:val="32"/>
          <w:szCs w:val="32"/>
        </w:rPr>
      </w:pPr>
    </w:p>
    <w:p>
      <w:pPr>
        <w:rPr>
          <w:rFonts w:hint="eastAsia" w:ascii="楷体" w:hAnsi="楷体" w:eastAsia="楷体" w:cs="楷体"/>
          <w:sz w:val="32"/>
          <w:szCs w:val="32"/>
        </w:rPr>
      </w:pPr>
    </w:p>
    <w:p>
      <w:pPr>
        <w:rPr>
          <w:rFonts w:hint="eastAsia" w:ascii="楷体" w:hAnsi="楷体" w:eastAsia="楷体" w:cs="楷体"/>
          <w:sz w:val="32"/>
          <w:szCs w:val="32"/>
        </w:rPr>
      </w:pPr>
    </w:p>
    <w:p>
      <w:pPr>
        <w:rPr>
          <w:rFonts w:hint="eastAsia" w:ascii="楷体" w:hAnsi="楷体" w:eastAsia="楷体" w:cs="楷体"/>
          <w:sz w:val="32"/>
          <w:szCs w:val="32"/>
        </w:rPr>
      </w:pPr>
    </w:p>
    <w:p>
      <w:pPr>
        <w:rPr>
          <w:rFonts w:hint="eastAsia" w:ascii="楷体" w:hAnsi="楷体" w:eastAsia="楷体" w:cs="楷体"/>
          <w:sz w:val="32"/>
          <w:szCs w:val="32"/>
        </w:rPr>
      </w:pPr>
    </w:p>
    <w:p>
      <w:pPr>
        <w:rPr>
          <w:rFonts w:hint="eastAsia" w:ascii="楷体" w:hAnsi="楷体" w:eastAsia="楷体" w:cs="楷体"/>
          <w:sz w:val="32"/>
          <w:szCs w:val="32"/>
        </w:rPr>
      </w:pPr>
    </w:p>
    <w:p>
      <w:pPr>
        <w:rPr>
          <w:rFonts w:hint="eastAsia" w:ascii="楷体" w:hAnsi="楷体" w:eastAsia="楷体" w:cs="楷体"/>
          <w:sz w:val="32"/>
          <w:szCs w:val="32"/>
        </w:rPr>
      </w:pPr>
    </w:p>
    <w:p>
      <w:pPr>
        <w:rPr>
          <w:rFonts w:hint="eastAsia" w:ascii="楷体" w:hAnsi="楷体" w:eastAsia="楷体" w:cs="楷体"/>
          <w:sz w:val="32"/>
          <w:szCs w:val="32"/>
        </w:rPr>
      </w:pPr>
    </w:p>
    <w:p>
      <w:pPr>
        <w:rPr>
          <w:rFonts w:hint="eastAsia" w:ascii="楷体" w:hAnsi="楷体" w:eastAsia="楷体" w:cs="楷体"/>
          <w:sz w:val="32"/>
          <w:szCs w:val="32"/>
        </w:rPr>
      </w:pPr>
    </w:p>
    <w:tbl>
      <w:tblPr>
        <w:tblStyle w:val="8"/>
        <w:tblW w:w="9915" w:type="dxa"/>
        <w:jc w:val="center"/>
        <w:tblLayout w:type="autofit"/>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pStyle w:val="4"/>
              <w:bidi w:val="0"/>
            </w:pPr>
            <w:r>
              <w:rPr>
                <w:rFonts w:hint="eastAsia"/>
              </w:rPr>
              <w:t>部门：</w:t>
            </w:r>
            <w:r>
              <w:rPr>
                <w:rFonts w:hint="eastAsia"/>
                <w:lang w:val="en-US" w:eastAsia="zh-CN"/>
              </w:rPr>
              <w:t>科协</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楷体" w:hAnsi="楷体" w:eastAsia="楷体" w:cs="楷体"/>
          <w:sz w:val="32"/>
          <w:szCs w:val="32"/>
        </w:rPr>
        <w:t>本部门本年度无相关收入（或支出、收支及结转结余等）情况，按要求空表列示。</w:t>
      </w:r>
      <w:r>
        <w:br w:type="page"/>
      </w:r>
      <w:r>
        <w:rPr>
          <w:rFonts w:hint="eastAsia"/>
        </w:rPr>
        <w:t>本部门本年度无相关收入（或支出、收支及结转结余等）情况，按要求空表列示</w:t>
      </w:r>
    </w:p>
    <w:p>
      <w:r>
        <mc:AlternateContent>
          <mc:Choice Requires="wps">
            <w:drawing>
              <wp:anchor distT="0" distB="0" distL="114300" distR="114300" simplePos="0" relativeHeight="25167974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974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9" w:type="first"/>
      <w:headerReference r:id="rId28" w:type="default"/>
      <w:footerReference r:id="rId30"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495AF2"/>
    <w:multiLevelType w:val="singleLevel"/>
    <w:tmpl w:val="81495AF2"/>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pPr>
        <w:ind w:left="-1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3D67DED"/>
    <w:rsid w:val="05B00A30"/>
    <w:rsid w:val="091728D6"/>
    <w:rsid w:val="0B011416"/>
    <w:rsid w:val="0D3D2AF7"/>
    <w:rsid w:val="161731E5"/>
    <w:rsid w:val="1B716140"/>
    <w:rsid w:val="1F1C169D"/>
    <w:rsid w:val="23C437C0"/>
    <w:rsid w:val="24A10580"/>
    <w:rsid w:val="2FB3104E"/>
    <w:rsid w:val="305D2E29"/>
    <w:rsid w:val="31C2036A"/>
    <w:rsid w:val="320D02A5"/>
    <w:rsid w:val="32775D0F"/>
    <w:rsid w:val="33D919A7"/>
    <w:rsid w:val="348E566F"/>
    <w:rsid w:val="38BB5849"/>
    <w:rsid w:val="3A226944"/>
    <w:rsid w:val="3AEE6A48"/>
    <w:rsid w:val="3C1620AA"/>
    <w:rsid w:val="3D8F080F"/>
    <w:rsid w:val="3F476799"/>
    <w:rsid w:val="41133CB4"/>
    <w:rsid w:val="44CE1FA4"/>
    <w:rsid w:val="487F73ED"/>
    <w:rsid w:val="49897B26"/>
    <w:rsid w:val="4A347EAE"/>
    <w:rsid w:val="4D286006"/>
    <w:rsid w:val="4D6227A8"/>
    <w:rsid w:val="52600405"/>
    <w:rsid w:val="529B4319"/>
    <w:rsid w:val="52B57732"/>
    <w:rsid w:val="57773DD6"/>
    <w:rsid w:val="5778041A"/>
    <w:rsid w:val="578B79AB"/>
    <w:rsid w:val="5B540F16"/>
    <w:rsid w:val="5CCD3FD5"/>
    <w:rsid w:val="60CA5A02"/>
    <w:rsid w:val="61FA5F9D"/>
    <w:rsid w:val="647F66CB"/>
    <w:rsid w:val="64CD6910"/>
    <w:rsid w:val="6749588D"/>
    <w:rsid w:val="6789158D"/>
    <w:rsid w:val="67D81BA4"/>
    <w:rsid w:val="68A54C9B"/>
    <w:rsid w:val="6A55766E"/>
    <w:rsid w:val="6AAF1C96"/>
    <w:rsid w:val="6BCA59C5"/>
    <w:rsid w:val="6BEE0A60"/>
    <w:rsid w:val="75681757"/>
    <w:rsid w:val="75A346A8"/>
    <w:rsid w:val="761E6291"/>
    <w:rsid w:val="79B9382C"/>
    <w:rsid w:val="7A615733"/>
    <w:rsid w:val="7AF24E66"/>
    <w:rsid w:val="7B043B76"/>
    <w:rsid w:val="7C041A6A"/>
    <w:rsid w:val="7C1C6313"/>
    <w:rsid w:val="7CEF62DF"/>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4"/>
    <w:basedOn w:val="1"/>
    <w:next w:val="1"/>
    <w:unhideWhenUsed/>
    <w:qFormat/>
    <w:uiPriority w:val="9"/>
    <w:pPr>
      <w:keepNext/>
      <w:keepLines/>
      <w:spacing w:before="280" w:beforeLines="0" w:beforeAutospacing="0" w:after="290" w:afterLines="0" w:afterAutospacing="0" w:line="372" w:lineRule="auto"/>
      <w:outlineLvl w:val="3"/>
    </w:pPr>
    <w:rPr>
      <w:rFonts w:ascii="Arial" w:hAnsi="Arial" w:eastAsia="黑体"/>
      <w:b/>
      <w:sz w:val="28"/>
    </w:rPr>
  </w:style>
  <w:style w:type="paragraph" w:styleId="4">
    <w:name w:val="heading 5"/>
    <w:basedOn w:val="1"/>
    <w:next w:val="1"/>
    <w:unhideWhenUsed/>
    <w:qFormat/>
    <w:uiPriority w:val="9"/>
    <w:pPr>
      <w:keepNext/>
      <w:keepLines/>
      <w:spacing w:before="280" w:beforeLines="0" w:beforeAutospacing="0" w:after="290" w:afterLines="0" w:afterAutospacing="0" w:line="372" w:lineRule="auto"/>
      <w:outlineLvl w:val="4"/>
    </w:pPr>
    <w:rPr>
      <w:b/>
      <w:sz w:val="28"/>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5">
    <w:name w:val="Body Text"/>
    <w:basedOn w:val="1"/>
    <w:unhideWhenUsed/>
    <w:qFormat/>
    <w:uiPriority w:val="99"/>
    <w:rPr>
      <w:rFonts w:ascii="仿宋_GB2312" w:hAnsi="仿宋_GB2312" w:eastAsia="仿宋_GB2312" w:cs="仿宋_GB2312"/>
      <w:sz w:val="32"/>
      <w:szCs w:val="32"/>
      <w:lang w:val="zh-CN" w:bidi="zh-CN"/>
    </w:rPr>
  </w:style>
  <w:style w:type="paragraph" w:styleId="6">
    <w:name w:val="footer"/>
    <w:basedOn w:val="1"/>
    <w:link w:val="12"/>
    <w:unhideWhenUsed/>
    <w:qFormat/>
    <w:uiPriority w:val="99"/>
    <w:pPr>
      <w:tabs>
        <w:tab w:val="center" w:pos="4153"/>
        <w:tab w:val="right" w:pos="8306"/>
      </w:tabs>
      <w:snapToGrid w:val="0"/>
      <w:jc w:val="left"/>
    </w:pPr>
    <w:rPr>
      <w:sz w:val="18"/>
      <w:szCs w:val="18"/>
    </w:rPr>
  </w:style>
  <w:style w:type="paragraph" w:styleId="7">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页眉 Char"/>
    <w:basedOn w:val="10"/>
    <w:link w:val="7"/>
    <w:qFormat/>
    <w:uiPriority w:val="99"/>
    <w:rPr>
      <w:rFonts w:asciiTheme="minorHAnsi" w:hAnsiTheme="minorHAnsi" w:eastAsiaTheme="minorEastAsia"/>
      <w:sz w:val="18"/>
      <w:szCs w:val="18"/>
    </w:rPr>
  </w:style>
  <w:style w:type="character" w:customStyle="1" w:styleId="12">
    <w:name w:val="页脚 Char"/>
    <w:basedOn w:val="10"/>
    <w:link w:val="6"/>
    <w:qFormat/>
    <w:uiPriority w:val="99"/>
    <w:rPr>
      <w:sz w:val="18"/>
      <w:szCs w:val="18"/>
    </w:rPr>
  </w:style>
  <w:style w:type="paragraph" w:customStyle="1" w:styleId="13">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1" Type="http://schemas.openxmlformats.org/officeDocument/2006/relationships/fontTable" Target="fontTable.xml"/><Relationship Id="rId40" Type="http://schemas.openxmlformats.org/officeDocument/2006/relationships/customXml" Target="../customXml/item2.xml"/><Relationship Id="rId4" Type="http://schemas.openxmlformats.org/officeDocument/2006/relationships/header" Target="head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chart" Target="charts/chart5.xml"/><Relationship Id="rId36" Type="http://schemas.openxmlformats.org/officeDocument/2006/relationships/chart" Target="charts/chart4.xml"/><Relationship Id="rId35" Type="http://schemas.openxmlformats.org/officeDocument/2006/relationships/chart" Target="charts/chart3.xml"/><Relationship Id="rId34" Type="http://schemas.openxmlformats.org/officeDocument/2006/relationships/chart" Target="charts/chart2.xml"/><Relationship Id="rId33" Type="http://schemas.openxmlformats.org/officeDocument/2006/relationships/chart" Target="charts/chart1.xml"/><Relationship Id="rId32" Type="http://schemas.openxmlformats.org/officeDocument/2006/relationships/image" Target="media/image2.bmp"/><Relationship Id="rId31" Type="http://schemas.openxmlformats.org/officeDocument/2006/relationships/theme" Target="theme/theme1.xml"/><Relationship Id="rId30" Type="http://schemas.openxmlformats.org/officeDocument/2006/relationships/footer" Target="footer11.xml"/><Relationship Id="rId3" Type="http://schemas.openxmlformats.org/officeDocument/2006/relationships/header" Target="header1.xml"/><Relationship Id="rId29" Type="http://schemas.openxmlformats.org/officeDocument/2006/relationships/header" Target="header17.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footer" Target="footer10.xml"/><Relationship Id="rId23" Type="http://schemas.openxmlformats.org/officeDocument/2006/relationships/footer" Target="footer9.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4.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tx>
            <c:strRef>
              <c:f>Sheet1!$B$1</c:f>
              <c:strCache>
                <c:ptCount val="1"/>
                <c:pt idx="0">
                  <c:v>收入构成情况</c:v>
                </c:pt>
              </c:strCache>
            </c:strRef>
          </c:tx>
          <c:spPr>
            <a:scene3d>
              <a:camera prst="orthographicFront"/>
              <a:lightRig rig="threePt" dir="t"/>
            </a:scene3d>
            <a:sp3d contourW="9525"/>
          </c:spPr>
          <c:explosion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其他收入</c:v>
                </c:pt>
              </c:strCache>
            </c:strRef>
          </c:cat>
          <c:val>
            <c:numRef>
              <c:f>Sheet1!$B$2:$B$3</c:f>
              <c:numCache>
                <c:formatCode>General</c:formatCode>
                <c:ptCount val="2"/>
                <c:pt idx="0">
                  <c:v>96.97</c:v>
                </c:pt>
                <c:pt idx="1">
                  <c:v>3.03</c:v>
                </c:pt>
              </c:numCache>
            </c:numRef>
          </c:val>
        </c:ser>
        <c:dLbls>
          <c:showLegendKey val="0"/>
          <c:showVal val="0"/>
          <c:showCatName val="1"/>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600" b="1" i="0" u="none" strike="noStrike" kern="1200" baseline="0">
              <a:solidFill>
                <a:schemeClr val="tx1">
                  <a:lumMod val="65000"/>
                  <a:lumOff val="35000"/>
                </a:schemeClr>
              </a:solidFill>
              <a:latin typeface="+mn-lt"/>
              <a:ea typeface="+mn-ea"/>
              <a:cs typeface="+mn-cs"/>
            </a:defRPr>
          </a:pPr>
        </a:p>
      </c:tx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534852288086503"/>
          <c:y val="0.0936572199730095"/>
          <c:w val="0.940722147132651"/>
          <c:h val="0.817813765182186"/>
        </c:manualLayout>
      </c:layout>
      <c:pie3DChart>
        <c:varyColors val="1"/>
        <c:ser>
          <c:idx val="0"/>
          <c:order val="0"/>
          <c:tx>
            <c:strRef>
              <c:f>Sheet1!$B$1</c:f>
              <c:strCache>
                <c:ptCount val="1"/>
                <c:pt idx="0">
                  <c:v>支出构成情况</c:v>
                </c:pt>
              </c:strCache>
            </c:strRef>
          </c:tx>
          <c:spPr>
            <a:scene3d>
              <a:camera prst="orthographicFront"/>
              <a:lightRig rig="threePt" dir="t"/>
            </a:scene3d>
            <a:sp3d contourW="9525"/>
          </c:spPr>
          <c:explosion val="0"/>
          <c:dPt>
            <c:idx val="0"/>
            <c:bubble3D val="0"/>
            <c:explosion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contourW="9525"/>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87.05</c:v>
                </c:pt>
                <c:pt idx="1">
                  <c:v>12.95</c:v>
                </c:pt>
              </c:numCache>
            </c:numRef>
          </c:val>
        </c:ser>
        <c:dLbls>
          <c:showLegendKey val="0"/>
          <c:showVal val="0"/>
          <c:showCatName val="1"/>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a:t>
            </a:r>
            <a:r>
              <a:rPr lang="en-US" altLang="zh-CN"/>
              <a:t>2018</a:t>
            </a:r>
            <a:r>
              <a:rPr altLang="en-US"/>
              <a:t>年度决算对比情况</a:t>
            </a:r>
            <a:endParaRPr lang="en-US" altLang="zh-CN"/>
          </a:p>
        </c:rich>
      </c:tx>
      <c:layout/>
      <c:overlay val="0"/>
      <c:spPr>
        <a:noFill/>
        <a:ln>
          <a:noFill/>
        </a:ln>
        <a:effectLst/>
      </c:spPr>
    </c:title>
    <c:autoTitleDeleted val="0"/>
    <c:plotArea>
      <c:layout>
        <c:manualLayout>
          <c:layoutTarget val="inner"/>
          <c:xMode val="edge"/>
          <c:yMode val="edge"/>
          <c:x val="0.060075"/>
          <c:y val="0.179708826205642"/>
          <c:w val="0.903675"/>
          <c:h val="0.614058234758872"/>
        </c:manualLayout>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166.38</c:v>
                </c:pt>
                <c:pt idx="1">
                  <c:v>173.23</c:v>
                </c:pt>
              </c:numCache>
            </c:numRef>
          </c:val>
        </c:ser>
        <c:ser>
          <c:idx val="1"/>
          <c:order val="1"/>
          <c:tx>
            <c:strRef>
              <c:f>Sheet1!$C$1</c:f>
              <c:strCache>
                <c:ptCount val="1"/>
                <c:pt idx="0">
                  <c:v>2019年</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197.71</c:v>
                </c:pt>
                <c:pt idx="1">
                  <c:v>197.85</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663234474"/>
        <c:axId val="981870310"/>
      </c:barChart>
      <c:catAx>
        <c:axId val="66323447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81870310"/>
        <c:crosses val="autoZero"/>
        <c:auto val="1"/>
        <c:lblAlgn val="ctr"/>
        <c:lblOffset val="100"/>
        <c:noMultiLvlLbl val="0"/>
      </c:catAx>
      <c:valAx>
        <c:axId val="98187031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323447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财政拨款收支与年初预算数对比</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年初预算</c:v>
                </c:pt>
              </c:strCache>
            </c:strRef>
          </c:tx>
          <c:spPr>
            <a:solidFill>
              <a:schemeClr val="accent1"/>
            </a:solidFill>
            <a:ln>
              <a:noFill/>
            </a:ln>
            <a:effectLst/>
          </c:spPr>
          <c:invertIfNegative val="0"/>
          <c:dLbls>
            <c:delete val="1"/>
          </c:dLbls>
          <c:cat>
            <c:strRef>
              <c:extLst>
                <c:ext xmlns:c15="http://schemas.microsoft.com/office/drawing/2012/chart" uri="{02D57815-91ED-43cb-92C2-25804820EDAC}">
                  <c15:fullRef>
                    <c15:sqref>Sheet1!$A$2:$A$3</c15:sqref>
                  </c15:fullRef>
                </c:ext>
              </c:extLst>
              <c:f>Sheet1!$A$2:$A$3</c:f>
              <c:strCache>
                <c:ptCount val="2"/>
                <c:pt idx="0">
                  <c:v>收入</c:v>
                </c:pt>
                <c:pt idx="1">
                  <c:v>支出</c:v>
                </c:pt>
              </c:strCache>
            </c:strRef>
          </c:cat>
          <c:val>
            <c:numRef>
              <c:extLst>
                <c:ext xmlns:c15="http://schemas.microsoft.com/office/drawing/2012/chart" uri="{02D57815-91ED-43cb-92C2-25804820EDAC}">
                  <c15:fullRef>
                    <c15:sqref>Sheet1!$B$2:$B$3</c15:sqref>
                  </c15:fullRef>
                </c:ext>
              </c:extLst>
              <c:f>Sheet1!$B$2:$B$3</c:f>
              <c:numCache>
                <c:formatCode>General</c:formatCode>
                <c:ptCount val="2"/>
                <c:pt idx="0">
                  <c:v>177.91</c:v>
                </c:pt>
                <c:pt idx="1">
                  <c:v>177.91</c:v>
                </c:pt>
              </c:numCache>
            </c:numRef>
          </c:val>
        </c:ser>
        <c:ser>
          <c:idx val="1"/>
          <c:order val="1"/>
          <c:tx>
            <c:strRef>
              <c:f>Sheet1!$C$1</c:f>
              <c:strCache>
                <c:ptCount val="1"/>
                <c:pt idx="0">
                  <c:v>财政拨款</c:v>
                </c:pt>
              </c:strCache>
            </c:strRef>
          </c:tx>
          <c:spPr>
            <a:solidFill>
              <a:schemeClr val="accent2"/>
            </a:solidFill>
            <a:ln>
              <a:noFill/>
            </a:ln>
            <a:effectLst/>
          </c:spPr>
          <c:invertIfNegative val="0"/>
          <c:dLbls>
            <c:delete val="1"/>
          </c:dLbls>
          <c:cat>
            <c:strRef>
              <c:extLst>
                <c:ext xmlns:c15="http://schemas.microsoft.com/office/drawing/2012/chart" uri="{02D57815-91ED-43cb-92C2-25804820EDAC}">
                  <c15:fullRef>
                    <c15:sqref>Sheet1!$A$2:$A$3</c15:sqref>
                  </c15:fullRef>
                </c:ext>
              </c:extLst>
              <c:f>Sheet1!$A$2:$A$3</c:f>
              <c:strCache>
                <c:ptCount val="2"/>
                <c:pt idx="0">
                  <c:v>收入</c:v>
                </c:pt>
                <c:pt idx="1">
                  <c:v>支出</c:v>
                </c:pt>
              </c:strCache>
            </c:strRef>
          </c:cat>
          <c:val>
            <c:numRef>
              <c:extLst>
                <c:ext xmlns:c15="http://schemas.microsoft.com/office/drawing/2012/chart" uri="{02D57815-91ED-43cb-92C2-25804820EDAC}">
                  <c15:fullRef>
                    <c15:sqref>Sheet1!$C$2:$C$3</c15:sqref>
                  </c15:fullRef>
                </c:ext>
              </c:extLst>
              <c:f>Sheet1!$C$2:$C$3</c:f>
              <c:numCache>
                <c:formatCode>General</c:formatCode>
                <c:ptCount val="2"/>
                <c:pt idx="0">
                  <c:v>191.71</c:v>
                </c:pt>
                <c:pt idx="1">
                  <c:v>197.85</c:v>
                </c:pt>
              </c:numCache>
            </c:numRef>
          </c:val>
        </c:ser>
        <c:dLbls>
          <c:showLegendKey val="0"/>
          <c:showVal val="0"/>
          <c:showCatName val="0"/>
          <c:showSerName val="0"/>
          <c:showPercent val="0"/>
          <c:showBubbleSize val="0"/>
        </c:dLbls>
        <c:gapWidth val="219"/>
        <c:overlap val="-27"/>
        <c:axId val="154708011"/>
        <c:axId val="906043191"/>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Sheet1!$A$2:$A$3</c15:sqref>
                        </c15:fullRef>
                        <c15:formulaRef>
                          <c15:sqref>Sheet1!$A$2:$A$3</c15:sqref>
                        </c15:formulaRef>
                      </c:ext>
                    </c:extLst>
                    <c:strCache>
                      <c:ptCount val="2"/>
                      <c:pt idx="0">
                        <c:v>收入</c:v>
                      </c:pt>
                      <c:pt idx="1">
                        <c:v>支出</c:v>
                      </c:pt>
                    </c:strCache>
                  </c:strRef>
                </c:cat>
              </c15:ser>
            </c15:filteredBarSeries>
          </c:ext>
        </c:extLst>
      </c:barChart>
      <c:catAx>
        <c:axId val="15470801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06043191"/>
        <c:crosses val="autoZero"/>
        <c:auto val="1"/>
        <c:lblAlgn val="ctr"/>
        <c:lblOffset val="100"/>
        <c:noMultiLvlLbl val="0"/>
      </c:catAx>
      <c:valAx>
        <c:axId val="9060431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4708011"/>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69065593021305"/>
          <c:y val="0.00909090909090909"/>
          <c:w val="0.926186881395739"/>
          <c:h val="0.790606060606061"/>
        </c:manualLayout>
      </c:layout>
      <c:pie3DChart>
        <c:varyColors val="1"/>
        <c:ser>
          <c:idx val="0"/>
          <c:order val="0"/>
          <c:tx>
            <c:strRef>
              <c:f>Sheet1!$B$1</c:f>
              <c:strCache>
                <c:ptCount val="1"/>
                <c:pt idx="0">
                  <c:v>百分比</c:v>
                </c:pt>
              </c:strCache>
            </c:strRef>
          </c:tx>
          <c:spPr>
            <a:scene3d>
              <a:camera prst="orthographicFront"/>
              <a:lightRig rig="threePt" dir="t"/>
            </a:scene3d>
            <a:sp3d contourW="9525"/>
          </c:spPr>
          <c:explosion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contourW="9525"/>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contourW="9525"/>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contourW="9525"/>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contourW="9525"/>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一般公共服务类</c:v>
                </c:pt>
                <c:pt idx="1">
                  <c:v>住房保障类</c:v>
                </c:pt>
                <c:pt idx="2">
                  <c:v>卫生健康类</c:v>
                </c:pt>
                <c:pt idx="3">
                  <c:v>科学技术类</c:v>
                </c:pt>
                <c:pt idx="4">
                  <c:v>社会保障和就业类</c:v>
                </c:pt>
              </c:strCache>
            </c:strRef>
          </c:cat>
          <c:val>
            <c:numRef>
              <c:f>Sheet1!$B$2:$B$6</c:f>
              <c:numCache>
                <c:formatCode>General</c:formatCode>
                <c:ptCount val="5"/>
                <c:pt idx="0">
                  <c:v>72.53</c:v>
                </c:pt>
                <c:pt idx="1">
                  <c:v>3.32</c:v>
                </c:pt>
                <c:pt idx="2">
                  <c:v>4.84</c:v>
                </c:pt>
                <c:pt idx="3">
                  <c:v>12.95</c:v>
                </c:pt>
                <c:pt idx="4">
                  <c:v>6.36</c:v>
                </c:pt>
              </c:numCache>
            </c:numRef>
          </c:val>
        </c:ser>
        <c:dLbls>
          <c:showLegendKey val="0"/>
          <c:showVal val="0"/>
          <c:showCatName val="1"/>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1238</TotalTime>
  <ScaleCrop>false</ScaleCrop>
  <LinksUpToDate>false</LinksUpToDate>
  <CharactersWithSpaces>11119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2021-06-18T08:04:05Z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