
<file path=[Content_Types].xml><?xml version="1.0" encoding="utf-8"?>
<Types xmlns="http://schemas.openxmlformats.org/package/2006/content-types">
  <Default Extension="xml" ContentType="application/xml"/>
  <Default Extension="xlsx" ContentType="application/vnd.openxmlformats-officedocument.spreadsheetml.sheet"/>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pgBorders>
            <w:top w:val="none" w:sz="0" w:space="0"/>
            <w:left w:val="none" w:sz="0" w:space="0"/>
            <w:bottom w:val="none" w:sz="0" w:space="0"/>
            <w:right w:val="none" w:sz="0" w:space="0"/>
          </w:pgBorders>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ind w:firstLine="1760" w:firstLineChars="400"/>
        <w:jc w:val="both"/>
        <w:rPr>
          <w:rFonts w:ascii="楷体_GB2312" w:hAnsi="楷体_GB2312" w:eastAsia="楷体_GB2312" w:cs="楷体_GB2312"/>
          <w:color w:val="000000" w:themeColor="text1"/>
          <w:kern w:val="0"/>
          <w:sz w:val="44"/>
          <w:szCs w:val="44"/>
          <w:highlight w:val="none"/>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石家庄市鹿泉区医疗保障局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widowControl/>
        <w:spacing w:line="600" w:lineRule="exact"/>
        <w:jc w:val="left"/>
        <w:rPr>
          <w:rFonts w:hint="eastAsia"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v:fill type="pattern" on="t" color2="#FFFFFF [3212]" focussize="0,0" r:id="rId27"/>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autoSpaceDE w:val="0"/>
        <w:autoSpaceDN w:val="0"/>
        <w:adjustRightInd w:val="0"/>
        <w:spacing w:after="0" w:line="560" w:lineRule="exact"/>
        <w:ind w:firstLine="640"/>
        <w:jc w:val="left"/>
        <w:rPr>
          <w:rFonts w:hint="eastAsia" w:ascii="仿宋_GB2312" w:hAnsi="Cambria" w:eastAsia="仿宋_GB2312" w:cs="ArialUnicodeMS"/>
          <w:kern w:val="0"/>
          <w:sz w:val="32"/>
          <w:szCs w:val="32"/>
          <w:highlight w:val="none"/>
          <w:lang w:val="en-US" w:eastAsia="zh-CN"/>
        </w:rPr>
      </w:pPr>
      <w:r>
        <w:rPr>
          <w:rFonts w:hint="eastAsia" w:ascii="仿宋_GB2312" w:hAnsi="Cambria" w:eastAsia="仿宋_GB2312" w:cs="ArialUnicodeMS"/>
          <w:kern w:val="0"/>
          <w:sz w:val="32"/>
          <w:szCs w:val="32"/>
          <w:highlight w:val="none"/>
          <w:lang w:val="en-US" w:eastAsia="zh-CN"/>
        </w:rPr>
        <w:t>贯彻落实党中央和省、市、区委关于医疗保障工作的方针政策和决策部署，坚持和加强党对医疗保障工作的集中统一领导。</w:t>
      </w:r>
    </w:p>
    <w:p>
      <w:pPr>
        <w:autoSpaceDE w:val="0"/>
        <w:autoSpaceDN w:val="0"/>
        <w:adjustRightInd w:val="0"/>
        <w:spacing w:after="0" w:line="560" w:lineRule="exact"/>
        <w:ind w:firstLine="640"/>
        <w:jc w:val="left"/>
        <w:rPr>
          <w:rFonts w:hint="eastAsia" w:ascii="仿宋_GB2312" w:hAnsi="Cambria" w:eastAsia="仿宋_GB2312" w:cs="ArialUnicodeMS"/>
          <w:kern w:val="0"/>
          <w:sz w:val="32"/>
          <w:szCs w:val="32"/>
          <w:highlight w:val="none"/>
          <w:lang w:val="en-US" w:eastAsia="zh-CN"/>
        </w:rPr>
      </w:pPr>
      <w:r>
        <w:rPr>
          <w:rFonts w:hint="eastAsia" w:ascii="仿宋_GB2312" w:hAnsi="Cambria" w:eastAsia="仿宋_GB2312" w:cs="ArialUnicodeMS"/>
          <w:kern w:val="0"/>
          <w:sz w:val="32"/>
          <w:szCs w:val="32"/>
          <w:highlight w:val="none"/>
          <w:lang w:val="en-US" w:eastAsia="zh-CN"/>
        </w:rPr>
        <w:t>主要职责是：</w:t>
      </w:r>
    </w:p>
    <w:p>
      <w:pPr>
        <w:numPr>
          <w:ilvl w:val="0"/>
          <w:numId w:val="1"/>
        </w:numPr>
        <w:autoSpaceDE w:val="0"/>
        <w:autoSpaceDN w:val="0"/>
        <w:adjustRightInd w:val="0"/>
        <w:spacing w:after="0" w:line="560" w:lineRule="exact"/>
        <w:ind w:firstLine="640"/>
        <w:jc w:val="left"/>
        <w:rPr>
          <w:rFonts w:hint="eastAsia" w:ascii="仿宋_GB2312" w:hAnsi="Cambria" w:eastAsia="仿宋_GB2312" w:cs="ArialUnicodeMS"/>
          <w:kern w:val="0"/>
          <w:sz w:val="32"/>
          <w:szCs w:val="32"/>
          <w:highlight w:val="none"/>
          <w:lang w:val="en-US" w:eastAsia="zh-CN"/>
        </w:rPr>
      </w:pPr>
      <w:r>
        <w:rPr>
          <w:rFonts w:hint="eastAsia" w:ascii="仿宋_GB2312" w:hAnsi="Cambria" w:eastAsia="仿宋_GB2312" w:cs="ArialUnicodeMS"/>
          <w:kern w:val="0"/>
          <w:sz w:val="32"/>
          <w:szCs w:val="32"/>
          <w:highlight w:val="none"/>
          <w:lang w:val="en-US" w:eastAsia="zh-CN"/>
        </w:rPr>
        <w:t>贯彻落实国家、省、市关于城镇职工和城乡居民医疗保险、生育保险、长期护理保险、医疗救助等医疗保障法规、规章以及政策、制度、规划和标准。按照政策规定拟订本辖区具体医疗保障政策，并组织实施。</w:t>
      </w:r>
    </w:p>
    <w:p>
      <w:pPr>
        <w:numPr>
          <w:ilvl w:val="0"/>
          <w:numId w:val="1"/>
        </w:numPr>
        <w:autoSpaceDE w:val="0"/>
        <w:autoSpaceDN w:val="0"/>
        <w:adjustRightInd w:val="0"/>
        <w:spacing w:after="0" w:line="560" w:lineRule="exact"/>
        <w:ind w:firstLine="640"/>
        <w:jc w:val="left"/>
        <w:rPr>
          <w:rFonts w:hint="default" w:ascii="仿宋_GB2312" w:hAnsi="Cambria" w:eastAsia="仿宋_GB2312" w:cs="ArialUnicodeMS"/>
          <w:kern w:val="0"/>
          <w:sz w:val="32"/>
          <w:szCs w:val="32"/>
          <w:highlight w:val="none"/>
          <w:lang w:val="en-US" w:eastAsia="zh-CN"/>
        </w:rPr>
      </w:pPr>
      <w:r>
        <w:rPr>
          <w:rFonts w:hint="eastAsia" w:ascii="仿宋_GB2312" w:hAnsi="Cambria" w:eastAsia="仿宋_GB2312" w:cs="ArialUnicodeMS"/>
          <w:kern w:val="0"/>
          <w:sz w:val="32"/>
          <w:szCs w:val="32"/>
          <w:highlight w:val="none"/>
          <w:lang w:val="en-US" w:eastAsia="zh-CN"/>
        </w:rPr>
        <w:t>贯彻落实国家、省、市医疗保障基金监督管理规定，建立健全医疗保障基金安全防控机制，建设维护网络信息系统和智能监控平台，按上级部署推进医疗保障基金支付方式改革，并组织实施。</w:t>
      </w:r>
    </w:p>
    <w:p>
      <w:pPr>
        <w:numPr>
          <w:ilvl w:val="0"/>
          <w:numId w:val="1"/>
        </w:numPr>
        <w:autoSpaceDE w:val="0"/>
        <w:autoSpaceDN w:val="0"/>
        <w:adjustRightInd w:val="0"/>
        <w:spacing w:after="0" w:line="560" w:lineRule="exact"/>
        <w:ind w:firstLine="640"/>
        <w:jc w:val="left"/>
        <w:rPr>
          <w:rFonts w:hint="default" w:ascii="仿宋_GB2312" w:hAnsi="Cambria" w:eastAsia="仿宋_GB2312" w:cs="ArialUnicodeMS"/>
          <w:kern w:val="0"/>
          <w:sz w:val="32"/>
          <w:szCs w:val="32"/>
          <w:highlight w:val="none"/>
          <w:lang w:val="en-US" w:eastAsia="zh-CN"/>
        </w:rPr>
      </w:pPr>
      <w:r>
        <w:rPr>
          <w:rFonts w:hint="eastAsia" w:ascii="仿宋_GB2312" w:hAnsi="Cambria" w:eastAsia="仿宋_GB2312" w:cs="ArialUnicodeMS"/>
          <w:kern w:val="0"/>
          <w:sz w:val="32"/>
          <w:szCs w:val="32"/>
          <w:highlight w:val="none"/>
          <w:lang w:val="en-US" w:eastAsia="zh-CN"/>
        </w:rPr>
        <w:t>贯彻落实石家庄市城镇职工、城乡居民参保筹资和保障相关待遇政策。贯彻落实长期护理保险制度及政策并组织实施。</w:t>
      </w:r>
    </w:p>
    <w:p>
      <w:pPr>
        <w:numPr>
          <w:ilvl w:val="0"/>
          <w:numId w:val="1"/>
        </w:numPr>
        <w:autoSpaceDE w:val="0"/>
        <w:autoSpaceDN w:val="0"/>
        <w:adjustRightInd w:val="0"/>
        <w:spacing w:after="0" w:line="560" w:lineRule="exact"/>
        <w:ind w:firstLine="640"/>
        <w:jc w:val="left"/>
        <w:rPr>
          <w:rFonts w:hint="default" w:ascii="仿宋_GB2312" w:hAnsi="Cambria" w:eastAsia="仿宋_GB2312" w:cs="ArialUnicodeMS"/>
          <w:kern w:val="0"/>
          <w:sz w:val="32"/>
          <w:szCs w:val="32"/>
          <w:highlight w:val="none"/>
          <w:lang w:val="en-US" w:eastAsia="zh-CN"/>
        </w:rPr>
      </w:pPr>
      <w:r>
        <w:rPr>
          <w:rFonts w:hint="eastAsia" w:ascii="仿宋_GB2312" w:hAnsi="Cambria" w:eastAsia="仿宋_GB2312" w:cs="ArialUnicodeMS"/>
          <w:kern w:val="0"/>
          <w:sz w:val="32"/>
          <w:szCs w:val="32"/>
          <w:highlight w:val="none"/>
          <w:lang w:val="en-US" w:eastAsia="zh-CN"/>
        </w:rPr>
        <w:t>贯彻落实城乡统一的药品、医用耗材、医疗服务项目、医疗服务设施等医保支付标准。</w:t>
      </w:r>
    </w:p>
    <w:p>
      <w:pPr>
        <w:numPr>
          <w:ilvl w:val="0"/>
          <w:numId w:val="1"/>
        </w:numPr>
        <w:autoSpaceDE w:val="0"/>
        <w:autoSpaceDN w:val="0"/>
        <w:adjustRightInd w:val="0"/>
        <w:spacing w:after="0" w:line="560" w:lineRule="exact"/>
        <w:ind w:firstLine="640"/>
        <w:jc w:val="left"/>
        <w:rPr>
          <w:rFonts w:hint="default" w:ascii="仿宋_GB2312" w:hAnsi="Cambria" w:eastAsia="仿宋_GB2312" w:cs="ArialUnicodeMS"/>
          <w:kern w:val="0"/>
          <w:sz w:val="32"/>
          <w:szCs w:val="32"/>
          <w:highlight w:val="none"/>
          <w:lang w:val="en-US" w:eastAsia="zh-CN"/>
        </w:rPr>
      </w:pPr>
      <w:r>
        <w:rPr>
          <w:rFonts w:hint="eastAsia" w:ascii="仿宋_GB2312" w:hAnsi="Cambria" w:eastAsia="仿宋_GB2312" w:cs="ArialUnicodeMS"/>
          <w:kern w:val="0"/>
          <w:sz w:val="32"/>
          <w:szCs w:val="32"/>
          <w:highlight w:val="none"/>
          <w:lang w:val="en-US" w:eastAsia="zh-CN"/>
        </w:rPr>
        <w:t>按照政策规定制定和调整公立基层医疗机构医疗服务价格。贯彻落实上级医保支付医药服务价格政策。依法管理药品、医用耗材、医疗服务价格政策执行情况。组织实施药品、医用耗材、医疗服务价格政策执行情况。组织实施药品、医用耗材和医疗服务价格检测信息发布工作。</w:t>
      </w:r>
    </w:p>
    <w:p>
      <w:pPr>
        <w:numPr>
          <w:ilvl w:val="0"/>
          <w:numId w:val="1"/>
        </w:numPr>
        <w:autoSpaceDE w:val="0"/>
        <w:autoSpaceDN w:val="0"/>
        <w:adjustRightInd w:val="0"/>
        <w:spacing w:after="0" w:line="560" w:lineRule="exact"/>
        <w:ind w:firstLine="640"/>
        <w:jc w:val="left"/>
        <w:rPr>
          <w:rFonts w:hint="default" w:ascii="仿宋_GB2312" w:hAnsi="Cambria" w:eastAsia="仿宋_GB2312" w:cs="ArialUnicodeMS"/>
          <w:kern w:val="0"/>
          <w:sz w:val="32"/>
          <w:szCs w:val="32"/>
          <w:highlight w:val="none"/>
          <w:lang w:val="en-US" w:eastAsia="zh-CN"/>
        </w:rPr>
      </w:pPr>
      <w:r>
        <w:rPr>
          <w:rFonts w:hint="eastAsia" w:ascii="仿宋_GB2312" w:hAnsi="Cambria" w:eastAsia="仿宋_GB2312" w:cs="ArialUnicodeMS"/>
          <w:kern w:val="0"/>
          <w:sz w:val="32"/>
          <w:szCs w:val="32"/>
          <w:highlight w:val="none"/>
          <w:lang w:val="en-US" w:eastAsia="zh-CN"/>
        </w:rPr>
        <w:t>贯彻落实石家庄市定点医疗机构协议和支付管理办法。建立健全医疗保障信用评价体系和信息披露制度，监督管理定点医药机构的医疗服务行为、医疗费用和医药价格，依法查处医疗保障领域违法违规行为。</w:t>
      </w:r>
    </w:p>
    <w:p>
      <w:pPr>
        <w:numPr>
          <w:ilvl w:val="0"/>
          <w:numId w:val="1"/>
        </w:numPr>
        <w:autoSpaceDE w:val="0"/>
        <w:autoSpaceDN w:val="0"/>
        <w:adjustRightInd w:val="0"/>
        <w:spacing w:after="0" w:line="560" w:lineRule="exact"/>
        <w:ind w:firstLine="640"/>
        <w:jc w:val="left"/>
        <w:rPr>
          <w:rFonts w:hint="default" w:ascii="仿宋_GB2312" w:hAnsi="Cambria" w:eastAsia="仿宋_GB2312" w:cs="ArialUnicodeMS"/>
          <w:kern w:val="0"/>
          <w:sz w:val="32"/>
          <w:szCs w:val="32"/>
          <w:highlight w:val="none"/>
          <w:lang w:val="en-US" w:eastAsia="zh-CN"/>
        </w:rPr>
      </w:pPr>
      <w:r>
        <w:rPr>
          <w:rFonts w:hint="eastAsia" w:ascii="仿宋_GB2312" w:hAnsi="Cambria" w:eastAsia="仿宋_GB2312" w:cs="ArialUnicodeMS"/>
          <w:kern w:val="0"/>
          <w:sz w:val="32"/>
          <w:szCs w:val="32"/>
          <w:highlight w:val="none"/>
          <w:lang w:val="en-US" w:eastAsia="zh-CN"/>
        </w:rPr>
        <w:t>负责医疗保障经办管理、公共服务体系和信息化建设。贯彻落实异地就医管理和费用结算政策、医疗保障关系转移接续制度。</w:t>
      </w:r>
    </w:p>
    <w:p>
      <w:pPr>
        <w:numPr>
          <w:ilvl w:val="0"/>
          <w:numId w:val="1"/>
        </w:numPr>
        <w:autoSpaceDE w:val="0"/>
        <w:autoSpaceDN w:val="0"/>
        <w:adjustRightInd w:val="0"/>
        <w:spacing w:after="0" w:line="560" w:lineRule="exact"/>
        <w:ind w:firstLine="640"/>
        <w:jc w:val="left"/>
        <w:rPr>
          <w:rFonts w:hint="default" w:ascii="仿宋_GB2312" w:hAnsi="Cambria" w:eastAsia="仿宋_GB2312" w:cs="ArialUnicodeMS"/>
          <w:kern w:val="0"/>
          <w:sz w:val="32"/>
          <w:szCs w:val="32"/>
          <w:highlight w:val="none"/>
          <w:lang w:val="en-US" w:eastAsia="zh-CN"/>
        </w:rPr>
      </w:pPr>
      <w:r>
        <w:rPr>
          <w:rFonts w:hint="eastAsia" w:ascii="仿宋_GB2312" w:hAnsi="Cambria" w:eastAsia="仿宋_GB2312" w:cs="ArialUnicodeMS"/>
          <w:kern w:val="0"/>
          <w:sz w:val="32"/>
          <w:szCs w:val="32"/>
          <w:highlight w:val="none"/>
          <w:lang w:val="en-US" w:eastAsia="zh-CN"/>
        </w:rPr>
        <w:t>完成区委、区政府交办的其他任务。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2</w:t>
      </w:r>
      <w:r>
        <w:rPr>
          <w:rFonts w:hint="eastAsia" w:ascii="仿宋_GB2312" w:hAnsi="Calibri" w:eastAsia="仿宋_GB2312" w:cs="ArialUnicodeMS"/>
          <w:kern w:val="0"/>
          <w:sz w:val="32"/>
          <w:szCs w:val="32"/>
        </w:rPr>
        <w:t>个，具体情况如下：</w:t>
      </w:r>
    </w:p>
    <w:tbl>
      <w:tblPr>
        <w:tblStyle w:val="9"/>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石家庄市鹿泉区医疗保障局</w:t>
            </w:r>
            <w:r>
              <w:rPr>
                <w:rFonts w:hint="eastAsia" w:ascii="仿宋_GB2312" w:hAnsi="Calibri" w:eastAsia="仿宋_GB2312" w:cs="ArialUnicodeMS"/>
                <w:kern w:val="0"/>
                <w:sz w:val="28"/>
                <w:szCs w:val="28"/>
              </w:rPr>
              <w:t>(本级)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石家庄市鹿泉区医疗保险管理中心</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Borders>
            <w:top w:val="none" w:sz="0" w:space="0"/>
            <w:left w:val="none" w:sz="0" w:space="0"/>
            <w:bottom w:val="none" w:sz="0" w:space="0"/>
            <w:right w:val="none" w:sz="0" w:space="0"/>
          </w:pgBorders>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257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2576;v-text-anchor:middle;mso-width-relative:page;mso-height-relative:page;" fillcolor="#FFD966" filled="t" stroked="t" coordsize="21600,21600"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本部门2019年度收支总计（含结转和结余）11226.05万元。与2018年度决算相比，收支各增加11226.05万元，增长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本部门为</w:t>
      </w:r>
      <w:r>
        <w:rPr>
          <w:rFonts w:hint="eastAsia" w:ascii="仿宋_GB2312" w:hAnsi="Times New Roman" w:eastAsia="仿宋_GB2312" w:cs="DengXian-Regular"/>
          <w:sz w:val="32"/>
          <w:szCs w:val="32"/>
          <w:lang w:val="en-US" w:eastAsia="zh-CN"/>
        </w:rPr>
        <w:t>2019年机构改革新成立单位，2018年无相关数据</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5605.25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5573.06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99.43</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32.19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0.57</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5586.4</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661.33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11.84</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4925.07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88.16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r>
        <w:rPr>
          <w:sz w:val="32"/>
        </w:rPr>
        <mc:AlternateContent>
          <mc:Choice Requires="wps">
            <w:drawing>
              <wp:anchor distT="0" distB="0" distL="114300" distR="114300" simplePos="0" relativeHeight="251680768" behindDoc="0" locked="0" layoutInCell="1" allowOverlap="1">
                <wp:simplePos x="0" y="0"/>
                <wp:positionH relativeFrom="column">
                  <wp:posOffset>2486025</wp:posOffset>
                </wp:positionH>
                <wp:positionV relativeFrom="paragraph">
                  <wp:posOffset>506095</wp:posOffset>
                </wp:positionV>
                <wp:extent cx="866775" cy="447040"/>
                <wp:effectExtent l="0" t="0" r="0" b="0"/>
                <wp:wrapNone/>
                <wp:docPr id="25" name="文本框 25"/>
                <wp:cNvGraphicFramePr/>
                <a:graphic xmlns:a="http://schemas.openxmlformats.org/drawingml/2006/main">
                  <a:graphicData uri="http://schemas.microsoft.com/office/word/2010/wordprocessingShape">
                    <wps:wsp>
                      <wps:cNvSpPr txBox="1"/>
                      <wps:spPr>
                        <a:xfrm>
                          <a:off x="3799205" y="6588125"/>
                          <a:ext cx="866775" cy="44704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default" w:eastAsiaTheme="minorEastAsia"/>
                                <w:sz w:val="16"/>
                                <w:szCs w:val="16"/>
                                <w:lang w:val="en-US" w:eastAsia="zh-CN"/>
                              </w:rPr>
                            </w:pPr>
                            <w:r>
                              <w:rPr>
                                <w:rFonts w:hint="eastAsia"/>
                                <w:sz w:val="16"/>
                                <w:szCs w:val="16"/>
                                <w:lang w:val="en-US" w:eastAsia="zh-CN"/>
                              </w:rPr>
                              <w:t>11.84%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95.75pt;margin-top:39.85pt;height:35.2pt;width:68.25pt;z-index:251680768;mso-width-relative:page;mso-height-relative:page;" filled="f" stroked="f" coordsize="21600,21600" o:gfxdata="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5VkLzbAAAACgEAAA8AAAAAAAAAAQAgAAAAIgAAAGRycy9kb3ducmV2LnhtbFBL&#10;AQIUABQAAAAIAIdO4kBjY5t0LAIAACUEAAAOAAAAAAAAAAEAIAAAACoBAABkcnMvZTJvRG9jLnht&#10;bFBLBQYAAAAABgAGAFkBAADIBQAAAAA=&#10;">
                <v:fill on="f" focussize="0,0"/>
                <v:stroke on="f" weight="0.5pt"/>
                <v:imagedata o:title=""/>
                <o:lock v:ext="edit" aspectratio="f"/>
                <v:textbox>
                  <w:txbxContent>
                    <w:p>
                      <w:pPr>
                        <w:rPr>
                          <w:rFonts w:hint="default" w:eastAsiaTheme="minorEastAsia"/>
                          <w:sz w:val="16"/>
                          <w:szCs w:val="16"/>
                          <w:lang w:val="en-US" w:eastAsia="zh-CN"/>
                        </w:rPr>
                      </w:pPr>
                      <w:r>
                        <w:rPr>
                          <w:rFonts w:hint="eastAsia"/>
                          <w:sz w:val="16"/>
                          <w:szCs w:val="16"/>
                          <w:lang w:val="en-US" w:eastAsia="zh-CN"/>
                        </w:rPr>
                        <w:t>11.84%</w:t>
                      </w:r>
                    </w:p>
                  </w:txbxContent>
                </v:textbox>
              </v:shape>
            </w:pict>
          </mc:Fallback>
        </mc:AlternateContent>
      </w:r>
      <w:r>
        <w:rPr>
          <w:sz w:val="32"/>
        </w:rPr>
        <mc:AlternateContent>
          <mc:Choice Requires="wps">
            <w:drawing>
              <wp:anchor distT="0" distB="0" distL="114300" distR="114300" simplePos="0" relativeHeight="251679744" behindDoc="0" locked="0" layoutInCell="1" allowOverlap="1">
                <wp:simplePos x="0" y="0"/>
                <wp:positionH relativeFrom="column">
                  <wp:posOffset>2266950</wp:posOffset>
                </wp:positionH>
                <wp:positionV relativeFrom="paragraph">
                  <wp:posOffset>1144270</wp:posOffset>
                </wp:positionV>
                <wp:extent cx="686435" cy="466725"/>
                <wp:effectExtent l="0" t="0" r="0" b="0"/>
                <wp:wrapNone/>
                <wp:docPr id="24" name="文本框 24"/>
                <wp:cNvGraphicFramePr/>
                <a:graphic xmlns:a="http://schemas.openxmlformats.org/drawingml/2006/main">
                  <a:graphicData uri="http://schemas.microsoft.com/office/word/2010/wordprocessingShape">
                    <wps:wsp>
                      <wps:cNvSpPr txBox="1"/>
                      <wps:spPr>
                        <a:xfrm>
                          <a:off x="3275330" y="7264400"/>
                          <a:ext cx="686435" cy="4667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default" w:eastAsiaTheme="minorEastAsia"/>
                                <w:sz w:val="18"/>
                                <w:szCs w:val="18"/>
                                <w:lang w:val="en-US" w:eastAsia="zh-CN"/>
                              </w:rPr>
                            </w:pPr>
                            <w:r>
                              <w:rPr>
                                <w:rFonts w:hint="eastAsia"/>
                                <w:sz w:val="18"/>
                                <w:szCs w:val="18"/>
                                <w:lang w:val="en-US" w:eastAsia="zh-CN"/>
                              </w:rPr>
                              <w:t>88.16％</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8.5pt;margin-top:90.1pt;height:36.75pt;width:54.05pt;z-index:251679744;mso-width-relative:page;mso-height-relative:page;" filled="f" stroked="f" coordsize="21600,21600" o:gfxdata="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PaBcQNsAAAALAQAADwAAAAAAAAABACAAAAAiAAAAZHJzL2Rvd25yZXYueG1sUEsB&#10;AhQAFAAAAAgAh07iQNeFztQrAgAAJQQAAA4AAAAAAAAAAQAgAAAAKgEAAGRycy9lMm9Eb2MueG1s&#10;UEsFBgAAAAAGAAYAWQEAAMcFAAAAAA==&#10;">
                <v:fill on="f" focussize="0,0"/>
                <v:stroke on="f" weight="0.5pt"/>
                <v:imagedata o:title=""/>
                <o:lock v:ext="edit" aspectratio="f"/>
                <v:textbox>
                  <w:txbxContent>
                    <w:p>
                      <w:pPr>
                        <w:rPr>
                          <w:rFonts w:hint="default" w:eastAsiaTheme="minorEastAsia"/>
                          <w:sz w:val="18"/>
                          <w:szCs w:val="18"/>
                          <w:lang w:val="en-US" w:eastAsia="zh-CN"/>
                        </w:rPr>
                      </w:pPr>
                      <w:r>
                        <w:rPr>
                          <w:rFonts w:hint="eastAsia"/>
                          <w:sz w:val="18"/>
                          <w:szCs w:val="18"/>
                          <w:lang w:val="en-US" w:eastAsia="zh-CN"/>
                        </w:rPr>
                        <w:t>88.16％</w:t>
                      </w:r>
                    </w:p>
                  </w:txbxContent>
                </v:textbox>
              </v:shape>
            </w:pict>
          </mc:Fallback>
        </mc:AlternateContent>
      </w:r>
      <w:r>
        <w:rPr>
          <w:sz w:val="32"/>
        </w:rPr>
        <mc:AlternateContent>
          <mc:Choice Requires="wps">
            <w:drawing>
              <wp:anchor distT="0" distB="0" distL="114300" distR="114300" simplePos="0" relativeHeight="251670528" behindDoc="1" locked="0" layoutInCell="1" allowOverlap="1">
                <wp:simplePos x="0" y="0"/>
                <wp:positionH relativeFrom="column">
                  <wp:posOffset>907415</wp:posOffset>
                </wp:positionH>
                <wp:positionV relativeFrom="paragraph">
                  <wp:posOffset>2427605</wp:posOffset>
                </wp:positionV>
                <wp:extent cx="3314700" cy="483235"/>
                <wp:effectExtent l="0" t="0" r="0" b="12065"/>
                <wp:wrapNone/>
                <wp:docPr id="30" name="文本框 30"/>
                <wp:cNvGraphicFramePr/>
                <a:graphic xmlns:a="http://schemas.openxmlformats.org/drawingml/2006/main">
                  <a:graphicData uri="http://schemas.microsoft.com/office/word/2010/wordprocessingShape">
                    <wps:wsp>
                      <wps:cNvSpPr txBox="1"/>
                      <wps:spPr>
                        <a:xfrm>
                          <a:off x="220345" y="7797800"/>
                          <a:ext cx="3314700"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1.45pt;margin-top:191.15pt;height:38.05pt;width:261pt;z-index:-251645952;mso-width-relative:page;mso-height-relative:page;" fillcolor="#FFFFFF" filled="t" stroked="f" coordsize="21600,21600" o:gfxdata="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fXtGtUAAAALAQAADwAAAAAAAAABACAAAAAi&#10;AAAAZHJzL2Rvd25yZXYueG1sUEsBAhQAFAAAAAgAh07iQCzo4QhGAgAAXAQAAA4AAAAAAAAAAQAg&#10;AAAAJAEAAGRycy9lMm9Eb2MueG1sUEsFBgAAAAAGAAYAWQEAANwFA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v:textbox>
              </v:shape>
            </w:pict>
          </mc:Fallback>
        </mc:AlternateContent>
      </w:r>
      <w:r>
        <w:rPr>
          <w:rFonts w:hint="eastAsia" w:ascii="仿宋_GB2312" w:hAnsi="Times New Roman" w:eastAsia="仿宋_GB2312" w:cs="DengXian-Regular"/>
          <w:sz w:val="32"/>
          <w:szCs w:val="32"/>
        </w:rPr>
        <w:drawing>
          <wp:anchor distT="0" distB="0" distL="114300" distR="114300" simplePos="0" relativeHeight="251676672" behindDoc="0" locked="0" layoutInCell="1" allowOverlap="1">
            <wp:simplePos x="0" y="0"/>
            <wp:positionH relativeFrom="column">
              <wp:posOffset>1430020</wp:posOffset>
            </wp:positionH>
            <wp:positionV relativeFrom="paragraph">
              <wp:posOffset>13335</wp:posOffset>
            </wp:positionV>
            <wp:extent cx="2336800" cy="2047875"/>
            <wp:effectExtent l="4445" t="4445" r="20955" b="5080"/>
            <wp:wrapTopAndBottom/>
            <wp:docPr id="31" name="图表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5573.05</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5573.05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w:t>
      </w:r>
      <w:r>
        <w:rPr>
          <w:rFonts w:hint="eastAsia" w:ascii="仿宋_GB2312" w:hAnsi="Times New Roman" w:eastAsia="仿宋_GB2312" w:cs="DengXian-Regular"/>
          <w:sz w:val="32"/>
          <w:szCs w:val="32"/>
          <w:lang w:eastAsia="zh-CN"/>
        </w:rPr>
        <w:t>原因是本部门为</w:t>
      </w:r>
      <w:r>
        <w:rPr>
          <w:rFonts w:hint="eastAsia" w:ascii="仿宋_GB2312" w:hAnsi="Times New Roman" w:eastAsia="仿宋_GB2312" w:cs="DengXian-Regular"/>
          <w:sz w:val="32"/>
          <w:szCs w:val="32"/>
          <w:lang w:val="en-US" w:eastAsia="zh-CN"/>
        </w:rPr>
        <w:t>2019年机构改革新成立单位，2018年无相关数据</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5586.4</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5586.4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本部门为</w:t>
      </w:r>
      <w:r>
        <w:rPr>
          <w:rFonts w:hint="eastAsia" w:ascii="仿宋_GB2312" w:hAnsi="Times New Roman" w:eastAsia="仿宋_GB2312" w:cs="DengXian-Regular"/>
          <w:sz w:val="32"/>
          <w:szCs w:val="32"/>
          <w:lang w:val="en-US" w:eastAsia="zh-CN"/>
        </w:rPr>
        <w:t>2019年机构改革新成立单位，2018年无相关数据</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5568.05</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5568.05</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因本部门为</w:t>
      </w:r>
      <w:r>
        <w:rPr>
          <w:rFonts w:hint="eastAsia" w:ascii="仿宋_GB2312" w:hAnsi="Times New Roman" w:eastAsia="仿宋_GB2312" w:cs="DengXian-Regular"/>
          <w:sz w:val="32"/>
          <w:szCs w:val="32"/>
          <w:lang w:val="en-US" w:eastAsia="zh-CN"/>
        </w:rPr>
        <w:t>2019年机构改革新成立单位，2018年无相关数据</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5549.21</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5549.21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w:t>
      </w:r>
      <w:r>
        <w:rPr>
          <w:rFonts w:hint="eastAsia" w:ascii="仿宋_GB2312" w:hAnsi="Times New Roman" w:eastAsia="仿宋_GB2312" w:cs="DengXian-Regular"/>
          <w:sz w:val="32"/>
          <w:szCs w:val="32"/>
          <w:lang w:eastAsia="zh-CN"/>
        </w:rPr>
        <w:t>因本部门为</w:t>
      </w:r>
      <w:r>
        <w:rPr>
          <w:rFonts w:hint="eastAsia" w:ascii="仿宋_GB2312" w:hAnsi="Times New Roman" w:eastAsia="仿宋_GB2312" w:cs="DengXian-Regular"/>
          <w:sz w:val="32"/>
          <w:szCs w:val="32"/>
          <w:lang w:val="en-US" w:eastAsia="zh-CN"/>
        </w:rPr>
        <w:t>2019年机构改革新成立单位，2018年无相关数据</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本部门为</w:t>
      </w:r>
      <w:r>
        <w:rPr>
          <w:rFonts w:hint="eastAsia" w:ascii="仿宋_GB2312" w:hAnsi="Times New Roman" w:eastAsia="仿宋_GB2312" w:cs="DengXian-Regular"/>
          <w:sz w:val="32"/>
          <w:szCs w:val="32"/>
          <w:lang w:val="en-US" w:eastAsia="zh-CN"/>
        </w:rPr>
        <w:t>2019年机构改革新成立单位，2018年无相关数据</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w:t>
      </w:r>
      <w:r>
        <w:rPr>
          <w:rFonts w:hint="eastAsia" w:ascii="仿宋_GB2312" w:hAnsi="Times New Roman" w:eastAsia="仿宋_GB2312" w:cs="DengXian-Regular"/>
          <w:sz w:val="32"/>
          <w:szCs w:val="32"/>
          <w:lang w:eastAsia="zh-CN"/>
        </w:rPr>
        <w:t>原因同上。</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5573.05</w:t>
      </w:r>
      <w:r>
        <w:rPr>
          <w:rFonts w:hint="eastAsia" w:ascii="仿宋_GB2312" w:hAnsi="Times New Roman" w:eastAsia="仿宋_GB2312" w:cs="DengXian-Regular"/>
          <w:sz w:val="32"/>
          <w:szCs w:val="32"/>
        </w:rPr>
        <w:t>万元，比年初预算增加</w:t>
      </w:r>
      <w:r>
        <w:rPr>
          <w:rFonts w:hint="eastAsia" w:ascii="仿宋_GB2312" w:hAnsi="Times New Roman" w:eastAsia="仿宋_GB2312" w:cs="DengXian-Regular"/>
          <w:sz w:val="32"/>
          <w:szCs w:val="32"/>
          <w:lang w:val="en-US" w:eastAsia="zh-CN"/>
        </w:rPr>
        <w:t>5376.05</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医保局为</w:t>
      </w:r>
      <w:r>
        <w:rPr>
          <w:rFonts w:hint="eastAsia" w:ascii="仿宋_GB2312" w:hAnsi="Times New Roman" w:eastAsia="仿宋_GB2312" w:cs="DengXian-Regular"/>
          <w:sz w:val="32"/>
          <w:szCs w:val="32"/>
          <w:lang w:val="en-US" w:eastAsia="zh-CN"/>
        </w:rPr>
        <w:t>2019年初</w:t>
      </w:r>
      <w:r>
        <w:rPr>
          <w:rFonts w:hint="eastAsia" w:ascii="仿宋_GB2312" w:hAnsi="Times New Roman" w:eastAsia="仿宋_GB2312" w:cs="DengXian-Regular"/>
          <w:sz w:val="32"/>
          <w:szCs w:val="32"/>
          <w:lang w:eastAsia="zh-CN"/>
        </w:rPr>
        <w:t>新成立单位，预算数是</w:t>
      </w:r>
      <w:r>
        <w:rPr>
          <w:rFonts w:hint="eastAsia" w:ascii="仿宋_GB2312" w:hAnsi="Times New Roman" w:eastAsia="仿宋_GB2312" w:cs="DengXian-Regular"/>
          <w:sz w:val="32"/>
          <w:szCs w:val="32"/>
          <w:lang w:val="en-US" w:eastAsia="zh-CN"/>
        </w:rPr>
        <w:t>2019年医保局成立后调整数</w:t>
      </w:r>
      <w:r>
        <w:rPr>
          <w:rFonts w:hint="eastAsia" w:ascii="仿宋_GB2312" w:hAnsi="Times New Roman" w:eastAsia="仿宋_GB2312" w:cs="DengXian-Regular"/>
          <w:sz w:val="32"/>
          <w:szCs w:val="32"/>
          <w:lang w:eastAsia="zh-CN"/>
        </w:rPr>
        <w:t>，局下属医疗保险管理中心原属鹿泉区区人社局下属单位，已在人社局完成预算工作，其</w:t>
      </w:r>
      <w:r>
        <w:rPr>
          <w:rFonts w:hint="eastAsia" w:ascii="仿宋_GB2312" w:hAnsi="Times New Roman" w:eastAsia="仿宋_GB2312" w:cs="DengXian-Regular"/>
          <w:sz w:val="32"/>
          <w:szCs w:val="32"/>
          <w:lang w:val="en-US" w:eastAsia="zh-CN"/>
        </w:rPr>
        <w:t>2019年度</w:t>
      </w:r>
      <w:r>
        <w:rPr>
          <w:rFonts w:hint="eastAsia" w:ascii="仿宋_GB2312" w:hAnsi="Times New Roman" w:eastAsia="仿宋_GB2312" w:cs="DengXian-Regular"/>
          <w:sz w:val="32"/>
          <w:szCs w:val="32"/>
          <w:lang w:eastAsia="zh-CN"/>
        </w:rPr>
        <w:t>预算不计入本部门</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5586.4</w:t>
      </w:r>
      <w:r>
        <w:rPr>
          <w:rFonts w:hint="eastAsia" w:ascii="仿宋_GB2312" w:hAnsi="Times New Roman" w:eastAsia="仿宋_GB2312" w:cs="DengXian-Regular"/>
          <w:sz w:val="32"/>
          <w:szCs w:val="32"/>
        </w:rPr>
        <w:t>万元，比年初预算增加</w:t>
      </w:r>
      <w:r>
        <w:rPr>
          <w:rFonts w:hint="eastAsia" w:ascii="仿宋_GB2312" w:hAnsi="Times New Roman" w:eastAsia="仿宋_GB2312" w:cs="DengXian-Regular"/>
          <w:sz w:val="32"/>
          <w:szCs w:val="32"/>
          <w:lang w:val="en-US" w:eastAsia="zh-CN"/>
        </w:rPr>
        <w:t>5389.4</w:t>
      </w:r>
      <w:r>
        <w:rPr>
          <w:rFonts w:hint="eastAsia" w:ascii="仿宋_GB2312" w:hAnsi="Times New Roman" w:eastAsia="仿宋_GB2312" w:cs="DengXian-Regular"/>
          <w:sz w:val="32"/>
          <w:szCs w:val="32"/>
        </w:rPr>
        <w:t>万元，决算数大于预算数主要原因</w:t>
      </w:r>
      <w:r>
        <w:rPr>
          <w:rFonts w:hint="eastAsia" w:ascii="仿宋_GB2312" w:hAnsi="Times New Roman" w:eastAsia="仿宋_GB2312" w:cs="DengXian-Regular"/>
          <w:sz w:val="32"/>
          <w:szCs w:val="32"/>
          <w:lang w:eastAsia="zh-CN"/>
        </w:rPr>
        <w:t>同上</w:t>
      </w:r>
      <w:r>
        <w:rPr>
          <w:rFonts w:hint="eastAsia" w:ascii="仿宋_GB2312" w:hAnsi="Times New Roman" w:eastAsia="仿宋_GB2312" w:cs="DengXian-Regular"/>
          <w:sz w:val="32"/>
          <w:szCs w:val="32"/>
        </w:rPr>
        <w:t>。具体情况如下：</w:t>
      </w:r>
    </w:p>
    <w:p>
      <w:pPr>
        <w:numPr>
          <w:ilvl w:val="0"/>
          <w:numId w:val="3"/>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一般公共预算财政拨款本年收入比年初预算增加</w:t>
      </w:r>
      <w:r>
        <w:rPr>
          <w:rFonts w:hint="eastAsia" w:ascii="仿宋_GB2312" w:hAnsi="Times New Roman" w:eastAsia="仿宋_GB2312" w:cs="DengXian-Regular"/>
          <w:sz w:val="32"/>
          <w:szCs w:val="32"/>
          <w:highlight w:val="none"/>
          <w:lang w:val="en-US" w:eastAsia="zh-CN"/>
        </w:rPr>
        <w:t>5376.05</w:t>
      </w:r>
      <w:r>
        <w:rPr>
          <w:rFonts w:hint="eastAsia" w:ascii="仿宋_GB2312" w:hAnsi="Times New Roman" w:eastAsia="仿宋_GB2312" w:cs="DengXian-Regular"/>
          <w:sz w:val="32"/>
          <w:szCs w:val="32"/>
          <w:highlight w:val="none"/>
        </w:rPr>
        <w:t>万元</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医保局为</w:t>
      </w:r>
      <w:r>
        <w:rPr>
          <w:rFonts w:hint="eastAsia" w:ascii="仿宋_GB2312" w:hAnsi="Times New Roman" w:eastAsia="仿宋_GB2312" w:cs="DengXian-Regular"/>
          <w:sz w:val="32"/>
          <w:szCs w:val="32"/>
          <w:lang w:val="en-US" w:eastAsia="zh-CN"/>
        </w:rPr>
        <w:t>2019年初</w:t>
      </w:r>
      <w:r>
        <w:rPr>
          <w:rFonts w:hint="eastAsia" w:ascii="仿宋_GB2312" w:hAnsi="Times New Roman" w:eastAsia="仿宋_GB2312" w:cs="DengXian-Regular"/>
          <w:sz w:val="32"/>
          <w:szCs w:val="32"/>
          <w:lang w:eastAsia="zh-CN"/>
        </w:rPr>
        <w:t>新成立单位，预算是</w:t>
      </w:r>
      <w:r>
        <w:rPr>
          <w:rFonts w:hint="eastAsia" w:ascii="仿宋_GB2312" w:hAnsi="Times New Roman" w:eastAsia="仿宋_GB2312" w:cs="DengXian-Regular"/>
          <w:sz w:val="32"/>
          <w:szCs w:val="32"/>
          <w:lang w:val="en-US" w:eastAsia="zh-CN"/>
        </w:rPr>
        <w:t>2019年医保局成立后调整数</w:t>
      </w:r>
      <w:r>
        <w:rPr>
          <w:rFonts w:hint="eastAsia" w:ascii="仿宋_GB2312" w:hAnsi="Times New Roman" w:eastAsia="仿宋_GB2312" w:cs="DengXian-Regular"/>
          <w:sz w:val="32"/>
          <w:szCs w:val="32"/>
          <w:lang w:eastAsia="zh-CN"/>
        </w:rPr>
        <w:t>，局下属医疗保险管理中心原属鹿泉区区人社局下属单位，已在人社局完成预算工作，其</w:t>
      </w:r>
      <w:r>
        <w:rPr>
          <w:rFonts w:hint="eastAsia" w:ascii="仿宋_GB2312" w:hAnsi="Times New Roman" w:eastAsia="仿宋_GB2312" w:cs="DengXian-Regular"/>
          <w:sz w:val="32"/>
          <w:szCs w:val="32"/>
          <w:lang w:val="en-US" w:eastAsia="zh-CN"/>
        </w:rPr>
        <w:t>2019年度</w:t>
      </w:r>
      <w:r>
        <w:rPr>
          <w:rFonts w:hint="eastAsia" w:ascii="仿宋_GB2312" w:hAnsi="Times New Roman" w:eastAsia="仿宋_GB2312" w:cs="DengXian-Regular"/>
          <w:sz w:val="32"/>
          <w:szCs w:val="32"/>
          <w:lang w:eastAsia="zh-CN"/>
        </w:rPr>
        <w:t>预算不计入本部门</w:t>
      </w:r>
      <w:r>
        <w:rPr>
          <w:rFonts w:hint="eastAsia" w:ascii="仿宋_GB2312" w:hAnsi="Times New Roman" w:eastAsia="仿宋_GB2312" w:cs="DengXian-Regular"/>
          <w:sz w:val="32"/>
          <w:szCs w:val="32"/>
        </w:rPr>
        <w:t>；支出比年初预算增加</w:t>
      </w:r>
      <w:r>
        <w:rPr>
          <w:rFonts w:hint="eastAsia" w:ascii="仿宋_GB2312" w:hAnsi="Times New Roman" w:eastAsia="仿宋_GB2312" w:cs="DengXian-Regular"/>
          <w:sz w:val="32"/>
          <w:szCs w:val="32"/>
          <w:highlight w:val="none"/>
          <w:lang w:val="en-US" w:eastAsia="zh-CN"/>
        </w:rPr>
        <w:t>5357.21</w:t>
      </w:r>
      <w:r>
        <w:rPr>
          <w:rFonts w:hint="eastAsia" w:ascii="仿宋_GB2312" w:hAnsi="Times New Roman" w:eastAsia="仿宋_GB2312" w:cs="DengXian-Regular"/>
          <w:sz w:val="32"/>
          <w:szCs w:val="32"/>
          <w:highlight w:val="none"/>
        </w:rPr>
        <w:t>万元</w:t>
      </w:r>
      <w:r>
        <w:rPr>
          <w:rFonts w:hint="eastAsia" w:ascii="仿宋_GB2312" w:hAnsi="Times New Roman" w:eastAsia="仿宋_GB2312" w:cs="DengXian-Regular"/>
          <w:sz w:val="32"/>
          <w:szCs w:val="32"/>
        </w:rPr>
        <w:t>，主要</w:t>
      </w:r>
      <w:r>
        <w:rPr>
          <w:rFonts w:hint="eastAsia" w:ascii="仿宋_GB2312" w:hAnsi="Times New Roman" w:eastAsia="仿宋_GB2312" w:cs="DengXian-Regular"/>
          <w:sz w:val="32"/>
          <w:szCs w:val="32"/>
          <w:lang w:eastAsia="zh-CN"/>
        </w:rPr>
        <w:t>原因同上。</w:t>
      </w:r>
    </w:p>
    <w:p>
      <w:pPr>
        <w:numPr>
          <w:ilvl w:val="0"/>
          <w:numId w:val="0"/>
        </w:numPr>
        <w:adjustRightInd w:val="0"/>
        <w:snapToGrid w:val="0"/>
        <w:spacing w:line="580" w:lineRule="exact"/>
        <w:ind w:firstLine="320" w:firstLineChars="1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numPr>
          <w:ilvl w:val="0"/>
          <w:numId w:val="4"/>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5586.4</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486.51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8.71</w:t>
      </w:r>
      <w:r>
        <w:rPr>
          <w:rFonts w:hint="eastAsia" w:ascii="仿宋_GB2312" w:hAnsi="Times New Roman" w:eastAsia="仿宋_GB2312" w:cs="DengXian-Regular"/>
          <w:sz w:val="32"/>
          <w:szCs w:val="32"/>
        </w:rPr>
        <w:t>%；卫生健康支出</w:t>
      </w:r>
      <w:r>
        <w:rPr>
          <w:rFonts w:hint="eastAsia" w:ascii="仿宋_GB2312" w:hAnsi="Times New Roman" w:eastAsia="仿宋_GB2312" w:cs="DengXian-Regular"/>
          <w:sz w:val="32"/>
          <w:szCs w:val="32"/>
          <w:lang w:val="en-US" w:eastAsia="zh-CN"/>
        </w:rPr>
        <w:t>5071.41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90.78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23.48</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0.42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其他</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0.09</w:t>
      </w:r>
      <w:r>
        <w:rPr>
          <w:rFonts w:hint="eastAsia" w:ascii="仿宋_GB2312" w:hAnsi="Times New Roman" w:eastAsia="仿宋_GB2312" w:cs="DengXian-Regular"/>
          <w:sz w:val="32"/>
          <w:szCs w:val="32"/>
        </w:rPr>
        <w:t>%。</w:t>
      </w:r>
    </w:p>
    <w:p>
      <w:pPr>
        <w:adjustRightInd w:val="0"/>
        <w:snapToGrid w:val="0"/>
        <w:spacing w:line="580" w:lineRule="exact"/>
        <w:rPr>
          <w:rFonts w:hint="eastAsia" w:ascii="楷体_GB2312" w:hAnsi="Times New Roman" w:eastAsia="楷体_GB2312" w:cs="DengXian-Bold"/>
          <w:b/>
          <w:bCs/>
          <w:sz w:val="32"/>
          <w:szCs w:val="32"/>
          <w:lang w:eastAsia="zh-CN"/>
        </w:rPr>
      </w:pPr>
    </w:p>
    <w:p>
      <w:pPr>
        <w:adjustRightInd w:val="0"/>
        <w:snapToGrid w:val="0"/>
        <w:spacing w:line="580" w:lineRule="exact"/>
        <w:rPr>
          <w:rFonts w:ascii="楷体_GB2312" w:hAnsi="Times New Roman" w:eastAsia="楷体_GB2312" w:cs="DengXian-Bold"/>
          <w:b/>
          <w:bCs/>
          <w:sz w:val="32"/>
          <w:szCs w:val="32"/>
        </w:rPr>
      </w:pPr>
      <w:r>
        <w:rPr>
          <w:sz w:val="32"/>
        </w:rPr>
        <mc:AlternateContent>
          <mc:Choice Requires="wps">
            <w:drawing>
              <wp:anchor distT="0" distB="0" distL="114300" distR="114300" simplePos="0" relativeHeight="251691008" behindDoc="0" locked="0" layoutInCell="1" allowOverlap="1">
                <wp:simplePos x="0" y="0"/>
                <wp:positionH relativeFrom="column">
                  <wp:posOffset>2695575</wp:posOffset>
                </wp:positionH>
                <wp:positionV relativeFrom="paragraph">
                  <wp:posOffset>992505</wp:posOffset>
                </wp:positionV>
                <wp:extent cx="838200" cy="619125"/>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838200" cy="619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default" w:eastAsiaTheme="minorEastAsia"/>
                                <w:sz w:val="18"/>
                                <w:szCs w:val="20"/>
                                <w:lang w:val="en-US" w:eastAsia="zh-CN"/>
                              </w:rPr>
                            </w:pPr>
                            <w:r>
                              <w:rPr>
                                <w:rFonts w:hint="eastAsia"/>
                                <w:sz w:val="18"/>
                                <w:szCs w:val="20"/>
                                <w:lang w:val="en-US" w:eastAsia="zh-CN"/>
                              </w:rPr>
                              <w:t>8.71％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12.25pt;margin-top:78.15pt;height:48.75pt;width:66pt;z-index:251691008;mso-width-relative:page;mso-height-relative:page;" filled="f" stroked="f" coordsize="21600,21600" o:gfxdata="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6q4X&#10;DdsAAAALAQAADwAAAAAAAAABACAAAAAiAAAAZHJzL2Rvd25yZXYueG1sUEsBAhQAFAAAAAgAh07i&#10;QMG+G94fAgAAGQQAAA4AAAAAAAAAAQAgAAAAKgEAAGRycy9lMm9Eb2MueG1sUEsFBgAAAAAGAAYA&#10;WQEAALsFAAAAAA==&#10;">
                <v:fill on="f" focussize="0,0"/>
                <v:stroke on="f" weight="0.5pt"/>
                <v:imagedata o:title=""/>
                <o:lock v:ext="edit" aspectratio="f"/>
                <v:textbox>
                  <w:txbxContent>
                    <w:p>
                      <w:pPr>
                        <w:rPr>
                          <w:rFonts w:hint="default" w:eastAsiaTheme="minorEastAsia"/>
                          <w:sz w:val="18"/>
                          <w:szCs w:val="20"/>
                          <w:lang w:val="en-US" w:eastAsia="zh-CN"/>
                        </w:rPr>
                      </w:pPr>
                      <w:r>
                        <w:rPr>
                          <w:rFonts w:hint="eastAsia"/>
                          <w:sz w:val="18"/>
                          <w:szCs w:val="20"/>
                          <w:lang w:val="en-US" w:eastAsia="zh-CN"/>
                        </w:rPr>
                        <w:t>8.71％</w:t>
                      </w:r>
                    </w:p>
                  </w:txbxContent>
                </v:textbox>
              </v:shape>
            </w:pict>
          </mc:Fallback>
        </mc:AlternateContent>
      </w:r>
      <w:r>
        <w:rPr>
          <w:sz w:val="32"/>
        </w:rPr>
        <mc:AlternateContent>
          <mc:Choice Requires="wps">
            <w:drawing>
              <wp:anchor distT="0" distB="0" distL="114300" distR="114300" simplePos="0" relativeHeight="251681792" behindDoc="0" locked="0" layoutInCell="1" allowOverlap="1">
                <wp:simplePos x="0" y="0"/>
                <wp:positionH relativeFrom="column">
                  <wp:posOffset>2390775</wp:posOffset>
                </wp:positionH>
                <wp:positionV relativeFrom="paragraph">
                  <wp:posOffset>621030</wp:posOffset>
                </wp:positionV>
                <wp:extent cx="838200" cy="619125"/>
                <wp:effectExtent l="0" t="0" r="0" b="0"/>
                <wp:wrapNone/>
                <wp:docPr id="26" name="文本框 26"/>
                <wp:cNvGraphicFramePr/>
                <a:graphic xmlns:a="http://schemas.openxmlformats.org/drawingml/2006/main">
                  <a:graphicData uri="http://schemas.microsoft.com/office/word/2010/wordprocessingShape">
                    <wps:wsp>
                      <wps:cNvSpPr txBox="1"/>
                      <wps:spPr>
                        <a:xfrm>
                          <a:off x="3103880" y="3305810"/>
                          <a:ext cx="838200" cy="619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default" w:eastAsiaTheme="minorEastAsia"/>
                                <w:sz w:val="18"/>
                                <w:szCs w:val="20"/>
                                <w:lang w:val="en-US" w:eastAsia="zh-CN"/>
                              </w:rPr>
                            </w:pPr>
                            <w:r>
                              <w:rPr>
                                <w:rFonts w:hint="eastAsia"/>
                                <w:sz w:val="18"/>
                                <w:szCs w:val="20"/>
                                <w:lang w:val="en-US" w:eastAsia="zh-CN"/>
                              </w:rPr>
                              <w:t>0.42％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8.25pt;margin-top:48.9pt;height:48.75pt;width:66pt;z-index:251681792;mso-width-relative:page;mso-height-relative:page;" filled="f" stroked="f" coordsize="21600,21600" o:gfxdata="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Cy5///bAAAACgEAAA8AAAAAAAAAAQAgAAAAIgAAAGRycy9kb3ducmV2LnhtbFBLAQIU&#10;ABQAAAAIAIdO4kAgpxcmKQIAACUEAAAOAAAAAAAAAAEAIAAAACoBAABkcnMvZTJvRG9jLnhtbFBL&#10;BQYAAAAABgAGAFkBAADFBQAAAAA=&#10;">
                <v:fill on="f" focussize="0,0"/>
                <v:stroke on="f" weight="0.5pt"/>
                <v:imagedata o:title=""/>
                <o:lock v:ext="edit" aspectratio="f"/>
                <v:textbox>
                  <w:txbxContent>
                    <w:p>
                      <w:pPr>
                        <w:rPr>
                          <w:rFonts w:hint="default" w:eastAsiaTheme="minorEastAsia"/>
                          <w:sz w:val="18"/>
                          <w:szCs w:val="20"/>
                          <w:lang w:val="en-US" w:eastAsia="zh-CN"/>
                        </w:rPr>
                      </w:pPr>
                      <w:r>
                        <w:rPr>
                          <w:rFonts w:hint="eastAsia"/>
                          <w:sz w:val="18"/>
                          <w:szCs w:val="20"/>
                          <w:lang w:val="en-US" w:eastAsia="zh-CN"/>
                        </w:rPr>
                        <w:t>0.42％</w:t>
                      </w:r>
                    </w:p>
                  </w:txbxContent>
                </v:textbox>
              </v:shape>
            </w:pict>
          </mc:Fallback>
        </mc:AlternateContent>
      </w:r>
      <w:r>
        <w:rPr>
          <w:sz w:val="32"/>
        </w:rPr>
        <mc:AlternateContent>
          <mc:Choice Requires="wps">
            <w:drawing>
              <wp:anchor distT="0" distB="0" distL="114300" distR="114300" simplePos="0" relativeHeight="251689984" behindDoc="0" locked="0" layoutInCell="1" allowOverlap="1">
                <wp:simplePos x="0" y="0"/>
                <wp:positionH relativeFrom="column">
                  <wp:posOffset>3038475</wp:posOffset>
                </wp:positionH>
                <wp:positionV relativeFrom="paragraph">
                  <wp:posOffset>649605</wp:posOffset>
                </wp:positionV>
                <wp:extent cx="838200" cy="619125"/>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838200" cy="619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default" w:eastAsiaTheme="minorEastAsia"/>
                                <w:sz w:val="18"/>
                                <w:szCs w:val="20"/>
                                <w:lang w:val="en-US" w:eastAsia="zh-CN"/>
                              </w:rPr>
                            </w:pPr>
                            <w:r>
                              <w:rPr>
                                <w:rFonts w:hint="eastAsia"/>
                                <w:sz w:val="18"/>
                                <w:szCs w:val="20"/>
                                <w:lang w:val="en-US" w:eastAsia="zh-CN"/>
                              </w:rPr>
                              <w:t>0.09％</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39.25pt;margin-top:51.15pt;height:48.75pt;width:66pt;z-index:251689984;mso-width-relative:page;mso-height-relative:page;" filled="f" stroked="f" coordsize="21600,21600" o:gfxdata="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RzYe&#10;m9sAAAALAQAADwAAAAAAAAABACAAAAAiAAAAZHJzL2Rvd25yZXYueG1sUEsBAhQAFAAAAAgAh07i&#10;QJvB2DYfAgAAGQQAAA4AAAAAAAAAAQAgAAAAKgEAAGRycy9lMm9Eb2MueG1sUEsFBgAAAAAGAAYA&#10;WQEAALsFAAAAAA==&#10;">
                <v:fill on="f" focussize="0,0"/>
                <v:stroke on="f" weight="0.5pt"/>
                <v:imagedata o:title=""/>
                <o:lock v:ext="edit" aspectratio="f"/>
                <v:textbox>
                  <w:txbxContent>
                    <w:p>
                      <w:pPr>
                        <w:rPr>
                          <w:rFonts w:hint="default" w:eastAsiaTheme="minorEastAsia"/>
                          <w:sz w:val="18"/>
                          <w:szCs w:val="20"/>
                          <w:lang w:val="en-US" w:eastAsia="zh-CN"/>
                        </w:rPr>
                      </w:pPr>
                      <w:r>
                        <w:rPr>
                          <w:rFonts w:hint="eastAsia"/>
                          <w:sz w:val="18"/>
                          <w:szCs w:val="20"/>
                          <w:lang w:val="en-US" w:eastAsia="zh-CN"/>
                        </w:rPr>
                        <w:t>0.09％</w:t>
                      </w:r>
                    </w:p>
                  </w:txbxContent>
                </v:textbox>
              </v:shape>
            </w:pict>
          </mc:Fallback>
        </mc:AlternateContent>
      </w:r>
      <w:r>
        <w:rPr>
          <w:sz w:val="32"/>
        </w:rPr>
        <mc:AlternateContent>
          <mc:Choice Requires="wps">
            <w:drawing>
              <wp:anchor distT="0" distB="0" distL="114300" distR="114300" simplePos="0" relativeHeight="251684864" behindDoc="0" locked="0" layoutInCell="1" allowOverlap="1">
                <wp:simplePos x="0" y="0"/>
                <wp:positionH relativeFrom="column">
                  <wp:posOffset>2247900</wp:posOffset>
                </wp:positionH>
                <wp:positionV relativeFrom="paragraph">
                  <wp:posOffset>2125980</wp:posOffset>
                </wp:positionV>
                <wp:extent cx="838200" cy="619125"/>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838200" cy="619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default" w:eastAsiaTheme="minorEastAsia"/>
                                <w:sz w:val="18"/>
                                <w:szCs w:val="20"/>
                                <w:lang w:val="en-US" w:eastAsia="zh-CN"/>
                              </w:rPr>
                            </w:pPr>
                            <w:r>
                              <w:rPr>
                                <w:rFonts w:hint="eastAsia"/>
                                <w:sz w:val="18"/>
                                <w:szCs w:val="20"/>
                                <w:lang w:val="en-US" w:eastAsia="zh-CN"/>
                              </w:rPr>
                              <w:t>90.78％</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7pt;margin-top:167.4pt;height:48.75pt;width:66pt;z-index:251684864;mso-width-relative:page;mso-height-relative:page;" filled="f" stroked="f" coordsize="21600,21600" o:gfxdata="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xQei&#10;9NsAAAALAQAADwAAAAAAAAABACAAAAAiAAAAZHJzL2Rvd25yZXYueG1sUEsBAhQAFAAAAAgAh07i&#10;QApU3OofAgAAGQQAAA4AAAAAAAAAAQAgAAAAKgEAAGRycy9lMm9Eb2MueG1sUEsFBgAAAAAGAAYA&#10;WQEAALsFAAAAAA==&#10;">
                <v:fill on="f" focussize="0,0"/>
                <v:stroke on="f" weight="0.5pt"/>
                <v:imagedata o:title=""/>
                <o:lock v:ext="edit" aspectratio="f"/>
                <v:textbox>
                  <w:txbxContent>
                    <w:p>
                      <w:pPr>
                        <w:rPr>
                          <w:rFonts w:hint="default" w:eastAsiaTheme="minorEastAsia"/>
                          <w:sz w:val="18"/>
                          <w:szCs w:val="20"/>
                          <w:lang w:val="en-US" w:eastAsia="zh-CN"/>
                        </w:rPr>
                      </w:pPr>
                      <w:r>
                        <w:rPr>
                          <w:rFonts w:hint="eastAsia"/>
                          <w:sz w:val="18"/>
                          <w:szCs w:val="20"/>
                          <w:lang w:val="en-US" w:eastAsia="zh-CN"/>
                        </w:rPr>
                        <w:t>90.78％</w:t>
                      </w:r>
                    </w:p>
                  </w:txbxContent>
                </v:textbox>
              </v:shape>
            </w:pict>
          </mc:Fallback>
        </mc:AlternateContent>
      </w:r>
      <w:r>
        <w:rPr>
          <w:sz w:val="32"/>
        </w:rPr>
        <mc:AlternateContent>
          <mc:Choice Requires="wps">
            <w:drawing>
              <wp:anchor distT="0" distB="0" distL="114300" distR="114300" simplePos="0" relativeHeight="251671552" behindDoc="1" locked="0" layoutInCell="1" allowOverlap="1">
                <wp:simplePos x="0" y="0"/>
                <wp:positionH relativeFrom="column">
                  <wp:posOffset>876300</wp:posOffset>
                </wp:positionH>
                <wp:positionV relativeFrom="paragraph">
                  <wp:posOffset>3220720</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1989455" y="3728720"/>
                          <a:ext cx="3576320" cy="39179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69pt;margin-top:253.6pt;height:30.85pt;width:281.6pt;z-index:-251644928;mso-width-relative:page;mso-height-relative:page;" fillcolor="#FFFFFF" filled="t" stroked="f" coordsize="21600,21600" o:gfxdata="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7tiNT9YAAAALAQAADwAAAAAAAAABACAAAAAi&#10;AAAAZHJzL2Rvd25yZXYueG1sUEsBAhQAFAAAAAgAh07iQDyN375FAgAAXgQAAA4AAAAAAAAAAQAg&#10;AAAAJQEAAGRycy9lMm9Eb2MueG1sUEsFBgAAAAAGAAYAWQEAANwFA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r>
        <w:rPr>
          <w:rFonts w:hint="eastAsia" w:ascii="楷体_GB2312" w:hAnsi="Times New Roman" w:eastAsia="楷体_GB2312" w:cs="DengXian-Bold"/>
          <w:b/>
          <w:bCs/>
          <w:sz w:val="32"/>
          <w:szCs w:val="32"/>
          <w:lang w:eastAsia="zh-CN"/>
        </w:rPr>
        <w:drawing>
          <wp:anchor distT="0" distB="0" distL="114300" distR="114300" simplePos="0" relativeHeight="251677696" behindDoc="0" locked="0" layoutInCell="1" allowOverlap="1">
            <wp:simplePos x="0" y="0"/>
            <wp:positionH relativeFrom="column">
              <wp:posOffset>414020</wp:posOffset>
            </wp:positionH>
            <wp:positionV relativeFrom="paragraph">
              <wp:posOffset>269240</wp:posOffset>
            </wp:positionV>
            <wp:extent cx="4669790" cy="2837180"/>
            <wp:effectExtent l="4445" t="4445" r="12065" b="15875"/>
            <wp:wrapTopAndBottom/>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629.14</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401.91</w:t>
      </w:r>
      <w:r>
        <w:rPr>
          <w:rFonts w:hint="eastAsia" w:ascii="仿宋_GB2312" w:hAnsi="Times New Roman" w:eastAsia="仿宋_GB2312" w:cs="DengXian-Regular"/>
          <w:sz w:val="32"/>
          <w:szCs w:val="32"/>
        </w:rPr>
        <w:t xml:space="preserve">万元，主要包括基本工资、津贴补贴、奖金、绩效工资、机关事业单位基本养老保险缴费、职工基本医疗保险缴费住房公积金、医疗费、其他社会保障缴费、其他工资福利支出、离休费、退休费、生活补助、医疗费补助、奖励金；公用经费 </w:t>
      </w:r>
      <w:r>
        <w:rPr>
          <w:rFonts w:hint="eastAsia" w:ascii="仿宋_GB2312" w:hAnsi="Times New Roman" w:eastAsia="仿宋_GB2312" w:cs="DengXian-Regular"/>
          <w:sz w:val="32"/>
          <w:szCs w:val="32"/>
          <w:lang w:val="en-US" w:eastAsia="zh-CN"/>
        </w:rPr>
        <w:t>227.23</w:t>
      </w:r>
      <w:r>
        <w:rPr>
          <w:rFonts w:hint="eastAsia" w:ascii="仿宋_GB2312" w:hAnsi="Times New Roman" w:eastAsia="仿宋_GB2312" w:cs="DengXian-Regular"/>
          <w:sz w:val="32"/>
          <w:szCs w:val="32"/>
        </w:rPr>
        <w:t>万元，主要包括办公费、印刷费、水费、电费、邮电费、取暖费、差旅费、维修（护）费、租赁费、会议费、委托业务费、工会经费、福利费、公务用车运行维护费。</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2.62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年初预算数为</w:t>
      </w:r>
      <w:r>
        <w:rPr>
          <w:rFonts w:hint="eastAsia" w:ascii="仿宋_GB2312" w:hAnsi="Times New Roman" w:eastAsia="仿宋_GB2312" w:cs="DengXian-Regular"/>
          <w:sz w:val="32"/>
          <w:szCs w:val="32"/>
          <w:lang w:val="en-US" w:eastAsia="zh-CN"/>
        </w:rPr>
        <w:t>2.7万元</w:t>
      </w:r>
      <w:r>
        <w:rPr>
          <w:rFonts w:hint="eastAsia" w:ascii="仿宋_GB2312" w:hAnsi="Times New Roman" w:eastAsia="仿宋_GB2312" w:cs="DengXian-Regular"/>
          <w:sz w:val="32"/>
          <w:szCs w:val="32"/>
          <w:lang w:eastAsia="zh-CN"/>
        </w:rPr>
        <w:t>。因</w:t>
      </w:r>
      <w:r>
        <w:rPr>
          <w:rFonts w:hint="eastAsia" w:ascii="仿宋_GB2312" w:hAnsi="Times New Roman" w:eastAsia="仿宋_GB2312" w:cs="DengXian-Regular"/>
          <w:sz w:val="32"/>
          <w:szCs w:val="32"/>
        </w:rPr>
        <w:t>医保局为2019年初</w:t>
      </w:r>
      <w:r>
        <w:rPr>
          <w:rFonts w:hint="eastAsia" w:ascii="仿宋_GB2312" w:hAnsi="Times New Roman" w:eastAsia="仿宋_GB2312" w:cs="DengXian-Regular"/>
          <w:sz w:val="32"/>
          <w:szCs w:val="32"/>
          <w:lang w:eastAsia="zh-CN"/>
        </w:rPr>
        <w:t>机构改革后</w:t>
      </w:r>
      <w:r>
        <w:rPr>
          <w:rFonts w:hint="eastAsia" w:ascii="仿宋_GB2312" w:hAnsi="Times New Roman" w:eastAsia="仿宋_GB2312" w:cs="DengXian-Regular"/>
          <w:sz w:val="32"/>
          <w:szCs w:val="32"/>
        </w:rPr>
        <w:t>新成立单位，</w:t>
      </w:r>
      <w:r>
        <w:rPr>
          <w:rFonts w:hint="eastAsia" w:ascii="仿宋_GB2312" w:hAnsi="Times New Roman" w:eastAsia="仿宋_GB2312" w:cs="DengXian-Regular"/>
          <w:sz w:val="32"/>
          <w:szCs w:val="32"/>
          <w:lang w:eastAsia="zh-CN"/>
        </w:rPr>
        <w:t>公车为</w:t>
      </w:r>
      <w:r>
        <w:rPr>
          <w:rFonts w:hint="eastAsia" w:ascii="仿宋_GB2312" w:hAnsi="Times New Roman" w:eastAsia="仿宋_GB2312" w:cs="DengXian-Regular"/>
          <w:sz w:val="32"/>
          <w:szCs w:val="32"/>
        </w:rPr>
        <w:t>局下属</w:t>
      </w:r>
      <w:r>
        <w:rPr>
          <w:rFonts w:hint="eastAsia" w:ascii="仿宋_GB2312" w:hAnsi="Times New Roman" w:eastAsia="仿宋_GB2312" w:cs="DengXian-Regular"/>
          <w:sz w:val="32"/>
          <w:szCs w:val="32"/>
          <w:lang w:eastAsia="zh-CN"/>
        </w:rPr>
        <w:t>事业单位</w:t>
      </w:r>
      <w:r>
        <w:rPr>
          <w:rFonts w:hint="eastAsia" w:ascii="仿宋_GB2312" w:hAnsi="Times New Roman" w:eastAsia="仿宋_GB2312" w:cs="DengXian-Regular"/>
          <w:sz w:val="32"/>
          <w:szCs w:val="32"/>
        </w:rPr>
        <w:t>医疗保险管理中心</w:t>
      </w:r>
      <w:r>
        <w:rPr>
          <w:rFonts w:hint="eastAsia" w:ascii="仿宋_GB2312" w:hAnsi="Times New Roman" w:eastAsia="仿宋_GB2312" w:cs="DengXian-Regular"/>
          <w:sz w:val="32"/>
          <w:szCs w:val="32"/>
          <w:lang w:eastAsia="zh-CN"/>
        </w:rPr>
        <w:t>资产，</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w:t>
      </w:r>
      <w:r>
        <w:rPr>
          <w:rFonts w:hint="eastAsia" w:ascii="仿宋_GB2312" w:eastAsia="仿宋_GB2312" w:cs="DengXian-Regular"/>
          <w:sz w:val="32"/>
          <w:szCs w:val="32"/>
          <w:lang w:eastAsia="zh-CN"/>
        </w:rPr>
        <w:t>、</w:t>
      </w:r>
      <w:r>
        <w:rPr>
          <w:rFonts w:hint="eastAsia" w:ascii="仿宋_GB2312" w:eastAsia="仿宋_GB2312" w:cs="DengXian-Regular"/>
          <w:sz w:val="32"/>
          <w:szCs w:val="32"/>
        </w:rPr>
        <w:t>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w:t>
      </w:r>
      <w:r>
        <w:rPr>
          <w:rFonts w:hint="eastAsia" w:ascii="仿宋_GB2312" w:eastAsia="仿宋_GB2312" w:cs="DengXian-Regular"/>
          <w:sz w:val="32"/>
          <w:szCs w:val="32"/>
          <w:lang w:eastAsia="zh-CN"/>
        </w:rPr>
        <w:t>、</w:t>
      </w:r>
      <w:r>
        <w:rPr>
          <w:rFonts w:hint="eastAsia" w:ascii="仿宋_GB2312" w:eastAsia="仿宋_GB2312" w:cs="DengXian-Regular"/>
          <w:sz w:val="32"/>
          <w:szCs w:val="32"/>
        </w:rPr>
        <w:t>无本单位组织的出国（境）团组。</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2.62</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lang w:eastAsia="zh-CN"/>
        </w:rPr>
        <w:t>为下属单位医疗保障管理中心支出，</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p>
    <w:p>
      <w:p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w:t>
      </w:r>
      <w:r>
        <w:rPr>
          <w:rFonts w:hint="eastAsia" w:ascii="仿宋_GB2312" w:hAnsi="Times New Roman" w:eastAsia="仿宋_GB2312" w:cs="DengXian-Regular"/>
          <w:sz w:val="32"/>
          <w:szCs w:val="32"/>
          <w:lang w:eastAsia="zh-CN"/>
        </w:rPr>
        <w:t>为</w:t>
      </w:r>
      <w:r>
        <w:rPr>
          <w:rFonts w:hint="eastAsia" w:ascii="仿宋_GB2312" w:hAnsi="Times New Roman" w:eastAsia="仿宋_GB2312" w:cs="DengXian-Regular"/>
          <w:sz w:val="32"/>
          <w:szCs w:val="32"/>
          <w:lang w:val="en-US" w:eastAsia="zh-CN"/>
        </w:rPr>
        <w:t>2.62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2018年公车运行维护费为2.66万元，较上年减少0.04万元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 xml:space="preserve">   </w:t>
      </w:r>
    </w:p>
    <w:p>
      <w:pPr>
        <w:adjustRightInd w:val="0"/>
        <w:snapToGrid w:val="0"/>
        <w:spacing w:after="0" w:line="580" w:lineRule="exact"/>
        <w:ind w:firstLine="643" w:firstLineChars="200"/>
        <w:rPr>
          <w:rFonts w:hint="eastAsia" w:ascii="仿宋_GB2312" w:hAnsi="Times New Roman" w:eastAsia="仿宋_GB2312" w:cs="DengXian-Regular"/>
          <w:sz w:val="32"/>
          <w:szCs w:val="32"/>
          <w:lang w:val="en-US" w:eastAsia="zh-CN"/>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ascii="Times New Roman" w:hAnsi="Times New Roman" w:eastAsia="宋体" w:cs="Times New Roman"/>
          <w:sz w:val="44"/>
          <w:szCs w:val="24"/>
        </w:rPr>
        <mc:AlternateContent>
          <mc:Choice Requires="wpg">
            <w:drawing>
              <wp:anchor distT="0" distB="0" distL="114300" distR="114300" simplePos="0" relativeHeight="25167872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rgbClr val="FFFFFF">
                              <a:lumMod val="85000"/>
                            </a:srgbClr>
                          </a:solidFill>
                          <a:ln w="25400" cap="flat" cmpd="sng" algn="ctr">
                            <a:noFill/>
                            <a:prstDash val="solid"/>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a:ln w="25400" cap="flat" cmpd="sng" algn="ctr">
                            <a:solidFill>
                              <a:srgbClr val="F0A22E">
                                <a:shade val="50000"/>
                              </a:srgbClr>
                            </a:solidFill>
                            <a:prstDash val="solid"/>
                          </a:ln>
                          <a:effectLst/>
                        </wps:spPr>
                        <wps:style>
                          <a:lnRef idx="2">
                            <a:schemeClr val="accent1">
                              <a:shade val="50000"/>
                            </a:schemeClr>
                          </a:lnRef>
                          <a:fillRef idx="1">
                            <a:schemeClr val="accent1"/>
                          </a:fillRef>
                          <a:effectRef idx="0">
                            <a:schemeClr val="accent1"/>
                          </a:effectRef>
                          <a:fontRef idx="minor">
                            <a:schemeClr val="lt1"/>
                          </a:fontRef>
                        </wps:style>
                        <wps:txbx>
                          <w:txbxContent>
                            <w:p>
                              <w:pPr>
                                <w:widowControl/>
                                <w:spacing w:after="160" w:line="480" w:lineRule="auto"/>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spacing w:after="160" w:line="480" w:lineRule="auto"/>
                                <w:jc w:val="center"/>
                                <w:rPr>
                                  <w:rFonts w:ascii="Times New Roman" w:hAnsi="Times New Roman" w:eastAsia="宋体" w:cs="Times New Roman"/>
                                  <w:szCs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872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">
                <o:lock v:ext="edit" aspectratio="f"/>
                <v:rect id="矩形 13" o:spid="_x0000_s1026"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miterlimit="8" joinstyle="miter"/>
                  <v:imagedata o:title=""/>
                  <o:lock v:ext="edit" aspectratio="f"/>
                  <v:textbox>
                    <w:txbxContent>
                      <w:p>
                        <w:pPr>
                          <w:widowControl/>
                          <w:spacing w:after="160" w:line="480" w:lineRule="auto"/>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spacing w:after="160" w:line="480" w:lineRule="auto"/>
                          <w:jc w:val="center"/>
                          <w:rPr>
                            <w:rFonts w:ascii="Times New Roman" w:hAnsi="Times New Roman" w:eastAsia="宋体" w:cs="Times New Roman"/>
                            <w:szCs w:val="24"/>
                          </w:rPr>
                        </w:pPr>
                      </w:p>
                    </w:txbxContent>
                  </v:textbox>
                </v:rect>
                <w10:anchorlock/>
              </v:group>
            </w:pict>
          </mc:Fallback>
        </mc:AlternateContent>
      </w:r>
      <w:r>
        <w:rPr>
          <w:rFonts w:hint="eastAsia" w:ascii="仿宋_GB2312" w:hAnsi="Times New Roman" w:eastAsia="仿宋_GB2312" w:cs="DengXian-Regular"/>
          <w:sz w:val="32"/>
          <w:szCs w:val="32"/>
        </w:rPr>
        <w:t>本部门201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根据预算绩效管理要求，本部门组织对2019年度一般公共预算项目支出全面开展绩效自评，其中，一级项目共涉及资金</w:t>
      </w:r>
      <w:r>
        <w:rPr>
          <w:rFonts w:hint="eastAsia" w:ascii="仿宋_GB2312" w:hAnsi="仿宋_GB2312" w:eastAsia="仿宋_GB2312" w:cs="仿宋_GB2312"/>
          <w:sz w:val="32"/>
          <w:szCs w:val="32"/>
          <w:lang w:val="en-US" w:eastAsia="zh-CN"/>
        </w:rPr>
        <w:t>4925.07</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89.31%</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eastAsia="zh-CN"/>
        </w:rPr>
        <w:t>中央医疗救助专项公益金</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内部</w:t>
      </w:r>
      <w:r>
        <w:rPr>
          <w:rFonts w:hint="eastAsia" w:ascii="仿宋_GB2312" w:hAnsi="仿宋_GB2312" w:eastAsia="仿宋_GB2312" w:cs="仿宋_GB2312"/>
          <w:sz w:val="32"/>
          <w:szCs w:val="32"/>
        </w:rPr>
        <w:t>评审机构开展绩效评价。从评价情况来看，根据《关于开展201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度财政专项资金部门绩效自评价工作的通知》，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《2019年省级财政城乡居民医保村级代办员补助资金项目》</w:t>
      </w:r>
      <w:r>
        <w:rPr>
          <w:rFonts w:hint="eastAsia" w:ascii="仿宋_GB2312" w:hAnsi="仿宋_GB2312" w:eastAsia="仿宋_GB2312" w:cs="仿宋_GB2312"/>
          <w:sz w:val="32"/>
          <w:szCs w:val="32"/>
        </w:rPr>
        <w:t>等项目绩效自评结果。</w:t>
      </w: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2019年省级财政城乡居民医保村级代办员补助资金项目</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村级代办员补助资金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94</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 2019年度城乡居民总参保率达95%以上。各乡镇参保率达90%以上；二是医保工作作为保基本惠民生，同群众切身利益息息相关的民生项目，要求我们医保工作者提升业务能力，勇担新使命。该项目保障了城乡居民医疗保险等基层经办工作顺利开展，提升了参保群众对医保工作的满意度获得感。</w:t>
      </w:r>
    </w:p>
    <w:tbl>
      <w:tblPr>
        <w:tblStyle w:val="9"/>
        <w:tblW w:w="89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7"/>
        <w:gridCol w:w="1227"/>
        <w:gridCol w:w="3056"/>
        <w:gridCol w:w="2662"/>
        <w:gridCol w:w="8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9" w:hRule="atLeast"/>
        </w:trPr>
        <w:tc>
          <w:tcPr>
            <w:tcW w:w="1227"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指标</w:t>
            </w:r>
          </w:p>
        </w:tc>
        <w:tc>
          <w:tcPr>
            <w:tcW w:w="1227"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分值</w:t>
            </w:r>
          </w:p>
        </w:tc>
        <w:tc>
          <w:tcPr>
            <w:tcW w:w="3056"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指标解释</w:t>
            </w:r>
          </w:p>
        </w:tc>
        <w:tc>
          <w:tcPr>
            <w:tcW w:w="26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评价标准</w:t>
            </w:r>
          </w:p>
        </w:tc>
        <w:tc>
          <w:tcPr>
            <w:tcW w:w="824"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77" w:hRule="atLeast"/>
        </w:trPr>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项目执行</w:t>
            </w:r>
          </w:p>
        </w:tc>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15</w:t>
            </w:r>
          </w:p>
        </w:tc>
        <w:tc>
          <w:tcPr>
            <w:tcW w:w="3056"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项目立项是否规范，项目目标是否明确，绩效目标是否合理，项目指标是否具有明确性</w:t>
            </w:r>
          </w:p>
        </w:tc>
        <w:tc>
          <w:tcPr>
            <w:tcW w:w="266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绩效目标是否合理，项目指标是否具有明确性各5分；目标明确、理想规范各2分；目标量化1分。</w:t>
            </w:r>
          </w:p>
        </w:tc>
        <w:tc>
          <w:tcPr>
            <w:tcW w:w="824"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3" w:hRule="atLeast"/>
        </w:trPr>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资金落实</w:t>
            </w:r>
          </w:p>
        </w:tc>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12</w:t>
            </w:r>
          </w:p>
        </w:tc>
        <w:tc>
          <w:tcPr>
            <w:tcW w:w="3056"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资金到位率和到位时效性</w:t>
            </w:r>
          </w:p>
        </w:tc>
        <w:tc>
          <w:tcPr>
            <w:tcW w:w="266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根据资金到位率及实效评分</w:t>
            </w:r>
          </w:p>
        </w:tc>
        <w:tc>
          <w:tcPr>
            <w:tcW w:w="824"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8" w:hRule="atLeast"/>
        </w:trPr>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资金管理</w:t>
            </w:r>
          </w:p>
        </w:tc>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11</w:t>
            </w:r>
          </w:p>
        </w:tc>
        <w:tc>
          <w:tcPr>
            <w:tcW w:w="3056"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资金管理、费用支出制度健全，是否严格执行制度</w:t>
            </w:r>
          </w:p>
        </w:tc>
        <w:tc>
          <w:tcPr>
            <w:tcW w:w="266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制度健全、支出规范6分，严格执行制度，核算规范6分</w:t>
            </w:r>
          </w:p>
        </w:tc>
        <w:tc>
          <w:tcPr>
            <w:tcW w:w="824"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8" w:hRule="atLeast"/>
        </w:trPr>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组织实施</w:t>
            </w:r>
          </w:p>
        </w:tc>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12</w:t>
            </w:r>
          </w:p>
        </w:tc>
        <w:tc>
          <w:tcPr>
            <w:tcW w:w="3056"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机构健全、分工明确，严格执行相关制度</w:t>
            </w:r>
          </w:p>
        </w:tc>
        <w:tc>
          <w:tcPr>
            <w:tcW w:w="266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机构健全3分，分工明确3分，严格执行制度6分</w:t>
            </w:r>
          </w:p>
        </w:tc>
        <w:tc>
          <w:tcPr>
            <w:tcW w:w="824"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3" w:hRule="atLeast"/>
        </w:trPr>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项目产出</w:t>
            </w:r>
          </w:p>
        </w:tc>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20</w:t>
            </w:r>
          </w:p>
        </w:tc>
        <w:tc>
          <w:tcPr>
            <w:tcW w:w="3056"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产出数量、质量、时效、成本</w:t>
            </w:r>
          </w:p>
        </w:tc>
        <w:tc>
          <w:tcPr>
            <w:tcW w:w="266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各占5分</w:t>
            </w:r>
          </w:p>
        </w:tc>
        <w:tc>
          <w:tcPr>
            <w:tcW w:w="824"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9" w:hRule="atLeast"/>
        </w:trPr>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项目效果</w:t>
            </w:r>
          </w:p>
        </w:tc>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10</w:t>
            </w:r>
          </w:p>
        </w:tc>
        <w:tc>
          <w:tcPr>
            <w:tcW w:w="3056"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经济效益、社会效益和可持续发展</w:t>
            </w:r>
          </w:p>
        </w:tc>
        <w:tc>
          <w:tcPr>
            <w:tcW w:w="266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经济效益社会效益各占3分，可持续发展占4分</w:t>
            </w:r>
          </w:p>
        </w:tc>
        <w:tc>
          <w:tcPr>
            <w:tcW w:w="824"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8" w:hRule="atLeast"/>
        </w:trPr>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服务对象满意度</w:t>
            </w:r>
          </w:p>
        </w:tc>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20</w:t>
            </w:r>
          </w:p>
        </w:tc>
        <w:tc>
          <w:tcPr>
            <w:tcW w:w="3056"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对居民、群众进行随机采访和发放调查问卷，进行满意度调查</w:t>
            </w:r>
          </w:p>
        </w:tc>
        <w:tc>
          <w:tcPr>
            <w:tcW w:w="266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根据采访和调研的情况进行评分</w:t>
            </w:r>
          </w:p>
        </w:tc>
        <w:tc>
          <w:tcPr>
            <w:tcW w:w="824"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3" w:hRule="atLeast"/>
        </w:trPr>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合计</w:t>
            </w:r>
          </w:p>
        </w:tc>
        <w:tc>
          <w:tcPr>
            <w:tcW w:w="1227"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100</w:t>
            </w:r>
          </w:p>
        </w:tc>
        <w:tc>
          <w:tcPr>
            <w:tcW w:w="3056"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p>
        </w:tc>
        <w:tc>
          <w:tcPr>
            <w:tcW w:w="266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宋体" w:hAnsi="宋体" w:eastAsia="宋体" w:cs="宋体"/>
                <w:sz w:val="18"/>
                <w:szCs w:val="18"/>
                <w:vertAlign w:val="baseline"/>
                <w:lang w:val="en-US" w:eastAsia="zh-CN"/>
              </w:rPr>
            </w:pPr>
          </w:p>
        </w:tc>
        <w:tc>
          <w:tcPr>
            <w:tcW w:w="824"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94</w:t>
            </w:r>
          </w:p>
        </w:tc>
      </w:tr>
    </w:tbl>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left="0" w:leftChars="0"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城乡居民医疗补助项目绩效自评综述：根据年初设定的绩效目标，城乡居民医疗补助项目绩效自评得分为9</w:t>
      </w:r>
      <w:r>
        <w:rPr>
          <w:rFonts w:hint="eastAsia" w:ascii="仿宋" w:hAnsi="仿宋" w:eastAsia="仿宋" w:cs="仿宋"/>
          <w:sz w:val="32"/>
          <w:szCs w:val="32"/>
          <w:lang w:val="en-US" w:eastAsia="zh-CN"/>
        </w:rPr>
        <w:t>3</w:t>
      </w:r>
      <w:r>
        <w:rPr>
          <w:rFonts w:hint="eastAsia" w:ascii="仿宋" w:hAnsi="仿宋" w:eastAsia="仿宋" w:cs="仿宋"/>
          <w:sz w:val="32"/>
          <w:szCs w:val="32"/>
        </w:rPr>
        <w:t>分，完成预算的</w:t>
      </w:r>
      <w:r>
        <w:rPr>
          <w:rFonts w:hint="eastAsia" w:ascii="仿宋" w:hAnsi="仿宋" w:eastAsia="仿宋" w:cs="仿宋"/>
          <w:sz w:val="32"/>
          <w:szCs w:val="32"/>
          <w:highlight w:val="none"/>
        </w:rPr>
        <w:t>100%</w:t>
      </w:r>
      <w:r>
        <w:rPr>
          <w:rFonts w:hint="eastAsia" w:ascii="仿宋" w:hAnsi="仿宋" w:eastAsia="仿宋" w:cs="仿宋"/>
          <w:sz w:val="32"/>
          <w:szCs w:val="32"/>
        </w:rPr>
        <w:t>。项目绩效目标完成情况：一是确保城乡居民医疗保险参保人数与去年相比不降低、基金征缴收入与去年相比不降低，参保率达95%以上，截至 2019 年 12 月 25 日，城乡居民医保参保缴费人数为：346019人（其中特殊人群5790人）</w:t>
      </w:r>
      <w:r>
        <w:rPr>
          <w:rFonts w:hint="eastAsia" w:ascii="仿宋" w:hAnsi="仿宋" w:eastAsia="仿宋" w:cs="仿宋"/>
          <w:sz w:val="32"/>
          <w:szCs w:val="32"/>
          <w:lang w:eastAsia="zh-CN"/>
        </w:rPr>
        <w:t>。二是提升了居民全民参保率，居民生活质量明显改善，广大居民的幸福指数显著提升。存在主要问题：1.参保对象比较复杂，从而会影响参保率。2.新入学的大中专学生按照180元标准缴费，其中个人缴费160元，市财政补助20元，较以前年度每人每年20元有了大幅度提高，参保工作难度增大。3.部分乡镇、村委会对城乡居民基本医疗保险政策宣传不到位，工作不细致，导致参保缴费有遗漏，人员信息有差错。 4.根据居民医保政策规定，自2017年度起新生儿参保必须在三个月以内登记并缴费，对此仍有部分居民不知道、不理解、有意见。 5.城乡居民中死亡人员，家属未及时到经办机构办理注销。采取措施：下一步，我们将加大医疗保险政策宣传，提高政策认识度和公信力，积极争取广大居民理解、支持、参与医疗保险工作，努力构建和谐医保关系。</w:t>
      </w:r>
    </w:p>
    <w:p>
      <w:pPr>
        <w:numPr>
          <w:ilvl w:val="0"/>
          <w:numId w:val="5"/>
        </w:numPr>
        <w:adjustRightInd w:val="0"/>
        <w:snapToGrid w:val="0"/>
        <w:spacing w:line="580" w:lineRule="exact"/>
        <w:ind w:left="0" w:leftChars="0"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专项经费项目绩效自评综述：根据年初设定的绩效目标，专项经费项目绩效自评得分为9</w:t>
      </w:r>
      <w:r>
        <w:rPr>
          <w:rFonts w:hint="eastAsia" w:ascii="仿宋" w:hAnsi="仿宋" w:eastAsia="仿宋" w:cs="仿宋"/>
          <w:sz w:val="32"/>
          <w:szCs w:val="32"/>
          <w:lang w:val="en-US" w:eastAsia="zh-CN"/>
        </w:rPr>
        <w:t>5</w:t>
      </w:r>
      <w:r>
        <w:rPr>
          <w:rFonts w:hint="eastAsia" w:ascii="仿宋" w:hAnsi="仿宋" w:eastAsia="仿宋" w:cs="仿宋"/>
          <w:sz w:val="32"/>
          <w:szCs w:val="32"/>
        </w:rPr>
        <w:t>分。全年预算数为</w:t>
      </w:r>
      <w:r>
        <w:rPr>
          <w:rFonts w:hint="eastAsia" w:ascii="仿宋" w:hAnsi="仿宋" w:eastAsia="仿宋" w:cs="仿宋"/>
          <w:sz w:val="32"/>
          <w:szCs w:val="32"/>
          <w:lang w:val="en-US" w:eastAsia="zh-CN"/>
        </w:rPr>
        <w:t>41</w:t>
      </w:r>
      <w:r>
        <w:rPr>
          <w:rFonts w:hint="eastAsia" w:ascii="仿宋" w:hAnsi="仿宋" w:eastAsia="仿宋" w:cs="仿宋"/>
          <w:sz w:val="32"/>
          <w:szCs w:val="32"/>
        </w:rPr>
        <w:t>万元，执行数为</w:t>
      </w:r>
      <w:r>
        <w:rPr>
          <w:rFonts w:hint="eastAsia" w:ascii="仿宋" w:hAnsi="仿宋" w:eastAsia="仿宋" w:cs="仿宋"/>
          <w:sz w:val="32"/>
          <w:szCs w:val="32"/>
          <w:highlight w:val="none"/>
          <w:lang w:val="en-US" w:eastAsia="zh-CN"/>
        </w:rPr>
        <w:t>41</w:t>
      </w:r>
      <w:r>
        <w:rPr>
          <w:rFonts w:hint="eastAsia" w:ascii="仿宋" w:hAnsi="仿宋" w:eastAsia="仿宋" w:cs="仿宋"/>
          <w:sz w:val="32"/>
          <w:szCs w:val="32"/>
          <w:highlight w:val="none"/>
        </w:rPr>
        <w:t>万元，完成预算的100%</w:t>
      </w:r>
      <w:r>
        <w:rPr>
          <w:rFonts w:hint="eastAsia" w:ascii="仿宋" w:hAnsi="仿宋" w:eastAsia="仿宋" w:cs="仿宋"/>
          <w:sz w:val="32"/>
          <w:szCs w:val="32"/>
        </w:rPr>
        <w:t>。</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一是确保医疗保障局各项工作正常有序运转。项目存在的主要问题：绩效评价方面还有待加强，对部门的绩效评价报告质量还有待提高，绩效指标体系还有待完善，绩效管理工作机制还有待进一步健全。针对问题提出具体的改进措施或建议：在推动基层组织工作专项活动经费合规管理使用的前提下，推进其经费使用绩效评价工作，运用“事前有计划，事中有控制、事后有监督”的基层专项经费管理方式提高项目绩效管理水平。</w:t>
      </w:r>
    </w:p>
    <w:tbl>
      <w:tblPr>
        <w:tblStyle w:val="9"/>
        <w:tblW w:w="89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225"/>
        <w:gridCol w:w="3049"/>
        <w:gridCol w:w="2656"/>
        <w:gridCol w:w="8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25"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指标</w:t>
            </w:r>
          </w:p>
        </w:tc>
        <w:tc>
          <w:tcPr>
            <w:tcW w:w="1225"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分值</w:t>
            </w:r>
          </w:p>
        </w:tc>
        <w:tc>
          <w:tcPr>
            <w:tcW w:w="3049"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指标解释</w:t>
            </w:r>
          </w:p>
        </w:tc>
        <w:tc>
          <w:tcPr>
            <w:tcW w:w="2656"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评价标准</w:t>
            </w:r>
          </w:p>
        </w:tc>
        <w:tc>
          <w:tcPr>
            <w:tcW w:w="823"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52" w:hRule="atLeast"/>
        </w:trPr>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项目决策</w:t>
            </w:r>
          </w:p>
        </w:tc>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16</w:t>
            </w:r>
          </w:p>
        </w:tc>
        <w:tc>
          <w:tcPr>
            <w:tcW w:w="3049"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项目目标是否明确，项目是否符合经济社会发展规划和单位年度工作计划</w:t>
            </w:r>
          </w:p>
        </w:tc>
        <w:tc>
          <w:tcPr>
            <w:tcW w:w="2656"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目标明确、目标细化、目标量化各2分，项目符合经济社会发展规划和单位年度工作计划各5分</w:t>
            </w:r>
          </w:p>
        </w:tc>
        <w:tc>
          <w:tcPr>
            <w:tcW w:w="823"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资金到位</w:t>
            </w:r>
          </w:p>
        </w:tc>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10</w:t>
            </w:r>
          </w:p>
        </w:tc>
        <w:tc>
          <w:tcPr>
            <w:tcW w:w="3049"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资金到位率和到位时效</w:t>
            </w:r>
          </w:p>
        </w:tc>
        <w:tc>
          <w:tcPr>
            <w:tcW w:w="2656"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根据资金到位率及实效评分</w:t>
            </w:r>
          </w:p>
        </w:tc>
        <w:tc>
          <w:tcPr>
            <w:tcW w:w="823"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资金管理</w:t>
            </w:r>
          </w:p>
        </w:tc>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12</w:t>
            </w:r>
          </w:p>
        </w:tc>
        <w:tc>
          <w:tcPr>
            <w:tcW w:w="3049"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资金管理、费用支出制度健全，是否严格执行制度</w:t>
            </w:r>
          </w:p>
        </w:tc>
        <w:tc>
          <w:tcPr>
            <w:tcW w:w="2656"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制度健全、支出规范6分，严格执行制度，核算规范6分</w:t>
            </w:r>
          </w:p>
        </w:tc>
        <w:tc>
          <w:tcPr>
            <w:tcW w:w="823"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组织实施</w:t>
            </w:r>
          </w:p>
        </w:tc>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12</w:t>
            </w:r>
          </w:p>
        </w:tc>
        <w:tc>
          <w:tcPr>
            <w:tcW w:w="3049"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机构健全、分工明确，严格执行相关制度</w:t>
            </w:r>
          </w:p>
        </w:tc>
        <w:tc>
          <w:tcPr>
            <w:tcW w:w="2656"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机构健全3分，分工明确3分，严格执行制度6分</w:t>
            </w:r>
          </w:p>
        </w:tc>
        <w:tc>
          <w:tcPr>
            <w:tcW w:w="823"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项目产出</w:t>
            </w:r>
          </w:p>
        </w:tc>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20</w:t>
            </w:r>
          </w:p>
        </w:tc>
        <w:tc>
          <w:tcPr>
            <w:tcW w:w="3049"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产出数量、质量、时效、成本</w:t>
            </w:r>
          </w:p>
        </w:tc>
        <w:tc>
          <w:tcPr>
            <w:tcW w:w="2656"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各占5分</w:t>
            </w:r>
          </w:p>
        </w:tc>
        <w:tc>
          <w:tcPr>
            <w:tcW w:w="823"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项目效果</w:t>
            </w:r>
          </w:p>
        </w:tc>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10</w:t>
            </w:r>
          </w:p>
        </w:tc>
        <w:tc>
          <w:tcPr>
            <w:tcW w:w="3049"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经济效益、社会效益和可持续发展</w:t>
            </w:r>
          </w:p>
        </w:tc>
        <w:tc>
          <w:tcPr>
            <w:tcW w:w="2656"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经济效益社会效益各占3分，可持续发展占4分</w:t>
            </w:r>
          </w:p>
        </w:tc>
        <w:tc>
          <w:tcPr>
            <w:tcW w:w="823"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服务对象满意度</w:t>
            </w:r>
          </w:p>
        </w:tc>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20</w:t>
            </w:r>
          </w:p>
        </w:tc>
        <w:tc>
          <w:tcPr>
            <w:tcW w:w="3049" w:type="dxa"/>
            <w:vAlign w:val="top"/>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向干部职工发放满意度调查问卷</w:t>
            </w:r>
          </w:p>
        </w:tc>
        <w:tc>
          <w:tcPr>
            <w:tcW w:w="2656" w:type="dxa"/>
            <w:vAlign w:val="top"/>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根据调查问卷反馈情况进行评分</w:t>
            </w:r>
          </w:p>
        </w:tc>
        <w:tc>
          <w:tcPr>
            <w:tcW w:w="823"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合计</w:t>
            </w:r>
          </w:p>
        </w:tc>
        <w:tc>
          <w:tcPr>
            <w:tcW w:w="1225"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100</w:t>
            </w:r>
          </w:p>
        </w:tc>
        <w:tc>
          <w:tcPr>
            <w:tcW w:w="3049"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p>
        </w:tc>
        <w:tc>
          <w:tcPr>
            <w:tcW w:w="2656"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 w:hAnsi="仿宋" w:eastAsia="仿宋" w:cs="仿宋"/>
                <w:sz w:val="20"/>
                <w:szCs w:val="20"/>
                <w:vertAlign w:val="baseline"/>
                <w:lang w:val="en-US" w:eastAsia="zh-CN"/>
              </w:rPr>
            </w:pPr>
          </w:p>
        </w:tc>
        <w:tc>
          <w:tcPr>
            <w:tcW w:w="823"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sz w:val="20"/>
                <w:szCs w:val="20"/>
                <w:vertAlign w:val="baseline"/>
                <w:lang w:val="en-US" w:eastAsia="zh-CN"/>
              </w:rPr>
            </w:pPr>
            <w:r>
              <w:rPr>
                <w:rFonts w:hint="eastAsia" w:ascii="仿宋" w:hAnsi="仿宋" w:eastAsia="仿宋" w:cs="仿宋"/>
                <w:sz w:val="20"/>
                <w:szCs w:val="20"/>
                <w:vertAlign w:val="baseline"/>
                <w:lang w:val="en-US" w:eastAsia="zh-CN"/>
              </w:rPr>
              <w:t>95</w:t>
            </w:r>
          </w:p>
        </w:tc>
      </w:tr>
    </w:tbl>
    <w:p>
      <w:pPr>
        <w:numPr>
          <w:ilvl w:val="0"/>
          <w:numId w:val="5"/>
        </w:numPr>
        <w:adjustRightInd w:val="0"/>
        <w:snapToGrid w:val="0"/>
        <w:spacing w:line="580" w:lineRule="exact"/>
        <w:ind w:left="0" w:leftChars="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离残人员医疗保障金项目</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离残人员医疗保障金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800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679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84.88%，成本节约率100%。未出现超支现象。</w:t>
      </w:r>
      <w:r>
        <w:rPr>
          <w:rFonts w:hint="eastAsia" w:ascii="仿宋_GB2312" w:hAnsi="仿宋_GB2312" w:eastAsia="仿宋_GB2312" w:cs="仿宋_GB2312"/>
          <w:sz w:val="32"/>
          <w:szCs w:val="32"/>
        </w:rPr>
        <w:t>项目绩效目标完成情况：做好辖区内离休干部、</w:t>
      </w:r>
      <w:bookmarkStart w:id="0" w:name="_GoBack"/>
      <w:bookmarkEnd w:id="0"/>
      <w:r>
        <w:rPr>
          <w:rFonts w:hint="eastAsia" w:ascii="仿宋_GB2312" w:hAnsi="仿宋_GB2312" w:eastAsia="仿宋_GB2312" w:cs="仿宋_GB2312"/>
          <w:sz w:val="32"/>
          <w:szCs w:val="32"/>
          <w:lang w:eastAsia="zh-CN"/>
        </w:rPr>
        <w:t>新中国成立前</w:t>
      </w:r>
      <w:r>
        <w:rPr>
          <w:rFonts w:hint="eastAsia" w:ascii="仿宋_GB2312" w:hAnsi="仿宋_GB2312" w:eastAsia="仿宋_GB2312" w:cs="仿宋_GB2312"/>
          <w:sz w:val="32"/>
          <w:szCs w:val="32"/>
        </w:rPr>
        <w:t>参加工作人员及1—6</w:t>
      </w:r>
      <w:r>
        <w:rPr>
          <w:rFonts w:hint="eastAsia" w:ascii="仿宋_GB2312" w:hAnsi="仿宋_GB2312" w:eastAsia="仿宋_GB2312" w:cs="仿宋_GB2312"/>
          <w:sz w:val="32"/>
          <w:szCs w:val="32"/>
          <w:lang w:eastAsia="zh-CN"/>
        </w:rPr>
        <w:t>级</w:t>
      </w:r>
      <w:r>
        <w:rPr>
          <w:rFonts w:hint="eastAsia" w:ascii="仿宋_GB2312" w:hAnsi="仿宋_GB2312" w:eastAsia="仿宋_GB2312" w:cs="仿宋_GB2312"/>
          <w:sz w:val="32"/>
          <w:szCs w:val="32"/>
        </w:rPr>
        <w:t>残疾军人离残人员医疗服务管理工作；按规定保障离残人员的医疗待遇；对医疗费用进行管理。截止2019年12月按照工作任务已按规定兑现了离残人员的医疗待遇。</w:t>
      </w:r>
    </w:p>
    <w:p>
      <w:pPr>
        <w:numPr>
          <w:ilvl w:val="0"/>
          <w:numId w:val="5"/>
        </w:numPr>
        <w:adjustRightInd w:val="0"/>
        <w:snapToGrid w:val="0"/>
        <w:spacing w:line="580" w:lineRule="exact"/>
        <w:ind w:left="0" w:leftChars="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退役军人公益岗位安置项目</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退役军人公益岗位</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2019年度</w:t>
      </w:r>
      <w:r>
        <w:rPr>
          <w:rFonts w:hint="eastAsia" w:ascii="仿宋_GB2312" w:hAnsi="仿宋_GB2312" w:eastAsia="仿宋_GB2312" w:cs="仿宋_GB2312"/>
          <w:sz w:val="32"/>
          <w:szCs w:val="32"/>
        </w:rPr>
        <w:t>我单位退役军人公益岗位2人，每月按政策标准发放补贴3620元，工资及时发放到位，根据相应的指标体系评分标准可评100分。</w:t>
      </w:r>
    </w:p>
    <w:p>
      <w:pPr>
        <w:spacing w:line="14" w:lineRule="exact"/>
        <w:ind w:firstLine="420" w:firstLineChars="200"/>
        <w:jc w:val="center"/>
        <w:rPr>
          <w:rFonts w:hint="eastAsia" w:ascii="仿宋_GB2312" w:hAnsi="仿宋_GB2312" w:eastAsia="仿宋_GB2312" w:cs="仿宋_GB2312"/>
          <w:sz w:val="32"/>
          <w:szCs w:val="32"/>
        </w:rPr>
      </w:pPr>
      <w:r>
        <w:rPr>
          <w:rFonts w:ascii="方正书宋_GBK" w:eastAsia="方正书宋_GBK"/>
          <w:color w:val="auto"/>
        </w:rPr>
        <w:t xml:space="preserve"> </w:t>
      </w:r>
    </w:p>
    <w:p>
      <w:pPr>
        <w:numPr>
          <w:ilvl w:val="0"/>
          <w:numId w:val="5"/>
        </w:numPr>
        <w:adjustRightInd w:val="0"/>
        <w:snapToGrid w:val="0"/>
        <w:spacing w:line="580" w:lineRule="exact"/>
        <w:ind w:left="0" w:leftChars="0"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长期护理保险项目</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长期护理保险项目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w:t>
      </w:r>
      <w:r>
        <w:rPr>
          <w:rFonts w:hint="eastAsia" w:ascii="仿宋" w:hAnsi="仿宋" w:eastAsia="仿宋" w:cs="仿宋"/>
          <w:sz w:val="32"/>
          <w:szCs w:val="32"/>
        </w:rPr>
        <w:t>全年预算数为</w:t>
      </w:r>
      <w:r>
        <w:rPr>
          <w:rFonts w:hint="eastAsia" w:ascii="仿宋" w:hAnsi="仿宋" w:eastAsia="仿宋" w:cs="仿宋"/>
          <w:sz w:val="32"/>
          <w:szCs w:val="32"/>
          <w:lang w:val="en-US" w:eastAsia="zh-CN"/>
        </w:rPr>
        <w:t>600</w:t>
      </w:r>
      <w:r>
        <w:rPr>
          <w:rFonts w:hint="eastAsia" w:ascii="仿宋" w:hAnsi="仿宋" w:eastAsia="仿宋" w:cs="仿宋"/>
          <w:sz w:val="32"/>
          <w:szCs w:val="32"/>
        </w:rPr>
        <w:t>万元，执行数为</w:t>
      </w:r>
      <w:r>
        <w:rPr>
          <w:rFonts w:hint="eastAsia" w:ascii="仿宋" w:hAnsi="仿宋" w:eastAsia="仿宋" w:cs="仿宋"/>
          <w:sz w:val="32"/>
          <w:szCs w:val="32"/>
          <w:highlight w:val="none"/>
          <w:lang w:val="en-US" w:eastAsia="zh-CN"/>
        </w:rPr>
        <w:t>600</w:t>
      </w:r>
      <w:r>
        <w:rPr>
          <w:rFonts w:hint="eastAsia" w:ascii="仿宋" w:hAnsi="仿宋" w:eastAsia="仿宋" w:cs="仿宋"/>
          <w:sz w:val="32"/>
          <w:szCs w:val="32"/>
        </w:rPr>
        <w:t>万元，</w:t>
      </w:r>
      <w:r>
        <w:rPr>
          <w:rFonts w:hint="eastAsia" w:ascii="仿宋_GB2312" w:hAnsi="仿宋_GB2312" w:eastAsia="仿宋_GB2312" w:cs="仿宋_GB2312"/>
          <w:sz w:val="32"/>
          <w:szCs w:val="32"/>
        </w:rPr>
        <w:t>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根据《石家庄市医疗保障局关于启动长期护理保险的通知》，鹿泉区长护险工作于12月1日正式启动，2019年12月9日成立鹿泉区长护险资格评定委员会和长护险评定专家库，2019年12月13日开展长护险评定工作。截至目前收到参保人员长护险申请195份，已评定16人，自2019年9月享受长护险待遇。</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本部门2019年度机关运行经费支出40.92万元，比2018年度增加</w:t>
      </w:r>
      <w:r>
        <w:rPr>
          <w:rFonts w:hint="eastAsia" w:ascii="仿宋_GB2312" w:hAnsi="Times New Roman" w:eastAsia="仿宋_GB2312" w:cs="DengXian-Regular"/>
          <w:sz w:val="32"/>
          <w:szCs w:val="32"/>
          <w:lang w:val="en-US" w:eastAsia="zh-CN"/>
        </w:rPr>
        <w:t>40.92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本部门为</w:t>
      </w:r>
      <w:r>
        <w:rPr>
          <w:rFonts w:hint="eastAsia" w:ascii="仿宋_GB2312" w:hAnsi="Times New Roman" w:eastAsia="仿宋_GB2312" w:cs="DengXian-Regular"/>
          <w:sz w:val="32"/>
          <w:szCs w:val="32"/>
          <w:lang w:val="en-US" w:eastAsia="zh-CN"/>
        </w:rPr>
        <w:t>2019年机构改革新成立单位，2018年无相关数据</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widowControl/>
        <w:spacing w:after="0" w:line="580" w:lineRule="exact"/>
        <w:ind w:firstLine="640" w:firstLineChars="200"/>
        <w:jc w:val="left"/>
        <w:rPr>
          <w:rFonts w:hint="default" w:ascii="仿宋_GB2312" w:eastAsia="仿宋_GB2312" w:cs="DengXian-Regular"/>
          <w:sz w:val="32"/>
          <w:szCs w:val="32"/>
          <w:highlight w:val="none"/>
          <w:lang w:val="en-US" w:eastAsia="zh-CN"/>
        </w:rPr>
      </w:pPr>
      <w:r>
        <w:rPr>
          <w:rFonts w:hint="eastAsia" w:ascii="仿宋_GB2312" w:eastAsia="仿宋_GB2312" w:cs="DengXian-Regular"/>
          <w:sz w:val="32"/>
          <w:szCs w:val="32"/>
          <w:highlight w:val="none"/>
        </w:rPr>
        <w:t>本部门201</w:t>
      </w:r>
      <w:r>
        <w:rPr>
          <w:rFonts w:hint="eastAsia" w:ascii="仿宋_GB2312" w:eastAsia="仿宋_GB2312" w:cs="DengXian-Regular"/>
          <w:sz w:val="32"/>
          <w:szCs w:val="32"/>
          <w:highlight w:val="none"/>
          <w:lang w:val="en-US" w:eastAsia="zh-CN"/>
        </w:rPr>
        <w:t>9</w:t>
      </w:r>
      <w:r>
        <w:rPr>
          <w:rFonts w:hint="eastAsia" w:ascii="仿宋_GB2312" w:eastAsia="仿宋_GB2312" w:cs="DengXian-Regular"/>
          <w:sz w:val="32"/>
          <w:szCs w:val="32"/>
          <w:highlight w:val="none"/>
        </w:rPr>
        <w:t>年度政府采购支出总额</w:t>
      </w:r>
      <w:r>
        <w:rPr>
          <w:rFonts w:hint="eastAsia" w:ascii="仿宋_GB2312" w:eastAsia="仿宋_GB2312" w:cs="DengXian-Regular"/>
          <w:sz w:val="32"/>
          <w:szCs w:val="32"/>
          <w:highlight w:val="none"/>
          <w:lang w:val="en-US" w:eastAsia="zh-CN"/>
        </w:rPr>
        <w:t>50</w:t>
      </w:r>
      <w:r>
        <w:rPr>
          <w:rFonts w:hint="eastAsia" w:ascii="仿宋_GB2312" w:eastAsia="仿宋_GB2312" w:cs="DengXian-Regular"/>
          <w:sz w:val="32"/>
          <w:szCs w:val="32"/>
          <w:highlight w:val="none"/>
        </w:rPr>
        <w:t>万元，从采购类型来看，</w:t>
      </w:r>
      <w:r>
        <w:rPr>
          <w:rFonts w:hint="eastAsia" w:ascii="仿宋_GB2312" w:eastAsia="仿宋_GB2312" w:cs="DengXian-Regular"/>
          <w:sz w:val="32"/>
          <w:szCs w:val="32"/>
          <w:highlight w:val="none"/>
          <w:lang w:eastAsia="zh-CN"/>
        </w:rPr>
        <w:t>政府采购货物支出</w:t>
      </w:r>
      <w:r>
        <w:rPr>
          <w:rFonts w:hint="eastAsia" w:ascii="仿宋_GB2312" w:eastAsia="仿宋_GB2312" w:cs="DengXian-Regular"/>
          <w:sz w:val="32"/>
          <w:szCs w:val="32"/>
          <w:highlight w:val="none"/>
          <w:lang w:val="en-US" w:eastAsia="zh-CN"/>
        </w:rPr>
        <w:t>0万元、</w:t>
      </w:r>
      <w:r>
        <w:rPr>
          <w:rFonts w:ascii="仿宋_GB2312" w:hAnsi="仿宋_GB2312" w:eastAsia="仿宋_GB2312" w:cs="仿宋_GB2312"/>
          <w:color w:val="000000"/>
          <w:kern w:val="0"/>
          <w:sz w:val="32"/>
          <w:szCs w:val="32"/>
          <w:highlight w:val="none"/>
          <w:lang w:bidi="ar"/>
        </w:rPr>
        <w:t>政府采购工程支出</w:t>
      </w:r>
      <w:r>
        <w:rPr>
          <w:rFonts w:hint="eastAsia" w:ascii="仿宋_GB2312" w:hAnsi="仿宋_GB2312" w:eastAsia="仿宋_GB2312" w:cs="仿宋_GB2312"/>
          <w:color w:val="000000"/>
          <w:kern w:val="0"/>
          <w:sz w:val="32"/>
          <w:szCs w:val="32"/>
          <w:highlight w:val="none"/>
          <w:lang w:val="en-US" w:eastAsia="zh-CN" w:bidi="ar"/>
        </w:rPr>
        <w:t>50</w:t>
      </w:r>
      <w:r>
        <w:rPr>
          <w:rFonts w:ascii="仿宋_GB2312" w:hAnsi="仿宋_GB2312" w:eastAsia="仿宋_GB2312" w:cs="仿宋_GB2312"/>
          <w:color w:val="000000"/>
          <w:kern w:val="0"/>
          <w:sz w:val="32"/>
          <w:szCs w:val="32"/>
          <w:highlight w:val="none"/>
          <w:lang w:bidi="ar"/>
        </w:rPr>
        <w:t>万元</w:t>
      </w:r>
      <w:r>
        <w:rPr>
          <w:rFonts w:hint="eastAsia" w:ascii="仿宋_GB2312" w:hAnsi="仿宋_GB2312" w:eastAsia="仿宋_GB2312" w:cs="仿宋_GB2312"/>
          <w:color w:val="000000"/>
          <w:kern w:val="0"/>
          <w:sz w:val="32"/>
          <w:szCs w:val="32"/>
          <w:highlight w:val="none"/>
          <w:lang w:eastAsia="zh-CN" w:bidi="ar"/>
        </w:rPr>
        <w:t>、政府采购服务支出</w:t>
      </w:r>
      <w:r>
        <w:rPr>
          <w:rFonts w:hint="eastAsia" w:ascii="仿宋_GB2312" w:hAnsi="仿宋_GB2312" w:eastAsia="仿宋_GB2312" w:cs="仿宋_GB2312"/>
          <w:color w:val="000000"/>
          <w:kern w:val="0"/>
          <w:sz w:val="32"/>
          <w:szCs w:val="32"/>
          <w:highlight w:val="none"/>
          <w:lang w:val="en-US" w:eastAsia="zh-CN" w:bidi="ar"/>
        </w:rPr>
        <w:t>0万元</w:t>
      </w:r>
      <w:r>
        <w:rPr>
          <w:rFonts w:ascii="仿宋_GB2312" w:hAnsi="仿宋_GB2312" w:eastAsia="仿宋_GB2312" w:cs="仿宋_GB2312"/>
          <w:color w:val="000000"/>
          <w:kern w:val="0"/>
          <w:sz w:val="32"/>
          <w:szCs w:val="32"/>
          <w:highlight w:val="none"/>
          <w:lang w:bidi="ar"/>
        </w:rPr>
        <w:t>。</w:t>
      </w:r>
      <w:r>
        <w:rPr>
          <w:rFonts w:hint="eastAsia" w:ascii="仿宋_GB2312" w:hAnsi="仿宋_GB2312" w:eastAsia="仿宋_GB2312" w:cs="仿宋_GB2312"/>
          <w:color w:val="000000"/>
          <w:kern w:val="0"/>
          <w:sz w:val="32"/>
          <w:szCs w:val="32"/>
          <w:highlight w:val="none"/>
          <w:lang w:eastAsia="zh-CN" w:bidi="ar"/>
        </w:rPr>
        <w:t>授予中小企业合同金额</w:t>
      </w:r>
      <w:r>
        <w:rPr>
          <w:rFonts w:hint="eastAsia" w:ascii="仿宋_GB2312" w:hAnsi="仿宋_GB2312" w:eastAsia="仿宋_GB2312" w:cs="仿宋_GB2312"/>
          <w:color w:val="000000"/>
          <w:kern w:val="0"/>
          <w:sz w:val="32"/>
          <w:szCs w:val="32"/>
          <w:highlight w:val="none"/>
          <w:lang w:val="en-US" w:eastAsia="zh-CN" w:bidi="ar"/>
        </w:rPr>
        <w:t xml:space="preserve">0万元，占政府采购支出总额的0%，其中授予小微企业合同金额50万元，占政府采购支出总额的100%。 </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after="0" w:line="580" w:lineRule="exact"/>
        <w:ind w:firstLine="640" w:firstLineChars="200"/>
        <w:rPr>
          <w:rFonts w:hint="eastAsia" w:ascii="楷体_GB2312" w:hAnsi="Times New Roman" w:eastAsia="仿宋_GB2312" w:cs="DengXian-Bold"/>
          <w:b/>
          <w:bCs/>
          <w:sz w:val="32"/>
          <w:szCs w:val="32"/>
          <w:lang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本部门为</w:t>
      </w:r>
      <w:r>
        <w:rPr>
          <w:rFonts w:hint="eastAsia" w:ascii="仿宋_GB2312" w:hAnsi="Times New Roman" w:eastAsia="仿宋_GB2312" w:cs="DengXian-Regular"/>
          <w:sz w:val="32"/>
          <w:szCs w:val="32"/>
          <w:lang w:val="en-US" w:eastAsia="zh-CN"/>
        </w:rPr>
        <w:t>2019年机构改革新成立单位，2018年无相关数据</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执法执勤用车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本部门2019年度国有资本经营预算财政拨款支出无收支及结转结余情况，故国有资本经营预算财政拨款支出表以空表列示。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Borders>
            <w:top w:val="none" w:sz="0" w:space="0"/>
            <w:left w:val="none" w:sz="0" w:space="0"/>
            <w:bottom w:val="none" w:sz="0" w:space="0"/>
            <w:right w:val="none" w:sz="0" w:space="0"/>
          </w:pgBorders>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360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3600;v-text-anchor:middle;mso-width-relative:page;mso-height-relative:page;" fillcolor="#FFD966" filled="t" stroked="t" coordsize="21600,21600"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v:fill type="pattern" on="t" color2="#FFFFFF [3212]" focussize="0,0" r:id="rId27"/>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
      <w:pPr>
        <w:tabs>
          <w:tab w:val="left" w:pos="235"/>
        </w:tabs>
        <w:jc w:val="left"/>
        <w:sectPr>
          <w:headerReference r:id="rId22"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4624;v-text-anchor:middle;mso-width-relative:page;mso-height-relative:page;" fillcolor="#FFD966" filled="t" stroked="t" coordsize="21600,21600"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8"/>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526"/>
        <w:gridCol w:w="896"/>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2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部门：石家庄市鹿泉区医疗保障局</w:t>
            </w:r>
          </w:p>
        </w:tc>
        <w:tc>
          <w:tcPr>
            <w:tcW w:w="52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5568.05</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32.19</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wordWrap w:val="0"/>
              <w:jc w:val="right"/>
              <w:textAlignment w:val="center"/>
              <w:rPr>
                <w:rFonts w:hint="default" w:ascii="宋体" w:hAnsi="宋体" w:eastAsia="宋体" w:cs="宋体"/>
                <w:color w:val="000000"/>
                <w:sz w:val="22"/>
                <w:lang w:val="en-US"/>
              </w:rPr>
            </w:pPr>
            <w:r>
              <w:rPr>
                <w:rFonts w:hint="eastAsia" w:ascii="宋体" w:hAnsi="宋体" w:eastAsia="宋体" w:cs="宋体"/>
                <w:i w:val="0"/>
                <w:color w:val="000000"/>
                <w:kern w:val="0"/>
                <w:sz w:val="22"/>
                <w:szCs w:val="22"/>
                <w:u w:val="none"/>
                <w:lang w:val="en-US" w:eastAsia="zh-CN" w:bidi="ar"/>
              </w:rPr>
              <w:t>486.51</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2"/>
                <w:lang w:val="en-US"/>
              </w:rPr>
            </w:pPr>
            <w:r>
              <w:rPr>
                <w:rFonts w:hint="eastAsia" w:ascii="宋体" w:hAnsi="宋体" w:eastAsia="宋体" w:cs="宋体"/>
                <w:i w:val="0"/>
                <w:color w:val="000000"/>
                <w:kern w:val="0"/>
                <w:sz w:val="22"/>
                <w:szCs w:val="22"/>
                <w:u w:val="none"/>
                <w:lang w:val="en-US" w:eastAsia="zh-CN" w:bidi="ar"/>
              </w:rPr>
              <w:t>5071.41</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23.48</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2"/>
                <w:lang w:val="en-US"/>
              </w:rPr>
            </w:pPr>
            <w:r>
              <w:rPr>
                <w:rFonts w:hint="eastAsia" w:ascii="宋体" w:hAnsi="宋体" w:eastAsia="宋体" w:cs="宋体"/>
                <w:i w:val="0"/>
                <w:color w:val="000000"/>
                <w:kern w:val="0"/>
                <w:sz w:val="22"/>
                <w:szCs w:val="22"/>
                <w:u w:val="none"/>
                <w:lang w:val="en-US" w:eastAsia="zh-CN" w:bidi="ar"/>
              </w:rPr>
              <w:t>5605.25</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5586.40</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2"/>
                <w:lang w:val="en-US"/>
              </w:rPr>
            </w:pPr>
            <w:r>
              <w:rPr>
                <w:rFonts w:hint="eastAsia" w:ascii="宋体" w:hAnsi="宋体" w:eastAsia="宋体" w:cs="宋体"/>
                <w:i w:val="0"/>
                <w:color w:val="000000"/>
                <w:kern w:val="0"/>
                <w:sz w:val="22"/>
                <w:szCs w:val="22"/>
                <w:u w:val="none"/>
                <w:lang w:val="en-US" w:eastAsia="zh-CN" w:bidi="ar"/>
              </w:rPr>
              <w:t>34.40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5324.84</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5639.65</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5639.65</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8"/>
        <w:tblW w:w="11147" w:type="dxa"/>
        <w:jc w:val="center"/>
        <w:tblInd w:w="0" w:type="dxa"/>
        <w:tblLayout w:type="fixed"/>
        <w:tblCellMar>
          <w:top w:w="0" w:type="dxa"/>
          <w:left w:w="0" w:type="dxa"/>
          <w:bottom w:w="0" w:type="dxa"/>
          <w:right w:w="0" w:type="dxa"/>
        </w:tblCellMar>
      </w:tblPr>
      <w:tblGrid>
        <w:gridCol w:w="3030"/>
        <w:gridCol w:w="36"/>
        <w:gridCol w:w="36"/>
        <w:gridCol w:w="2982"/>
        <w:gridCol w:w="815"/>
        <w:gridCol w:w="815"/>
        <w:gridCol w:w="686"/>
        <w:gridCol w:w="686"/>
        <w:gridCol w:w="686"/>
        <w:gridCol w:w="686"/>
        <w:gridCol w:w="689"/>
      </w:tblGrid>
      <w:tr>
        <w:tblPrEx>
          <w:tblLayout w:type="fixed"/>
          <w:tblCellMar>
            <w:top w:w="0" w:type="dxa"/>
            <w:left w:w="0" w:type="dxa"/>
            <w:bottom w:w="0" w:type="dxa"/>
            <w:right w:w="0" w:type="dxa"/>
          </w:tblCellMar>
        </w:tblPrEx>
        <w:trPr>
          <w:trHeight w:val="670" w:hRule="atLeast"/>
          <w:jc w:val="center"/>
        </w:trPr>
        <w:tc>
          <w:tcPr>
            <w:tcW w:w="11147"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30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75"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303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部门：石家庄市鹿泉区医疗保障局</w:t>
            </w:r>
          </w:p>
        </w:tc>
        <w:tc>
          <w:tcPr>
            <w:tcW w:w="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6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608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8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8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68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68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68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68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68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trHeight w:val="380" w:hRule="atLeast"/>
          <w:jc w:val="center"/>
        </w:trPr>
        <w:tc>
          <w:tcPr>
            <w:tcW w:w="31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98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8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31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8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31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8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608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608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color w:val="000000"/>
                <w:sz w:val="22"/>
                <w:szCs w:val="22"/>
              </w:rPr>
            </w:pPr>
            <w:r>
              <w:rPr>
                <w:rFonts w:hint="eastAsia" w:ascii="宋体" w:hAnsi="宋体" w:eastAsia="宋体" w:cs="宋体"/>
                <w:i w:val="0"/>
                <w:color w:val="000000"/>
                <w:kern w:val="0"/>
                <w:sz w:val="22"/>
                <w:szCs w:val="22"/>
                <w:u w:val="none"/>
                <w:lang w:val="en-US" w:eastAsia="zh-CN" w:bidi="ar"/>
              </w:rPr>
              <w:t>5605.25</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b/>
                <w:color w:val="000000"/>
                <w:sz w:val="22"/>
                <w:szCs w:val="22"/>
              </w:rPr>
            </w:pPr>
            <w:r>
              <w:rPr>
                <w:rFonts w:hint="eastAsia" w:ascii="宋体" w:hAnsi="宋体" w:eastAsia="宋体" w:cs="宋体"/>
                <w:i w:val="0"/>
                <w:color w:val="000000"/>
                <w:kern w:val="0"/>
                <w:sz w:val="22"/>
                <w:szCs w:val="22"/>
                <w:u w:val="none"/>
                <w:lang w:val="en-US" w:eastAsia="zh-CN" w:bidi="ar"/>
              </w:rPr>
              <w:t>5573.05</w:t>
            </w: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hint="default" w:ascii="宋体" w:hAnsi="宋体" w:eastAsia="宋体" w:cs="宋体"/>
                <w:b w:val="0"/>
                <w:bCs/>
                <w:color w:val="000000"/>
                <w:sz w:val="22"/>
                <w:lang w:val="en-US" w:eastAsia="zh-CN"/>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b/>
                <w:color w:val="000000"/>
                <w:sz w:val="22"/>
                <w:lang w:val="en-US" w:eastAsia="zh-CN"/>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b/>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b/>
                <w:color w:val="000000"/>
                <w:sz w:val="22"/>
              </w:rPr>
            </w:pPr>
          </w:p>
        </w:tc>
        <w:tc>
          <w:tcPr>
            <w:tcW w:w="689"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b/>
                <w:color w:val="000000"/>
                <w:sz w:val="22"/>
              </w:rPr>
            </w:pPr>
            <w:r>
              <w:rPr>
                <w:rFonts w:hint="default" w:ascii="Arial" w:hAnsi="Arial" w:eastAsia="宋体" w:cs="Arial"/>
                <w:i w:val="0"/>
                <w:color w:val="000000"/>
                <w:kern w:val="0"/>
                <w:sz w:val="20"/>
                <w:szCs w:val="20"/>
                <w:u w:val="none"/>
                <w:lang w:val="en-US" w:eastAsia="zh-CN" w:bidi="ar"/>
              </w:rPr>
              <w:t>32.19</w:t>
            </w:r>
          </w:p>
        </w:tc>
      </w:tr>
      <w:tr>
        <w:tblPrEx>
          <w:tblLayout w:type="fixed"/>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2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lang w:val="en-US"/>
              </w:rPr>
            </w:pPr>
            <w:r>
              <w:rPr>
                <w:rFonts w:hint="eastAsia" w:ascii="宋体" w:hAnsi="宋体" w:eastAsia="宋体" w:cs="宋体"/>
                <w:i w:val="0"/>
                <w:color w:val="000000"/>
                <w:kern w:val="0"/>
                <w:sz w:val="22"/>
                <w:szCs w:val="22"/>
                <w:u w:val="none"/>
                <w:lang w:val="en-US" w:eastAsia="zh-CN" w:bidi="ar"/>
              </w:rPr>
              <w:t>495.12</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495.12</w:t>
            </w: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20801</w:t>
            </w:r>
          </w:p>
        </w:tc>
        <w:tc>
          <w:tcPr>
            <w:tcW w:w="2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人力资源和社会保障管理事务</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lang w:val="en-US"/>
              </w:rPr>
            </w:pPr>
            <w:r>
              <w:rPr>
                <w:rFonts w:hint="eastAsia" w:ascii="宋体" w:hAnsi="宋体" w:eastAsia="宋体" w:cs="宋体"/>
                <w:i w:val="0"/>
                <w:color w:val="000000"/>
                <w:kern w:val="0"/>
                <w:sz w:val="22"/>
                <w:szCs w:val="22"/>
                <w:u w:val="none"/>
                <w:lang w:val="en-US" w:eastAsia="zh-CN" w:bidi="ar"/>
              </w:rPr>
              <w:t>4339.78</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433.98</w:t>
            </w: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2080102</w:t>
            </w:r>
          </w:p>
        </w:tc>
        <w:tc>
          <w:tcPr>
            <w:tcW w:w="2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66</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66</w:t>
            </w: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2080109</w:t>
            </w:r>
          </w:p>
        </w:tc>
        <w:tc>
          <w:tcPr>
            <w:tcW w:w="2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社会保险经办机构</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367.98</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367.98</w:t>
            </w: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2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45.87</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45.87</w:t>
            </w: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9"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45.87</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45.87</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7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20809</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退役安置</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7.28</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7.28</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37"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2080901</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退役士兵安置</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7.28</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7.28</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3"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20899</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其他社会保障和就业支出</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color w:val="000000"/>
                <w:sz w:val="22"/>
                <w:szCs w:val="22"/>
                <w:lang w:val="en-US"/>
              </w:rPr>
            </w:pPr>
            <w:r>
              <w:rPr>
                <w:rFonts w:hint="eastAsia" w:ascii="宋体" w:hAnsi="宋体" w:eastAsia="宋体" w:cs="宋体"/>
                <w:i w:val="0"/>
                <w:color w:val="000000"/>
                <w:kern w:val="0"/>
                <w:sz w:val="22"/>
                <w:szCs w:val="22"/>
                <w:u w:val="none"/>
                <w:lang w:val="en-US" w:eastAsia="zh-CN" w:bidi="ar"/>
              </w:rPr>
              <w:t>8.00</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default" w:ascii="宋体" w:hAnsi="宋体" w:eastAsia="宋体" w:cs="宋体"/>
                <w:color w:val="000000"/>
                <w:sz w:val="22"/>
                <w:szCs w:val="22"/>
                <w:lang w:val="en-US"/>
              </w:rPr>
            </w:pPr>
            <w:r>
              <w:rPr>
                <w:rFonts w:hint="eastAsia" w:ascii="宋体" w:hAnsi="宋体" w:eastAsia="宋体" w:cs="宋体"/>
                <w:i w:val="0"/>
                <w:color w:val="000000"/>
                <w:kern w:val="0"/>
                <w:sz w:val="22"/>
                <w:szCs w:val="22"/>
                <w:u w:val="none"/>
                <w:lang w:val="en-US" w:eastAsia="zh-CN" w:bidi="ar"/>
              </w:rPr>
              <w:t>8.00</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3"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2089901</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color w:val="000000"/>
                <w:sz w:val="22"/>
                <w:szCs w:val="22"/>
                <w:lang w:val="en-US"/>
              </w:rPr>
            </w:pPr>
            <w:r>
              <w:rPr>
                <w:rFonts w:hint="eastAsia" w:ascii="宋体" w:hAnsi="宋体" w:eastAsia="宋体" w:cs="宋体"/>
                <w:i w:val="0"/>
                <w:color w:val="000000"/>
                <w:kern w:val="0"/>
                <w:sz w:val="22"/>
                <w:szCs w:val="22"/>
                <w:u w:val="none"/>
                <w:lang w:val="en-US" w:eastAsia="zh-CN" w:bidi="ar"/>
              </w:rPr>
              <w:t>8.00</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default" w:ascii="宋体" w:hAnsi="宋体" w:eastAsia="宋体" w:cs="宋体"/>
                <w:color w:val="000000"/>
                <w:sz w:val="22"/>
                <w:szCs w:val="22"/>
                <w:lang w:val="en-US"/>
              </w:rPr>
            </w:pPr>
            <w:r>
              <w:rPr>
                <w:rFonts w:hint="eastAsia" w:ascii="宋体" w:hAnsi="宋体" w:eastAsia="宋体" w:cs="宋体"/>
                <w:i w:val="0"/>
                <w:color w:val="000000"/>
                <w:kern w:val="0"/>
                <w:sz w:val="22"/>
                <w:szCs w:val="22"/>
                <w:u w:val="none"/>
                <w:lang w:val="en-US" w:eastAsia="zh-CN" w:bidi="ar"/>
              </w:rPr>
              <w:t>8.00</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卫生健康支出</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5081.64</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lang w:val="en-US"/>
              </w:rPr>
            </w:pPr>
            <w:r>
              <w:rPr>
                <w:rFonts w:hint="eastAsia" w:ascii="宋体" w:hAnsi="宋体" w:eastAsia="宋体" w:cs="宋体"/>
                <w:i w:val="0"/>
                <w:color w:val="000000"/>
                <w:kern w:val="0"/>
                <w:sz w:val="22"/>
                <w:szCs w:val="22"/>
                <w:u w:val="none"/>
                <w:lang w:val="en-US" w:eastAsia="zh-CN" w:bidi="ar"/>
              </w:rPr>
              <w:t>5049.45</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32.19</w:t>
            </w: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21011</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行政事业单位医疗</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lang w:val="en-US"/>
              </w:rPr>
            </w:pPr>
            <w:r>
              <w:rPr>
                <w:rFonts w:hint="eastAsia" w:ascii="宋体" w:hAnsi="宋体" w:eastAsia="宋体" w:cs="宋体"/>
                <w:i w:val="0"/>
                <w:color w:val="000000"/>
                <w:kern w:val="0"/>
                <w:sz w:val="22"/>
                <w:szCs w:val="22"/>
                <w:u w:val="none"/>
                <w:lang w:val="en-US" w:eastAsia="zh-CN" w:bidi="ar"/>
              </w:rPr>
              <w:t>28.7</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28.7</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2101101</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行政单位医疗</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4.48</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4.47</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2101102</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事业单位医疗</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24.22</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24.23</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21012</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财政对基本医疗保险基金的补助</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4025.07</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4025.07</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2101202</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财政对城乡居民基本医疗保险基金的补助</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3790.69</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3790.69</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2101299</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财政对其他基本医疗保险基金的补助</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234.38</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234.38</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21013</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医疗救助</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208.00</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2101301</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城乡医疗救助</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208.00</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21014</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优抚对象医疗</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679.00</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679</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2101401</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优抚对象医疗补助</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679.00</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679</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21015</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医疗保障管理事务</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140.87</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108.68</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32.19</w:t>
            </w: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2101501</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行政运行</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48.68</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48.68</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2101502</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92.19</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60</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32.19</w:t>
            </w: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住房保障支出</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23.48</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23.48</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22102</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住房改革支出</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23.48</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23.48</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2210201</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住房公积金</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23.48</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23.48</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229</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其他支出</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5</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5</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22960</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彩票公益金安排的支出</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5</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5</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534" w:hRule="atLeast"/>
          <w:jc w:val="center"/>
        </w:trPr>
        <w:tc>
          <w:tcPr>
            <w:tcW w:w="31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2296013</w:t>
            </w:r>
          </w:p>
        </w:tc>
        <w:tc>
          <w:tcPr>
            <w:tcW w:w="29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用于城乡医疗救助的彩票公益金支出</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5</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5</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bl>
    <w:p>
      <w:pPr>
        <w:jc w:val="left"/>
      </w:pPr>
    </w:p>
    <w:p>
      <w:r>
        <w:br w:type="page"/>
      </w:r>
    </w:p>
    <w:tbl>
      <w:tblPr>
        <w:tblStyle w:val="8"/>
        <w:tblW w:w="9680" w:type="dxa"/>
        <w:jc w:val="center"/>
        <w:tblInd w:w="0" w:type="dxa"/>
        <w:tblLayout w:type="fixed"/>
        <w:tblCellMar>
          <w:top w:w="0" w:type="dxa"/>
          <w:left w:w="0" w:type="dxa"/>
          <w:bottom w:w="0" w:type="dxa"/>
          <w:right w:w="0" w:type="dxa"/>
        </w:tblCellMar>
      </w:tblPr>
      <w:tblGrid>
        <w:gridCol w:w="941"/>
        <w:gridCol w:w="53"/>
        <w:gridCol w:w="111"/>
        <w:gridCol w:w="1613"/>
        <w:gridCol w:w="907"/>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1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3625"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部门：石家庄市鹿泉区医疗保障局</w:t>
            </w: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71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0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71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271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b/>
                <w:color w:val="000000"/>
                <w:sz w:val="22"/>
              </w:rPr>
            </w:pPr>
            <w:r>
              <w:rPr>
                <w:rFonts w:hint="default" w:ascii="Arial" w:hAnsi="Arial" w:eastAsia="宋体" w:cs="Arial"/>
                <w:i w:val="0"/>
                <w:color w:val="000000"/>
                <w:kern w:val="0"/>
                <w:sz w:val="20"/>
                <w:szCs w:val="20"/>
                <w:u w:val="none"/>
                <w:lang w:val="en-US" w:eastAsia="zh-CN" w:bidi="ar"/>
              </w:rPr>
              <w:t>5586.4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b/>
                <w:color w:val="000000"/>
                <w:sz w:val="22"/>
              </w:rPr>
            </w:pPr>
            <w:r>
              <w:rPr>
                <w:rFonts w:hint="default" w:ascii="Arial" w:hAnsi="Arial" w:eastAsia="宋体" w:cs="Arial"/>
                <w:i w:val="0"/>
                <w:color w:val="000000"/>
                <w:kern w:val="0"/>
                <w:sz w:val="20"/>
                <w:szCs w:val="20"/>
                <w:u w:val="none"/>
                <w:lang w:val="en-US" w:eastAsia="zh-CN" w:bidi="ar"/>
              </w:rPr>
              <w:t>661.33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b/>
                <w:color w:val="000000"/>
                <w:sz w:val="22"/>
              </w:rPr>
            </w:pPr>
            <w:r>
              <w:rPr>
                <w:rFonts w:hint="default" w:ascii="Arial" w:hAnsi="Arial" w:eastAsia="宋体" w:cs="Arial"/>
                <w:i w:val="0"/>
                <w:color w:val="000000"/>
                <w:kern w:val="0"/>
                <w:sz w:val="20"/>
                <w:szCs w:val="20"/>
                <w:u w:val="none"/>
                <w:lang w:val="en-US" w:eastAsia="zh-CN" w:bidi="ar"/>
              </w:rPr>
              <w:t>4925.07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1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486.51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478.51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8</w:t>
            </w:r>
            <w:r>
              <w:rPr>
                <w:rFonts w:hint="eastAsia" w:ascii="Arial" w:hAnsi="Arial" w:eastAsia="宋体" w:cs="Arial"/>
                <w:i w:val="0"/>
                <w:color w:val="000000"/>
                <w:kern w:val="0"/>
                <w:sz w:val="20"/>
                <w:szCs w:val="20"/>
                <w:u w:val="none"/>
                <w:lang w:val="en-US" w:eastAsia="zh-CN" w:bidi="ar"/>
              </w:rPr>
              <w:t>.00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20801</w:t>
            </w:r>
          </w:p>
        </w:tc>
        <w:tc>
          <w:tcPr>
            <w:tcW w:w="1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人力资源和社会保障管理事务</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427.64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427.64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2080102</w:t>
            </w:r>
          </w:p>
        </w:tc>
        <w:tc>
          <w:tcPr>
            <w:tcW w:w="1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66</w:t>
            </w:r>
            <w:r>
              <w:rPr>
                <w:rFonts w:hint="eastAsia" w:ascii="Arial" w:hAnsi="Arial" w:eastAsia="宋体" w:cs="Arial"/>
                <w:i w:val="0"/>
                <w:color w:val="000000"/>
                <w:kern w:val="0"/>
                <w:sz w:val="20"/>
                <w:szCs w:val="20"/>
                <w:u w:val="none"/>
                <w:lang w:val="en-US" w:eastAsia="zh-CN" w:bidi="ar"/>
              </w:rPr>
              <w:t>.00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66</w:t>
            </w:r>
            <w:r>
              <w:rPr>
                <w:rFonts w:hint="eastAsia" w:ascii="Arial" w:hAnsi="Arial" w:eastAsia="宋体" w:cs="Arial"/>
                <w:i w:val="0"/>
                <w:color w:val="000000"/>
                <w:kern w:val="0"/>
                <w:sz w:val="20"/>
                <w:szCs w:val="20"/>
                <w:u w:val="none"/>
                <w:lang w:val="en-US" w:eastAsia="zh-CN" w:bidi="ar"/>
              </w:rPr>
              <w:t>.00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2080109</w:t>
            </w:r>
          </w:p>
        </w:tc>
        <w:tc>
          <w:tcPr>
            <w:tcW w:w="1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社会保险经办机构</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361.64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361.64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1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43.59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43.59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43.59</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43.59</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退役安置</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7.28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7.28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2080901</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7.28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7.28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20899</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其他社会保障和就业支出</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8</w:t>
            </w:r>
            <w:r>
              <w:rPr>
                <w:rFonts w:hint="eastAsia" w:ascii="Arial" w:hAnsi="Arial" w:eastAsia="宋体" w:cs="Arial"/>
                <w:i w:val="0"/>
                <w:color w:val="000000"/>
                <w:kern w:val="0"/>
                <w:sz w:val="20"/>
                <w:szCs w:val="20"/>
                <w:u w:val="none"/>
                <w:lang w:val="en-US" w:eastAsia="zh-CN" w:bidi="ar"/>
              </w:rPr>
              <w:t>.00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0</w:t>
            </w:r>
            <w:r>
              <w:rPr>
                <w:rFonts w:hint="eastAsia" w:ascii="Arial" w:hAnsi="Arial" w:eastAsia="宋体" w:cs="Arial"/>
                <w:i w:val="0"/>
                <w:color w:val="000000"/>
                <w:kern w:val="0"/>
                <w:sz w:val="20"/>
                <w:szCs w:val="20"/>
                <w:u w:val="none"/>
                <w:lang w:val="en-US" w:eastAsia="zh-CN" w:bidi="ar"/>
              </w:rPr>
              <w:t>.00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8</w:t>
            </w:r>
            <w:r>
              <w:rPr>
                <w:rFonts w:hint="eastAsia" w:ascii="Arial" w:hAnsi="Arial" w:eastAsia="宋体" w:cs="Arial"/>
                <w:i w:val="0"/>
                <w:color w:val="000000"/>
                <w:kern w:val="0"/>
                <w:sz w:val="20"/>
                <w:szCs w:val="20"/>
                <w:u w:val="none"/>
                <w:lang w:val="en-US" w:eastAsia="zh-CN" w:bidi="ar"/>
              </w:rPr>
              <w:t>.00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2089901</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8</w:t>
            </w:r>
            <w:r>
              <w:rPr>
                <w:rFonts w:hint="eastAsia" w:ascii="Arial" w:hAnsi="Arial" w:eastAsia="宋体" w:cs="Arial"/>
                <w:i w:val="0"/>
                <w:color w:val="000000"/>
                <w:kern w:val="0"/>
                <w:sz w:val="20"/>
                <w:szCs w:val="20"/>
                <w:u w:val="none"/>
                <w:lang w:val="en-US" w:eastAsia="zh-CN" w:bidi="ar"/>
              </w:rPr>
              <w:t>.00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0</w:t>
            </w:r>
            <w:r>
              <w:rPr>
                <w:rFonts w:hint="eastAsia" w:ascii="Arial" w:hAnsi="Arial" w:eastAsia="宋体" w:cs="Arial"/>
                <w:i w:val="0"/>
                <w:color w:val="000000"/>
                <w:kern w:val="0"/>
                <w:sz w:val="20"/>
                <w:szCs w:val="20"/>
                <w:u w:val="none"/>
                <w:lang w:val="en-US" w:eastAsia="zh-CN" w:bidi="ar"/>
              </w:rPr>
              <w:t>.00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8</w:t>
            </w:r>
            <w:r>
              <w:rPr>
                <w:rFonts w:hint="eastAsia" w:ascii="Arial" w:hAnsi="Arial" w:eastAsia="宋体" w:cs="Arial"/>
                <w:i w:val="0"/>
                <w:color w:val="000000"/>
                <w:kern w:val="0"/>
                <w:sz w:val="20"/>
                <w:szCs w:val="20"/>
                <w:u w:val="none"/>
                <w:lang w:val="en-US" w:eastAsia="zh-CN" w:bidi="ar"/>
              </w:rPr>
              <w:t>.00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5071.41</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159.34</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4912.07</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25.63</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25.63</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4.47</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4.47</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2101102</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事业单位医疗</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21.15</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21.15</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21012</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财政对基本医疗保险基金的补助</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4025.07</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4025.07</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2101202</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财政对城乡居民基本医疗保险基金的补助</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3790.69</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3790.69</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2101299</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财政对其他基本医疗保险基金的补助</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234.38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234.38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21013</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医疗救助</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208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208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2101301</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城乡医疗救助</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208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208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21014</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优抚对象医疗</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679</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679</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2101401</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优抚对象医疗补助</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679</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679</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21015</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医疗保障管理事务</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133.71</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133.71</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2101501</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41.52</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41.52</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2101502</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92.19</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92.19</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住房保障支出</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住房改革支出</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2210201</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229</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其他支出</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5</w:t>
            </w:r>
            <w:r>
              <w:rPr>
                <w:rFonts w:hint="eastAsia" w:ascii="Arial" w:hAnsi="Arial" w:eastAsia="宋体" w:cs="Arial"/>
                <w:i w:val="0"/>
                <w:color w:val="000000"/>
                <w:kern w:val="0"/>
                <w:sz w:val="20"/>
                <w:szCs w:val="20"/>
                <w:u w:val="none"/>
                <w:lang w:val="en-US" w:eastAsia="zh-CN" w:bidi="ar"/>
              </w:rPr>
              <w:t>.00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5</w:t>
            </w:r>
            <w:r>
              <w:rPr>
                <w:rFonts w:hint="eastAsia" w:ascii="Arial" w:hAnsi="Arial" w:eastAsia="宋体" w:cs="Arial"/>
                <w:i w:val="0"/>
                <w:color w:val="000000"/>
                <w:kern w:val="0"/>
                <w:sz w:val="20"/>
                <w:szCs w:val="20"/>
                <w:u w:val="none"/>
                <w:lang w:val="en-US" w:eastAsia="zh-CN" w:bidi="ar"/>
              </w:rPr>
              <w:t>.00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22960</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彩票公益金安排的支出</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5</w:t>
            </w:r>
            <w:r>
              <w:rPr>
                <w:rFonts w:hint="eastAsia" w:ascii="Arial" w:hAnsi="Arial" w:eastAsia="宋体" w:cs="Arial"/>
                <w:i w:val="0"/>
                <w:color w:val="000000"/>
                <w:kern w:val="0"/>
                <w:sz w:val="20"/>
                <w:szCs w:val="20"/>
                <w:u w:val="none"/>
                <w:lang w:val="en-US" w:eastAsia="zh-CN" w:bidi="ar"/>
              </w:rPr>
              <w:t>.00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5</w:t>
            </w:r>
            <w:r>
              <w:rPr>
                <w:rFonts w:hint="eastAsia" w:ascii="Arial" w:hAnsi="Arial" w:eastAsia="宋体" w:cs="Arial"/>
                <w:i w:val="0"/>
                <w:color w:val="000000"/>
                <w:kern w:val="0"/>
                <w:sz w:val="20"/>
                <w:szCs w:val="20"/>
                <w:u w:val="none"/>
                <w:lang w:val="en-US" w:eastAsia="zh-CN" w:bidi="ar"/>
              </w:rPr>
              <w:t>.00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2296013</w:t>
            </w:r>
          </w:p>
        </w:tc>
        <w:tc>
          <w:tcPr>
            <w:tcW w:w="1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用于城乡医疗救助的彩票公益金支出</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5</w:t>
            </w:r>
            <w:r>
              <w:rPr>
                <w:rFonts w:hint="eastAsia" w:ascii="Arial" w:hAnsi="Arial" w:eastAsia="宋体" w:cs="Arial"/>
                <w:i w:val="0"/>
                <w:color w:val="000000"/>
                <w:kern w:val="0"/>
                <w:sz w:val="20"/>
                <w:szCs w:val="20"/>
                <w:u w:val="none"/>
                <w:lang w:val="en-US" w:eastAsia="zh-CN" w:bidi="ar"/>
              </w:rPr>
              <w:t>.00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5</w:t>
            </w:r>
            <w:r>
              <w:rPr>
                <w:rFonts w:hint="eastAsia" w:ascii="Arial" w:hAnsi="Arial" w:eastAsia="宋体" w:cs="Arial"/>
                <w:i w:val="0"/>
                <w:color w:val="000000"/>
                <w:kern w:val="0"/>
                <w:sz w:val="20"/>
                <w:szCs w:val="20"/>
                <w:u w:val="none"/>
                <w:lang w:val="en-US" w:eastAsia="zh-CN" w:bidi="ar"/>
              </w:rPr>
              <w:t>.00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8"/>
        <w:tblW w:w="9520" w:type="dxa"/>
        <w:jc w:val="center"/>
        <w:tblInd w:w="0" w:type="dxa"/>
        <w:tblLayout w:type="fixed"/>
        <w:tblCellMar>
          <w:top w:w="0" w:type="dxa"/>
          <w:left w:w="0" w:type="dxa"/>
          <w:bottom w:w="0" w:type="dxa"/>
          <w:right w:w="0" w:type="dxa"/>
        </w:tblCellMar>
      </w:tblPr>
      <w:tblGrid>
        <w:gridCol w:w="2960"/>
        <w:gridCol w:w="278"/>
        <w:gridCol w:w="900"/>
        <w:gridCol w:w="2817"/>
        <w:gridCol w:w="333"/>
        <w:gridCol w:w="780"/>
        <w:gridCol w:w="870"/>
        <w:gridCol w:w="582"/>
      </w:tblGrid>
      <w:tr>
        <w:tblPrEx>
          <w:tblLayout w:type="fixed"/>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81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32"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部门：石家庄市鹿泉区医疗保障局</w:t>
            </w:r>
          </w:p>
        </w:tc>
        <w:tc>
          <w:tcPr>
            <w:tcW w:w="27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81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32"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4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382"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296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27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8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3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58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296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5568.05</w:t>
            </w: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5</w:t>
            </w:r>
            <w:r>
              <w:rPr>
                <w:rFonts w:hint="eastAsia" w:ascii="Arial" w:hAnsi="Arial" w:eastAsia="宋体" w:cs="Arial"/>
                <w:i w:val="0"/>
                <w:color w:val="000000"/>
                <w:kern w:val="0"/>
                <w:sz w:val="20"/>
                <w:szCs w:val="20"/>
                <w:u w:val="none"/>
                <w:lang w:val="en-US" w:eastAsia="zh-CN" w:bidi="ar"/>
              </w:rPr>
              <w:t>.00</w:t>
            </w: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37"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486.51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486.51</w:t>
            </w: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5039.21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5039.21</w:t>
            </w: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tabs>
                <w:tab w:val="left" w:pos="345"/>
                <w:tab w:val="right" w:pos="672"/>
              </w:tabs>
              <w:jc w:val="left"/>
              <w:textAlignment w:val="bottom"/>
              <w:rPr>
                <w:rFonts w:ascii="宋体" w:hAnsi="宋体" w:eastAsia="宋体" w:cs="宋体"/>
                <w:color w:val="000000"/>
                <w:sz w:val="22"/>
              </w:rPr>
            </w:pPr>
            <w:r>
              <w:rPr>
                <w:rFonts w:hint="eastAsia" w:ascii="Arial" w:hAnsi="Arial" w:eastAsia="宋体" w:cs="Arial"/>
                <w:i w:val="0"/>
                <w:color w:val="000000"/>
                <w:kern w:val="0"/>
                <w:sz w:val="20"/>
                <w:szCs w:val="20"/>
                <w:u w:val="none"/>
                <w:lang w:val="en-US" w:eastAsia="zh-CN" w:bidi="ar"/>
              </w:rPr>
              <w:tab/>
            </w: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18"/>
                <w:szCs w:val="18"/>
                <w:lang w:bidi="ar"/>
              </w:rPr>
              <w:t>十八、自然资源海洋气象等支出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tabs>
                <w:tab w:val="left" w:pos="435"/>
                <w:tab w:val="right" w:pos="672"/>
              </w:tabs>
              <w:jc w:val="left"/>
              <w:textAlignment w:val="bottom"/>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18"/>
                <w:szCs w:val="18"/>
                <w:lang w:bidi="ar"/>
              </w:rPr>
              <w:t>二十一、灾害防治及应急管理支出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5</w:t>
            </w:r>
            <w:r>
              <w:rPr>
                <w:rFonts w:hint="eastAsia" w:ascii="Arial" w:hAnsi="Arial" w:eastAsia="宋体" w:cs="Arial"/>
                <w:i w:val="0"/>
                <w:color w:val="000000"/>
                <w:kern w:val="0"/>
                <w:sz w:val="20"/>
                <w:szCs w:val="20"/>
                <w:u w:val="none"/>
                <w:lang w:val="en-US" w:eastAsia="zh-CN" w:bidi="ar"/>
              </w:rPr>
              <w:t>.00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5</w:t>
            </w:r>
            <w:r>
              <w:rPr>
                <w:rFonts w:hint="eastAsia" w:ascii="Arial" w:hAnsi="Arial" w:eastAsia="宋体" w:cs="Arial"/>
                <w:i w:val="0"/>
                <w:color w:val="000000"/>
                <w:kern w:val="0"/>
                <w:sz w:val="20"/>
                <w:szCs w:val="20"/>
                <w:u w:val="none"/>
                <w:lang w:val="en-US" w:eastAsia="zh-CN" w:bidi="ar"/>
              </w:rPr>
              <w:t>.00</w:t>
            </w: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5573.05</w:t>
            </w: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5554.2</w:t>
            </w:r>
            <w:r>
              <w:rPr>
                <w:rFonts w:hint="eastAsia" w:ascii="Arial" w:hAnsi="Arial" w:eastAsia="宋体" w:cs="Arial"/>
                <w:i w:val="0"/>
                <w:color w:val="000000"/>
                <w:kern w:val="0"/>
                <w:sz w:val="20"/>
                <w:szCs w:val="20"/>
                <w:u w:val="none"/>
                <w:lang w:val="en-US" w:eastAsia="zh-CN" w:bidi="ar"/>
              </w:rPr>
              <w:t>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5549.2</w:t>
            </w:r>
            <w:r>
              <w:rPr>
                <w:rFonts w:hint="eastAsia" w:ascii="Arial" w:hAnsi="Arial" w:eastAsia="宋体" w:cs="Arial"/>
                <w:i w:val="0"/>
                <w:color w:val="000000"/>
                <w:kern w:val="0"/>
                <w:sz w:val="20"/>
                <w:szCs w:val="20"/>
                <w:u w:val="none"/>
                <w:lang w:val="en-US" w:eastAsia="zh-CN" w:bidi="ar"/>
              </w:rPr>
              <w:t>1</w:t>
            </w: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both"/>
              <w:textAlignment w:val="bottom"/>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34.40</w:t>
            </w: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53.2</w:t>
            </w:r>
            <w:r>
              <w:rPr>
                <w:rFonts w:hint="eastAsia" w:ascii="Arial" w:hAnsi="Arial" w:eastAsia="宋体" w:cs="Arial"/>
                <w:i w:val="0"/>
                <w:color w:val="000000"/>
                <w:kern w:val="0"/>
                <w:sz w:val="20"/>
                <w:szCs w:val="20"/>
                <w:u w:val="none"/>
                <w:lang w:val="en-US" w:eastAsia="zh-CN" w:bidi="ar"/>
              </w:rPr>
              <w:t>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53.2</w:t>
            </w:r>
            <w:r>
              <w:rPr>
                <w:rFonts w:hint="eastAsia" w:ascii="Arial" w:hAnsi="Arial" w:eastAsia="宋体" w:cs="Arial"/>
                <w:i w:val="0"/>
                <w:color w:val="000000"/>
                <w:kern w:val="0"/>
                <w:sz w:val="20"/>
                <w:szCs w:val="20"/>
                <w:u w:val="none"/>
                <w:lang w:val="en-US" w:eastAsia="zh-CN" w:bidi="ar"/>
              </w:rPr>
              <w:t>5</w:t>
            </w: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0</w:t>
            </w:r>
            <w:r>
              <w:rPr>
                <w:rFonts w:hint="eastAsia" w:ascii="Arial" w:hAnsi="Arial" w:eastAsia="宋体" w:cs="Arial"/>
                <w:i w:val="0"/>
                <w:color w:val="000000"/>
                <w:kern w:val="0"/>
                <w:sz w:val="20"/>
                <w:szCs w:val="20"/>
                <w:u w:val="none"/>
                <w:lang w:val="en-US" w:eastAsia="zh-CN" w:bidi="ar"/>
              </w:rPr>
              <w:t>.00</w:t>
            </w: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34.40</w:t>
            </w: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宋体" w:hAnsi="宋体" w:eastAsia="宋体" w:cs="宋体"/>
                <w:color w:val="000000"/>
                <w:sz w:val="22"/>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p>
        </w:tc>
      </w:tr>
      <w:tr>
        <w:tblPrEx>
          <w:tblLayout w:type="fixed"/>
          <w:tblCellMar>
            <w:top w:w="0" w:type="dxa"/>
            <w:left w:w="0" w:type="dxa"/>
            <w:bottom w:w="0" w:type="dxa"/>
            <w:right w:w="0" w:type="dxa"/>
          </w:tblCellMar>
        </w:tblPrEx>
        <w:trPr>
          <w:trHeight w:val="90" w:hRule="atLeast"/>
          <w:jc w:val="center"/>
        </w:trPr>
        <w:tc>
          <w:tcPr>
            <w:tcW w:w="2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2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5607.4</w:t>
            </w:r>
            <w:r>
              <w:rPr>
                <w:rFonts w:hint="eastAsia" w:ascii="Arial" w:hAnsi="Arial" w:eastAsia="宋体" w:cs="Arial"/>
                <w:i w:val="0"/>
                <w:color w:val="000000"/>
                <w:kern w:val="0"/>
                <w:sz w:val="20"/>
                <w:szCs w:val="20"/>
                <w:u w:val="none"/>
                <w:lang w:val="en-US" w:eastAsia="zh-CN" w:bidi="ar"/>
              </w:rPr>
              <w:t>6</w:t>
            </w:r>
          </w:p>
        </w:tc>
        <w:tc>
          <w:tcPr>
            <w:tcW w:w="2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3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5607.4</w:t>
            </w:r>
            <w:r>
              <w:rPr>
                <w:rFonts w:hint="eastAsia" w:ascii="Arial" w:hAnsi="Arial" w:eastAsia="宋体" w:cs="Arial"/>
                <w:i w:val="0"/>
                <w:color w:val="000000"/>
                <w:kern w:val="0"/>
                <w:sz w:val="20"/>
                <w:szCs w:val="20"/>
                <w:u w:val="none"/>
                <w:lang w:val="en-US" w:eastAsia="zh-CN" w:bidi="ar"/>
              </w:rPr>
              <w:t>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5602.4</w:t>
            </w:r>
            <w:r>
              <w:rPr>
                <w:rFonts w:hint="eastAsia" w:ascii="Arial" w:hAnsi="Arial" w:eastAsia="宋体" w:cs="Arial"/>
                <w:i w:val="0"/>
                <w:color w:val="000000"/>
                <w:kern w:val="0"/>
                <w:sz w:val="20"/>
                <w:szCs w:val="20"/>
                <w:u w:val="none"/>
                <w:lang w:val="en-US" w:eastAsia="zh-CN" w:bidi="ar"/>
              </w:rPr>
              <w:t>6</w:t>
            </w: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5</w:t>
            </w:r>
            <w:r>
              <w:rPr>
                <w:rFonts w:hint="eastAsia" w:ascii="Arial" w:hAnsi="Arial" w:eastAsia="宋体" w:cs="Arial"/>
                <w:i w:val="0"/>
                <w:color w:val="000000"/>
                <w:kern w:val="0"/>
                <w:sz w:val="20"/>
                <w:szCs w:val="20"/>
                <w:u w:val="none"/>
                <w:lang w:val="en-US" w:eastAsia="zh-CN" w:bidi="ar"/>
              </w:rPr>
              <w:t>.00</w:t>
            </w: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8"/>
        <w:tblW w:w="11316" w:type="dxa"/>
        <w:jc w:val="center"/>
        <w:tblInd w:w="0" w:type="dxa"/>
        <w:tblLayout w:type="fixed"/>
        <w:tblCellMar>
          <w:top w:w="0" w:type="dxa"/>
          <w:left w:w="0" w:type="dxa"/>
          <w:bottom w:w="0" w:type="dxa"/>
          <w:right w:w="0" w:type="dxa"/>
        </w:tblCellMar>
      </w:tblPr>
      <w:tblGrid>
        <w:gridCol w:w="1174"/>
        <w:gridCol w:w="67"/>
        <w:gridCol w:w="67"/>
        <w:gridCol w:w="2783"/>
        <w:gridCol w:w="1282"/>
        <w:gridCol w:w="2873"/>
        <w:gridCol w:w="3070"/>
      </w:tblGrid>
      <w:tr>
        <w:tblPrEx>
          <w:tblLayout w:type="fixed"/>
          <w:tblCellMar>
            <w:top w:w="0" w:type="dxa"/>
            <w:left w:w="0" w:type="dxa"/>
            <w:bottom w:w="0" w:type="dxa"/>
            <w:right w:w="0" w:type="dxa"/>
          </w:tblCellMar>
        </w:tblPrEx>
        <w:trPr>
          <w:trHeight w:val="600" w:hRule="atLeast"/>
          <w:jc w:val="center"/>
        </w:trPr>
        <w:tc>
          <w:tcPr>
            <w:tcW w:w="11316"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94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4091"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部门：石家庄市鹿泉区医疗保障局</w:t>
            </w:r>
          </w:p>
        </w:tc>
        <w:tc>
          <w:tcPr>
            <w:tcW w:w="12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94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409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22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28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87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30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8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0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8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0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091"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2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3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207" w:hRule="atLeast"/>
          <w:jc w:val="center"/>
        </w:trPr>
        <w:tc>
          <w:tcPr>
            <w:tcW w:w="4091"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2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b/>
                <w:color w:val="000000"/>
                <w:sz w:val="22"/>
              </w:rPr>
            </w:pPr>
            <w:r>
              <w:rPr>
                <w:rFonts w:hint="default" w:ascii="Arial" w:hAnsi="Arial" w:eastAsia="宋体" w:cs="Arial"/>
                <w:i w:val="0"/>
                <w:color w:val="000000"/>
                <w:kern w:val="0"/>
                <w:sz w:val="20"/>
                <w:szCs w:val="20"/>
                <w:u w:val="none"/>
                <w:lang w:val="en-US" w:eastAsia="zh-CN" w:bidi="ar"/>
              </w:rPr>
              <w:t>5549.21</w:t>
            </w:r>
          </w:p>
        </w:tc>
        <w:tc>
          <w:tcPr>
            <w:tcW w:w="287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b/>
                <w:color w:val="000000"/>
                <w:sz w:val="22"/>
              </w:rPr>
            </w:pPr>
            <w:r>
              <w:rPr>
                <w:rFonts w:hint="default" w:ascii="Arial" w:hAnsi="Arial" w:eastAsia="宋体" w:cs="Arial"/>
                <w:i w:val="0"/>
                <w:color w:val="000000"/>
                <w:kern w:val="0"/>
                <w:sz w:val="20"/>
                <w:szCs w:val="20"/>
                <w:u w:val="none"/>
                <w:lang w:val="en-US" w:eastAsia="zh-CN" w:bidi="ar"/>
              </w:rPr>
              <w:t>629.14</w:t>
            </w:r>
          </w:p>
        </w:tc>
        <w:tc>
          <w:tcPr>
            <w:tcW w:w="307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b/>
                <w:color w:val="000000"/>
                <w:sz w:val="22"/>
              </w:rPr>
            </w:pPr>
            <w:r>
              <w:rPr>
                <w:rFonts w:hint="default" w:ascii="Arial" w:hAnsi="Arial" w:eastAsia="宋体" w:cs="Arial"/>
                <w:i w:val="0"/>
                <w:color w:val="000000"/>
                <w:kern w:val="0"/>
                <w:sz w:val="20"/>
                <w:szCs w:val="20"/>
                <w:u w:val="none"/>
                <w:lang w:val="en-US" w:eastAsia="zh-CN" w:bidi="ar"/>
              </w:rPr>
              <w:t>4920.07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w:t>
            </w:r>
          </w:p>
        </w:tc>
        <w:tc>
          <w:tcPr>
            <w:tcW w:w="2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社会保障和就业支出</w:t>
            </w:r>
          </w:p>
        </w:tc>
        <w:tc>
          <w:tcPr>
            <w:tcW w:w="12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486.51</w:t>
            </w:r>
          </w:p>
        </w:tc>
        <w:tc>
          <w:tcPr>
            <w:tcW w:w="287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478.51</w:t>
            </w:r>
          </w:p>
        </w:tc>
        <w:tc>
          <w:tcPr>
            <w:tcW w:w="307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8</w:t>
            </w:r>
            <w:r>
              <w:rPr>
                <w:rFonts w:hint="eastAsia" w:ascii="Arial" w:hAnsi="Arial" w:eastAsia="宋体" w:cs="Arial"/>
                <w:i w:val="0"/>
                <w:color w:val="000000"/>
                <w:kern w:val="0"/>
                <w:sz w:val="20"/>
                <w:szCs w:val="20"/>
                <w:u w:val="none"/>
                <w:lang w:val="en-US" w:eastAsia="zh-CN" w:bidi="ar"/>
              </w:rPr>
              <w:t>.00</w:t>
            </w:r>
          </w:p>
        </w:tc>
      </w:tr>
      <w:tr>
        <w:tblPrEx>
          <w:tblLayout w:type="fixed"/>
          <w:tblCellMar>
            <w:top w:w="0" w:type="dxa"/>
            <w:left w:w="0" w:type="dxa"/>
            <w:bottom w:w="0" w:type="dxa"/>
            <w:right w:w="0" w:type="dxa"/>
          </w:tblCellMar>
        </w:tblPrEx>
        <w:trPr>
          <w:trHeight w:val="369"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20801</w:t>
            </w:r>
          </w:p>
        </w:tc>
        <w:tc>
          <w:tcPr>
            <w:tcW w:w="2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人力资源和社会保障管理事务</w:t>
            </w:r>
          </w:p>
        </w:tc>
        <w:tc>
          <w:tcPr>
            <w:tcW w:w="12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427.64</w:t>
            </w:r>
          </w:p>
        </w:tc>
        <w:tc>
          <w:tcPr>
            <w:tcW w:w="287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427.64</w:t>
            </w:r>
          </w:p>
        </w:tc>
        <w:tc>
          <w:tcPr>
            <w:tcW w:w="3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hint="default" w:ascii="宋体" w:hAnsi="宋体" w:eastAsia="宋体" w:cs="宋体"/>
                <w:color w:val="000000"/>
                <w:sz w:val="22"/>
                <w:lang w:val="en-US"/>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2080102</w:t>
            </w:r>
          </w:p>
        </w:tc>
        <w:tc>
          <w:tcPr>
            <w:tcW w:w="2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一般行政管理事务</w:t>
            </w:r>
          </w:p>
        </w:tc>
        <w:tc>
          <w:tcPr>
            <w:tcW w:w="12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66</w:t>
            </w:r>
            <w:r>
              <w:rPr>
                <w:rFonts w:hint="eastAsia" w:ascii="Arial" w:hAnsi="Arial" w:eastAsia="宋体" w:cs="Arial"/>
                <w:i w:val="0"/>
                <w:color w:val="000000"/>
                <w:kern w:val="0"/>
                <w:sz w:val="20"/>
                <w:szCs w:val="20"/>
                <w:u w:val="none"/>
                <w:lang w:val="en-US" w:eastAsia="zh-CN" w:bidi="ar"/>
              </w:rPr>
              <w:t>.00</w:t>
            </w:r>
          </w:p>
        </w:tc>
        <w:tc>
          <w:tcPr>
            <w:tcW w:w="287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66</w:t>
            </w:r>
            <w:r>
              <w:rPr>
                <w:rFonts w:hint="eastAsia" w:ascii="Arial" w:hAnsi="Arial" w:eastAsia="宋体" w:cs="Arial"/>
                <w:i w:val="0"/>
                <w:color w:val="000000"/>
                <w:kern w:val="0"/>
                <w:sz w:val="20"/>
                <w:szCs w:val="20"/>
                <w:u w:val="none"/>
                <w:lang w:val="en-US" w:eastAsia="zh-CN" w:bidi="ar"/>
              </w:rPr>
              <w:t>.00</w:t>
            </w:r>
          </w:p>
        </w:tc>
        <w:tc>
          <w:tcPr>
            <w:tcW w:w="3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2080109</w:t>
            </w:r>
          </w:p>
        </w:tc>
        <w:tc>
          <w:tcPr>
            <w:tcW w:w="2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社会保险经办机构</w:t>
            </w:r>
          </w:p>
        </w:tc>
        <w:tc>
          <w:tcPr>
            <w:tcW w:w="12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361.64</w:t>
            </w:r>
          </w:p>
        </w:tc>
        <w:tc>
          <w:tcPr>
            <w:tcW w:w="287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361.64</w:t>
            </w:r>
          </w:p>
        </w:tc>
        <w:tc>
          <w:tcPr>
            <w:tcW w:w="3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20805</w:t>
            </w:r>
          </w:p>
        </w:tc>
        <w:tc>
          <w:tcPr>
            <w:tcW w:w="2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行政事业单位离退休</w:t>
            </w:r>
          </w:p>
        </w:tc>
        <w:tc>
          <w:tcPr>
            <w:tcW w:w="128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43.59</w:t>
            </w:r>
          </w:p>
        </w:tc>
        <w:tc>
          <w:tcPr>
            <w:tcW w:w="287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43.59</w:t>
            </w:r>
          </w:p>
        </w:tc>
        <w:tc>
          <w:tcPr>
            <w:tcW w:w="3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2080505</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机关事业单位基本养老保险缴费支出</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43.59</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43.59</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20809</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退役安置</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7.28</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7.28</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2080901</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退役士兵安置</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7.28</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7.28</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20899</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其他社会保障和就业支出</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8</w:t>
            </w:r>
            <w:r>
              <w:rPr>
                <w:rFonts w:hint="eastAsia" w:ascii="Arial" w:hAnsi="Arial" w:eastAsia="宋体" w:cs="Arial"/>
                <w:i w:val="0"/>
                <w:color w:val="000000"/>
                <w:kern w:val="0"/>
                <w:sz w:val="20"/>
                <w:szCs w:val="20"/>
                <w:u w:val="none"/>
                <w:lang w:val="en-US" w:eastAsia="zh-CN" w:bidi="ar"/>
              </w:rPr>
              <w:t>.00</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8</w:t>
            </w:r>
            <w:r>
              <w:rPr>
                <w:rFonts w:hint="eastAsia" w:ascii="Arial" w:hAnsi="Arial" w:eastAsia="宋体" w:cs="Arial"/>
                <w:i w:val="0"/>
                <w:color w:val="000000"/>
                <w:kern w:val="0"/>
                <w:sz w:val="20"/>
                <w:szCs w:val="20"/>
                <w:u w:val="none"/>
                <w:lang w:val="en-US" w:eastAsia="zh-CN" w:bidi="ar"/>
              </w:rPr>
              <w:t>.00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2089901</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其他社会保障和就业支出</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8</w:t>
            </w:r>
            <w:r>
              <w:rPr>
                <w:rFonts w:hint="eastAsia" w:ascii="Arial" w:hAnsi="Arial" w:eastAsia="宋体" w:cs="Arial"/>
                <w:i w:val="0"/>
                <w:color w:val="000000"/>
                <w:kern w:val="0"/>
                <w:sz w:val="20"/>
                <w:szCs w:val="20"/>
                <w:u w:val="none"/>
                <w:lang w:val="en-US" w:eastAsia="zh-CN" w:bidi="ar"/>
              </w:rPr>
              <w:t>.00</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8</w:t>
            </w:r>
            <w:r>
              <w:rPr>
                <w:rFonts w:hint="eastAsia" w:ascii="Arial" w:hAnsi="Arial" w:eastAsia="宋体" w:cs="Arial"/>
                <w:i w:val="0"/>
                <w:color w:val="000000"/>
                <w:kern w:val="0"/>
                <w:sz w:val="20"/>
                <w:szCs w:val="20"/>
                <w:u w:val="none"/>
                <w:lang w:val="en-US" w:eastAsia="zh-CN" w:bidi="ar"/>
              </w:rPr>
              <w:t>.00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卫生健康支出</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5039.21</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127.14</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4912.07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21011</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行政事业单位医疗</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25.63</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25.63</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0</w:t>
            </w:r>
            <w:r>
              <w:rPr>
                <w:rFonts w:hint="eastAsia" w:ascii="Arial" w:hAnsi="Arial" w:eastAsia="宋体" w:cs="Arial"/>
                <w:i w:val="0"/>
                <w:color w:val="000000"/>
                <w:kern w:val="0"/>
                <w:sz w:val="20"/>
                <w:szCs w:val="20"/>
                <w:u w:val="none"/>
                <w:lang w:val="en-US" w:eastAsia="zh-CN" w:bidi="ar"/>
              </w:rPr>
              <w:t>.00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2101101</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行政单位医疗</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4.47</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4.47</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0</w:t>
            </w:r>
            <w:r>
              <w:rPr>
                <w:rFonts w:hint="eastAsia" w:ascii="Arial" w:hAnsi="Arial" w:eastAsia="宋体" w:cs="Arial"/>
                <w:i w:val="0"/>
                <w:color w:val="000000"/>
                <w:kern w:val="0"/>
                <w:sz w:val="20"/>
                <w:szCs w:val="20"/>
                <w:u w:val="none"/>
                <w:lang w:val="en-US" w:eastAsia="zh-CN" w:bidi="ar"/>
              </w:rPr>
              <w:t>.00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2101102</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事业单位医疗</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21.15</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21.15</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0</w:t>
            </w:r>
            <w:r>
              <w:rPr>
                <w:rFonts w:hint="eastAsia" w:ascii="Arial" w:hAnsi="Arial" w:eastAsia="宋体" w:cs="Arial"/>
                <w:i w:val="0"/>
                <w:color w:val="000000"/>
                <w:kern w:val="0"/>
                <w:sz w:val="20"/>
                <w:szCs w:val="20"/>
                <w:u w:val="none"/>
                <w:lang w:val="en-US" w:eastAsia="zh-CN" w:bidi="ar"/>
              </w:rPr>
              <w:t>.00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21012</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财政对基本医疗保险基金的补助</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4025.07</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4025.07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2101202</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财政对城乡居民基本医疗保险基金的补助</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3790.69</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3790.69</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2101299</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财政对其他基本医疗保险基金的补助</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234.38</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234.38</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21013</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医疗救助</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208</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208</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2101301</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城乡医疗救助</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208</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208</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21014</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优抚对象医疗</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679</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679</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2101401</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优抚对象医疗补助</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679</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679</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21015</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医疗保障管理事务</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101.52</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101.52</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2101501</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行政运行</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41.52</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41.52</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2101502</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一般行政管理事务</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60</w:t>
            </w:r>
            <w:r>
              <w:rPr>
                <w:rFonts w:hint="eastAsia" w:ascii="Arial" w:hAnsi="Arial" w:eastAsia="宋体" w:cs="Arial"/>
                <w:i w:val="0"/>
                <w:color w:val="000000"/>
                <w:kern w:val="0"/>
                <w:sz w:val="20"/>
                <w:szCs w:val="20"/>
                <w:u w:val="none"/>
                <w:lang w:val="en-US" w:eastAsia="zh-CN" w:bidi="ar"/>
              </w:rPr>
              <w:t>.00</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default" w:ascii="宋体" w:hAnsi="宋体" w:eastAsia="宋体" w:cs="宋体"/>
                <w:color w:val="000000"/>
                <w:sz w:val="22"/>
                <w:lang w:val="en-US"/>
              </w:rPr>
            </w:pPr>
            <w:r>
              <w:rPr>
                <w:rFonts w:hint="default" w:ascii="Arial" w:hAnsi="Arial" w:eastAsia="宋体" w:cs="Arial"/>
                <w:i w:val="0"/>
                <w:color w:val="000000"/>
                <w:kern w:val="0"/>
                <w:sz w:val="20"/>
                <w:szCs w:val="20"/>
                <w:u w:val="none"/>
                <w:lang w:val="en-US" w:eastAsia="zh-CN" w:bidi="ar"/>
              </w:rPr>
              <w:t>60</w:t>
            </w:r>
            <w:r>
              <w:rPr>
                <w:rFonts w:hint="eastAsia" w:ascii="Arial" w:hAnsi="Arial" w:eastAsia="宋体" w:cs="Arial"/>
                <w:i w:val="0"/>
                <w:color w:val="000000"/>
                <w:kern w:val="0"/>
                <w:sz w:val="20"/>
                <w:szCs w:val="20"/>
                <w:u w:val="none"/>
                <w:lang w:val="en-US" w:eastAsia="zh-CN" w:bidi="ar"/>
              </w:rPr>
              <w:t>.00</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221</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住房保障支出</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22102</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住房改革支出</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2210201</w:t>
            </w:r>
          </w:p>
        </w:tc>
        <w:tc>
          <w:tcPr>
            <w:tcW w:w="2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住房公积金</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2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2"/>
              </w:rPr>
            </w:pPr>
            <w:r>
              <w:rPr>
                <w:rFonts w:hint="default" w:ascii="Arial" w:hAnsi="Arial" w:eastAsia="宋体" w:cs="Arial"/>
                <w:i w:val="0"/>
                <w:color w:val="000000"/>
                <w:kern w:val="0"/>
                <w:sz w:val="20"/>
                <w:szCs w:val="20"/>
                <w:u w:val="none"/>
                <w:lang w:val="en-US" w:eastAsia="zh-CN" w:bidi="ar"/>
              </w:rPr>
              <w:t>23.48</w:t>
            </w:r>
          </w:p>
        </w:tc>
        <w:tc>
          <w:tcPr>
            <w:tcW w:w="3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bl>
    <w:p>
      <w:r>
        <w:br w:type="page"/>
      </w:r>
    </w:p>
    <w:tbl>
      <w:tblPr>
        <w:tblStyle w:val="8"/>
        <w:tblW w:w="10000" w:type="dxa"/>
        <w:jc w:val="center"/>
        <w:tblInd w:w="0" w:type="dxa"/>
        <w:tblLayout w:type="fixed"/>
        <w:tblCellMar>
          <w:top w:w="0" w:type="dxa"/>
          <w:left w:w="0" w:type="dxa"/>
          <w:bottom w:w="0" w:type="dxa"/>
          <w:right w:w="0" w:type="dxa"/>
        </w:tblCellMar>
      </w:tblPr>
      <w:tblGrid>
        <w:gridCol w:w="598"/>
        <w:gridCol w:w="2280"/>
        <w:gridCol w:w="765"/>
        <w:gridCol w:w="585"/>
        <w:gridCol w:w="1800"/>
        <w:gridCol w:w="780"/>
        <w:gridCol w:w="569"/>
        <w:gridCol w:w="1876"/>
        <w:gridCol w:w="747"/>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5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8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6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249" w:hRule="atLeast"/>
          <w:jc w:val="center"/>
        </w:trPr>
        <w:tc>
          <w:tcPr>
            <w:tcW w:w="59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04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石家庄市鹿泉区医疗保障局</w:t>
            </w:r>
          </w:p>
        </w:tc>
        <w:tc>
          <w:tcPr>
            <w:tcW w:w="58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6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6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57"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59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22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5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8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5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7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12" w:hRule="atLeast"/>
          <w:jc w:val="center"/>
        </w:trPr>
        <w:tc>
          <w:tcPr>
            <w:tcW w:w="59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401.91</w:t>
            </w: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227.23</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122.04</w:t>
            </w: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22.98</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104.15</w:t>
            </w: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5.40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81.56</w:t>
            </w: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lang w:val="en-US" w:eastAsia="zh-CN"/>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lang w:val="en-US" w:eastAsia="zh-CN"/>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tabs>
                <w:tab w:val="left" w:pos="320"/>
              </w:tabs>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sz w:val="20"/>
                <w:szCs w:val="20"/>
                <w:lang w:eastAsia="zh-CN"/>
              </w:rPr>
              <w:t>43.59</w:t>
            </w: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4.77</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color w:val="000000"/>
                <w:sz w:val="20"/>
                <w:szCs w:val="20"/>
                <w:lang w:val="en-US" w:eastAsia="zh-CN"/>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15.14</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rPr>
              <w:t>25.6</w:t>
            </w:r>
            <w:r>
              <w:rPr>
                <w:rFonts w:hint="eastAsia" w:ascii="宋体" w:hAnsi="宋体" w:eastAsia="宋体" w:cs="宋体"/>
                <w:color w:val="000000"/>
                <w:sz w:val="20"/>
                <w:szCs w:val="20"/>
                <w:lang w:val="en-US" w:eastAsia="zh-CN"/>
              </w:rPr>
              <w:t>3</w:t>
            </w: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eastAsia" w:ascii="宋体" w:hAnsi="宋体" w:eastAsia="宋体" w:cs="宋体"/>
                <w:color w:val="000000"/>
                <w:sz w:val="20"/>
                <w:szCs w:val="20"/>
                <w:lang w:val="en-US" w:eastAsia="zh-CN"/>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1.46</w:t>
            </w: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4.34</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23.48</w:t>
            </w: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因公出国（境）费用</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lang w:val="en-US" w:eastAsia="zh-CN"/>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50.62</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lang w:val="en-US" w:eastAsia="zh-CN"/>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0.35</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lang w:val="en-US" w:eastAsia="zh-CN"/>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lang w:val="en-US" w:eastAsia="zh-CN"/>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111.70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2.13</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2.45</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6"/>
                <w:szCs w:val="16"/>
                <w:lang w:bidi="ar"/>
              </w:rPr>
              <w:t xml:space="preserve"> 公务用车运行维护费</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2.62</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07"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其他对个人和家庭的补助</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0"/>
                <w:szCs w:val="20"/>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3.82</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0"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eastAsia" w:ascii="宋体" w:hAnsi="宋体" w:eastAsia="宋体" w:cs="宋体"/>
                <w:color w:val="000000"/>
                <w:sz w:val="20"/>
                <w:szCs w:val="20"/>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5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eastAsia" w:ascii="宋体" w:hAnsi="宋体" w:eastAsia="宋体" w:cs="宋体"/>
                <w:color w:val="000000"/>
                <w:sz w:val="20"/>
                <w:szCs w:val="20"/>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其</w:t>
            </w:r>
            <w:r>
              <w:rPr>
                <w:rFonts w:hint="eastAsia" w:ascii="宋体" w:hAnsi="宋体" w:eastAsia="宋体" w:cs="宋体"/>
                <w:color w:val="000000"/>
                <w:kern w:val="0"/>
                <w:sz w:val="16"/>
                <w:szCs w:val="16"/>
                <w:lang w:bidi="ar"/>
              </w:rPr>
              <w:t>他商品和服务支出</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0.91</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7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401.91</w:t>
            </w:r>
          </w:p>
        </w:tc>
        <w:tc>
          <w:tcPr>
            <w:tcW w:w="561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227.23</w:t>
            </w:r>
          </w:p>
        </w:tc>
      </w:tr>
    </w:tbl>
    <w:p>
      <w:r>
        <w:br w:type="page"/>
      </w:r>
    </w:p>
    <w:tbl>
      <w:tblPr>
        <w:tblStyle w:val="8"/>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部门：石家庄市鹿泉区医疗保障局</w:t>
            </w: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宋体" w:hAnsi="宋体" w:eastAsia="宋体" w:cs="宋体"/>
                <w:color w:val="000000"/>
                <w:sz w:val="22"/>
                <w:lang w:val="en-US" w:eastAsia="zh-CN"/>
              </w:rPr>
            </w:pP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hint="default"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hint="default"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hint="default"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hint="default" w:ascii="宋体" w:hAnsi="宋体" w:eastAsia="宋体" w:cs="宋体"/>
                <w:color w:val="000000"/>
                <w:sz w:val="22"/>
                <w:lang w:val="en-US"/>
              </w:rPr>
            </w:pP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rPr>
                <w:rFonts w:hint="default"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rPr>
                <w:rFonts w:hint="default" w:ascii="宋体" w:hAnsi="宋体" w:eastAsia="宋体" w:cs="宋体"/>
                <w:color w:val="000000"/>
                <w:sz w:val="22"/>
                <w:lang w:val="en-US" w:eastAsia="zh-CN"/>
              </w:rPr>
            </w:pP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rPr>
                <w:rFonts w:hint="default" w:ascii="宋体" w:hAnsi="宋体" w:eastAsia="宋体" w:cs="宋体"/>
                <w:color w:val="000000"/>
                <w:sz w:val="22"/>
                <w:lang w:val="en-US" w:eastAsia="zh-CN"/>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rPr>
                <w:rFonts w:hint="default" w:ascii="宋体" w:hAnsi="宋体" w:eastAsia="宋体" w:cs="宋体"/>
                <w:color w:val="000000"/>
                <w:sz w:val="22"/>
                <w:lang w:val="en-US" w:eastAsia="zh-CN"/>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rPr>
                <w:rFonts w:hint="default" w:ascii="宋体" w:hAnsi="宋体" w:eastAsia="宋体" w:cs="宋体"/>
                <w:color w:val="000000"/>
                <w:sz w:val="22"/>
                <w:lang w:val="en-US" w:eastAsia="zh-CN"/>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0"/>
                <w:szCs w:val="20"/>
                <w:lang w:val="en-US" w:eastAsia="zh-CN"/>
              </w:rPr>
              <w:t>2.62</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8"/>
        <w:tblW w:w="11553" w:type="dxa"/>
        <w:jc w:val="center"/>
        <w:tblInd w:w="0" w:type="dxa"/>
        <w:tblLayout w:type="fixed"/>
        <w:tblCellMar>
          <w:top w:w="0" w:type="dxa"/>
          <w:left w:w="0" w:type="dxa"/>
          <w:bottom w:w="0" w:type="dxa"/>
          <w:right w:w="0" w:type="dxa"/>
        </w:tblCellMar>
      </w:tblPr>
      <w:tblGrid>
        <w:gridCol w:w="377"/>
        <w:gridCol w:w="377"/>
        <w:gridCol w:w="382"/>
        <w:gridCol w:w="3781"/>
        <w:gridCol w:w="1015"/>
        <w:gridCol w:w="763"/>
        <w:gridCol w:w="1181"/>
        <w:gridCol w:w="1218"/>
        <w:gridCol w:w="1240"/>
        <w:gridCol w:w="1219"/>
      </w:tblGrid>
      <w:tr>
        <w:tblPrEx>
          <w:tblLayout w:type="fixed"/>
          <w:tblCellMar>
            <w:top w:w="0" w:type="dxa"/>
            <w:left w:w="0" w:type="dxa"/>
            <w:bottom w:w="0" w:type="dxa"/>
            <w:right w:w="0" w:type="dxa"/>
          </w:tblCellMar>
        </w:tblPrEx>
        <w:trPr>
          <w:trHeight w:val="780" w:hRule="atLeast"/>
          <w:jc w:val="center"/>
        </w:trPr>
        <w:tc>
          <w:tcPr>
            <w:tcW w:w="11553"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37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8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8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1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59"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4917"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部门：石家庄市鹿泉区医疗保障局</w:t>
            </w:r>
          </w:p>
        </w:tc>
        <w:tc>
          <w:tcPr>
            <w:tcW w:w="10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8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1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59"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491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6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63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21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8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8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21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2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2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8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8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8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8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91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2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2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491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b/>
                <w:color w:val="000000"/>
                <w:sz w:val="22"/>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val="0"/>
                <w:bCs/>
                <w:color w:val="000000"/>
                <w:sz w:val="22"/>
                <w:lang w:val="en-US" w:eastAsia="zh-CN"/>
              </w:rPr>
            </w:pPr>
            <w:r>
              <w:rPr>
                <w:rFonts w:hint="eastAsia" w:ascii="宋体" w:hAnsi="宋体" w:eastAsia="宋体" w:cs="宋体"/>
                <w:b w:val="0"/>
                <w:bCs/>
                <w:color w:val="000000"/>
                <w:sz w:val="22"/>
                <w:lang w:val="en-US" w:eastAsia="zh-CN"/>
              </w:rPr>
              <w:t>5.00</w:t>
            </w:r>
          </w:p>
        </w:tc>
        <w:tc>
          <w:tcPr>
            <w:tcW w:w="11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val="0"/>
                <w:bCs/>
                <w:color w:val="000000"/>
                <w:sz w:val="22"/>
              </w:rPr>
            </w:pPr>
            <w:r>
              <w:rPr>
                <w:rFonts w:hint="eastAsia" w:ascii="宋体" w:hAnsi="宋体" w:eastAsia="宋体" w:cs="宋体"/>
                <w:b w:val="0"/>
                <w:bCs/>
                <w:color w:val="000000"/>
                <w:sz w:val="22"/>
                <w:lang w:val="en-US" w:eastAsia="zh-CN"/>
              </w:rPr>
              <w:t>5.00</w:t>
            </w:r>
          </w:p>
        </w:tc>
        <w:tc>
          <w:tcPr>
            <w:tcW w:w="12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b/>
                <w:color w:val="000000"/>
                <w:sz w:val="22"/>
              </w:rPr>
            </w:pPr>
          </w:p>
        </w:tc>
        <w:tc>
          <w:tcPr>
            <w:tcW w:w="12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val="0"/>
                <w:bCs/>
                <w:color w:val="000000"/>
                <w:sz w:val="22"/>
                <w:lang w:val="en-US" w:eastAsia="zh-CN"/>
              </w:rPr>
              <w:t>5.00</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229</w:t>
            </w:r>
          </w:p>
        </w:tc>
        <w:tc>
          <w:tcPr>
            <w:tcW w:w="37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其他支出</w:t>
            </w:r>
          </w:p>
        </w:tc>
        <w:tc>
          <w:tcPr>
            <w:tcW w:w="10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5.00</w:t>
            </w:r>
          </w:p>
        </w:tc>
        <w:tc>
          <w:tcPr>
            <w:tcW w:w="11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5.00</w:t>
            </w:r>
          </w:p>
        </w:tc>
        <w:tc>
          <w:tcPr>
            <w:tcW w:w="12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2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5.00</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22960</w:t>
            </w:r>
          </w:p>
        </w:tc>
        <w:tc>
          <w:tcPr>
            <w:tcW w:w="37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彩票公益金安排的支出</w:t>
            </w:r>
          </w:p>
        </w:tc>
        <w:tc>
          <w:tcPr>
            <w:tcW w:w="10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5.00</w:t>
            </w:r>
          </w:p>
        </w:tc>
        <w:tc>
          <w:tcPr>
            <w:tcW w:w="11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5.00</w:t>
            </w:r>
          </w:p>
        </w:tc>
        <w:tc>
          <w:tcPr>
            <w:tcW w:w="12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2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5.00</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2296013</w:t>
            </w:r>
          </w:p>
        </w:tc>
        <w:tc>
          <w:tcPr>
            <w:tcW w:w="37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用于城乡医疗救助的彩票公益金支出</w:t>
            </w:r>
          </w:p>
        </w:tc>
        <w:tc>
          <w:tcPr>
            <w:tcW w:w="10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5.00</w:t>
            </w:r>
          </w:p>
        </w:tc>
        <w:tc>
          <w:tcPr>
            <w:tcW w:w="11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5.00</w:t>
            </w:r>
          </w:p>
        </w:tc>
        <w:tc>
          <w:tcPr>
            <w:tcW w:w="12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2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5.00</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8"/>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楷体" w:hAnsi="楷体" w:eastAsia="楷体" w:cs="楷体"/>
          <w:sz w:val="32"/>
          <w:szCs w:val="32"/>
          <w:highlight w:val="none"/>
        </w:rPr>
        <w:t>“本部门本年度无相关支出情况，按要求空表列示。”</w:t>
      </w:r>
      <w:r>
        <w:br w:type="page"/>
      </w:r>
    </w:p>
    <w:p>
      <w:r>
        <mc:AlternateContent>
          <mc:Choice Requires="wps">
            <w:drawing>
              <wp:anchor distT="0" distB="0" distL="114300" distR="114300" simplePos="0" relativeHeight="25167564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564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4" w:type="first"/>
      <w:headerReference r:id="rId23" w:type="default"/>
      <w:footerReference r:id="rId25" w:type="default"/>
      <w:pgSz w:w="11906" w:h="16838"/>
      <w:pgMar w:top="1701" w:right="1417" w:bottom="1281" w:left="1417" w:header="851" w:footer="992" w:gutter="0"/>
      <w:pgBorders>
        <w:top w:val="none" w:sz="0" w:space="0"/>
        <w:left w:val="none" w:sz="0" w:space="0"/>
        <w:bottom w:val="none" w:sz="0" w:space="0"/>
        <w:right w:val="none" w:sz="0" w:space="0"/>
      </w:pgBorders>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0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MS-UIGothic,Bold">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4080"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94080;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5104"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95104;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612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612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7152"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97152;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70022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70022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896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896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793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793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01248"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701248;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02272"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702272;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8176"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98176;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9200"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9200;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2032"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92032;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3056"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93056;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3840"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83840;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2816"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82816;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8588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691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D205892"/>
    <w:multiLevelType w:val="singleLevel"/>
    <w:tmpl w:val="BD205892"/>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abstractNum w:abstractNumId="3">
    <w:nsid w:val="5F222FFA"/>
    <w:multiLevelType w:val="singleLevel"/>
    <w:tmpl w:val="5F222FFA"/>
    <w:lvl w:ilvl="0" w:tentative="0">
      <w:start w:val="1"/>
      <w:numFmt w:val="decimal"/>
      <w:suff w:val="nothing"/>
      <w:lvlText w:val="（%1）"/>
      <w:lvlJc w:val="left"/>
    </w:lvl>
  </w:abstractNum>
  <w:abstractNum w:abstractNumId="4">
    <w:nsid w:val="78C1413D"/>
    <w:multiLevelType w:val="singleLevel"/>
    <w:tmpl w:val="78C1413D"/>
    <w:lvl w:ilvl="0" w:tentative="0">
      <w:start w:val="1"/>
      <w:numFmt w:val="decimal"/>
      <w:suff w:val="space"/>
      <w:lvlText w:val="%1."/>
      <w:lvlJc w:val="left"/>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RkN2U0ZTQwYWQ1M2ZjODZjNTM3YjhjZDNhODUzN2Y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0945AA"/>
    <w:rsid w:val="04915CFE"/>
    <w:rsid w:val="04A47753"/>
    <w:rsid w:val="05B00A30"/>
    <w:rsid w:val="078D6D27"/>
    <w:rsid w:val="09CB3F2A"/>
    <w:rsid w:val="09DE10A4"/>
    <w:rsid w:val="0A342131"/>
    <w:rsid w:val="0B011416"/>
    <w:rsid w:val="0B26258A"/>
    <w:rsid w:val="0CAB7FC1"/>
    <w:rsid w:val="10936754"/>
    <w:rsid w:val="109868F5"/>
    <w:rsid w:val="11325D83"/>
    <w:rsid w:val="1287634B"/>
    <w:rsid w:val="17892627"/>
    <w:rsid w:val="17A173CE"/>
    <w:rsid w:val="1DAB13B7"/>
    <w:rsid w:val="1EB8709F"/>
    <w:rsid w:val="24730D45"/>
    <w:rsid w:val="26C1676D"/>
    <w:rsid w:val="272C4363"/>
    <w:rsid w:val="2935146E"/>
    <w:rsid w:val="29425BAB"/>
    <w:rsid w:val="2B414A92"/>
    <w:rsid w:val="2CC407FE"/>
    <w:rsid w:val="30D53F75"/>
    <w:rsid w:val="31BB03D0"/>
    <w:rsid w:val="31C2036A"/>
    <w:rsid w:val="320D02A5"/>
    <w:rsid w:val="348E566F"/>
    <w:rsid w:val="36911C9D"/>
    <w:rsid w:val="39A13A84"/>
    <w:rsid w:val="3A226944"/>
    <w:rsid w:val="3AEE6A48"/>
    <w:rsid w:val="3C1620AA"/>
    <w:rsid w:val="3D8F080F"/>
    <w:rsid w:val="406B12E7"/>
    <w:rsid w:val="419B2366"/>
    <w:rsid w:val="44344A38"/>
    <w:rsid w:val="44CE1FA4"/>
    <w:rsid w:val="46B724AC"/>
    <w:rsid w:val="487F73ED"/>
    <w:rsid w:val="48A05C0F"/>
    <w:rsid w:val="4A347EAE"/>
    <w:rsid w:val="4ABE7668"/>
    <w:rsid w:val="4B325421"/>
    <w:rsid w:val="4DA738D8"/>
    <w:rsid w:val="4F3E5CBA"/>
    <w:rsid w:val="52600405"/>
    <w:rsid w:val="529B4319"/>
    <w:rsid w:val="52D618D8"/>
    <w:rsid w:val="53F174D2"/>
    <w:rsid w:val="56247942"/>
    <w:rsid w:val="57773DD6"/>
    <w:rsid w:val="578B79AB"/>
    <w:rsid w:val="5CCD3FD5"/>
    <w:rsid w:val="5F385F5B"/>
    <w:rsid w:val="61B932F5"/>
    <w:rsid w:val="61FA5F9D"/>
    <w:rsid w:val="64114284"/>
    <w:rsid w:val="64465EB9"/>
    <w:rsid w:val="64CD6910"/>
    <w:rsid w:val="66293749"/>
    <w:rsid w:val="676A5C27"/>
    <w:rsid w:val="6789158D"/>
    <w:rsid w:val="67D81BA4"/>
    <w:rsid w:val="67E72B77"/>
    <w:rsid w:val="6A090BF3"/>
    <w:rsid w:val="6AAF1C96"/>
    <w:rsid w:val="716B0BE7"/>
    <w:rsid w:val="744404FB"/>
    <w:rsid w:val="745E019A"/>
    <w:rsid w:val="75681757"/>
    <w:rsid w:val="75A346A8"/>
    <w:rsid w:val="791B2523"/>
    <w:rsid w:val="791B505C"/>
    <w:rsid w:val="79B9382C"/>
    <w:rsid w:val="7B043B76"/>
    <w:rsid w:val="7C041A6A"/>
    <w:rsid w:val="7E327570"/>
    <w:rsid w:val="7E355719"/>
    <w:rsid w:val="7FA817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3"/>
    <w:basedOn w:val="1"/>
    <w:next w:val="1"/>
    <w:unhideWhenUsed/>
    <w:qFormat/>
    <w:uiPriority w:val="9"/>
    <w:pPr>
      <w:keepNext/>
      <w:keepLines/>
      <w:spacing w:before="260" w:after="260" w:line="416" w:lineRule="auto"/>
      <w:outlineLvl w:val="2"/>
    </w:pPr>
    <w:rPr>
      <w:b/>
      <w:bCs/>
      <w:sz w:val="32"/>
      <w:szCs w:val="32"/>
    </w:rPr>
  </w:style>
  <w:style w:type="character" w:default="1" w:styleId="7">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0">
    <w:name w:val="页眉 Char"/>
    <w:basedOn w:val="7"/>
    <w:link w:val="6"/>
    <w:qFormat/>
    <w:uiPriority w:val="99"/>
    <w:rPr>
      <w:rFonts w:asciiTheme="minorHAnsi" w:hAnsiTheme="minorHAnsi" w:eastAsiaTheme="minorEastAsia"/>
      <w:sz w:val="18"/>
      <w:szCs w:val="18"/>
    </w:rPr>
  </w:style>
  <w:style w:type="character" w:customStyle="1" w:styleId="11">
    <w:name w:val="页脚 Char"/>
    <w:basedOn w:val="7"/>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chart" Target="charts/chart2.xml"/><Relationship Id="rId28" Type="http://schemas.openxmlformats.org/officeDocument/2006/relationships/chart" Target="charts/chart1.xml"/><Relationship Id="rId27" Type="http://schemas.openxmlformats.org/officeDocument/2006/relationships/image" Target="media/image1.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
        <c:rich>
          <a:bodyPr/>
          <a:lstStyle/>
          <a:p>
            <a:pPr>
              <a:defRPr/>
            </a:pPr>
          </a:p>
        </c:rich>
      </c:tx>
    </c:title>
    <c:autoTitleDeleted val="0"/>
    <c:plotArea>
      <c:layout/>
      <c:pieChart>
        <c:varyColors val="1"/>
        <c:ser>
          <c:idx val="0"/>
          <c:order val="0"/>
          <c:tx>
            <c:strRef>
              <c:f>Sheet1!$B$1</c:f>
              <c:strCache>
                <c:ptCount val="1"/>
                <c:pt idx="0">
                  <c:v>支出</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Sheet1!$A$2:$A$3</c:f>
              <c:strCache>
                <c:ptCount val="2"/>
                <c:pt idx="0">
                  <c:v>基本支出</c:v>
                </c:pt>
                <c:pt idx="1">
                  <c:v>项目支出</c:v>
                </c:pt>
              </c:strCache>
            </c:strRef>
          </c:cat>
          <c:val>
            <c:numRef>
              <c:f>Sheet1!$B$2:$B$3</c:f>
              <c:numCache>
                <c:formatCode>General</c:formatCode>
                <c:ptCount val="2"/>
                <c:pt idx="0">
                  <c:v>11.84</c:v>
                </c:pt>
                <c:pt idx="1">
                  <c:v>88.16</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社会保障和就业支出</c:v>
                </c:pt>
                <c:pt idx="1">
                  <c:v>卫生健康支出</c:v>
                </c:pt>
                <c:pt idx="2">
                  <c:v>住房保障支出</c:v>
                </c:pt>
                <c:pt idx="3">
                  <c:v>其他支出</c:v>
                </c:pt>
              </c:strCache>
            </c:strRef>
          </c:cat>
          <c:val>
            <c:numRef>
              <c:f>Sheet1!$B$2:$B$5</c:f>
              <c:numCache>
                <c:formatCode>General</c:formatCode>
                <c:ptCount val="4"/>
                <c:pt idx="0">
                  <c:v>8.71</c:v>
                </c:pt>
                <c:pt idx="1">
                  <c:v>90.78</c:v>
                </c:pt>
                <c:pt idx="2">
                  <c:v>0.42</c:v>
                </c:pt>
                <c:pt idx="3">
                  <c:v>0.09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34</Pages>
  <Words>10121</Words>
  <Characters>12573</Characters>
  <Lines>78</Lines>
  <Paragraphs>22</Paragraphs>
  <TotalTime>41</TotalTime>
  <ScaleCrop>false</ScaleCrop>
  <LinksUpToDate>false</LinksUpToDate>
  <CharactersWithSpaces>12892</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123</cp:lastModifiedBy>
  <cp:lastPrinted>2020-11-04T07:35:00Z</cp:lastPrinted>
  <dcterms:modified xsi:type="dcterms:W3CDTF">2024-12-27T10:13:50Z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ICV">
    <vt:lpwstr>AE8FA6DCF8B64B86845D99A675D78167</vt:lpwstr>
  </property>
</Properties>
</file>