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8" w:name="_GoBack"/>
      <w:bookmarkEnd w:id="8"/>
      <w:r>
        <w:rPr>
          <w:rFonts w:hint="eastAsia" w:ascii="方正小标宋_GBK" w:hAnsi="Times New Roman" w:eastAsia="方正小标宋_GBK" w:cs="Times New Roman"/>
          <w:bCs/>
          <w:sz w:val="44"/>
          <w:szCs w:val="44"/>
        </w:rPr>
        <w:t>中共石家庄市鹿泉区委区直机关工委</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》、《地方预决算公开操作规程》和《河北省省级预算公开办法》规定，现将中共石家庄市鹿泉区委区直机关工委2020年部门预算公开如下：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hint="eastAsia"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根据《中共石家庄市鹿泉区委区直机关工作委员会职能配置、内设机构和人员编制规定》， 中共石家庄市鹿泉区委区直机关工作委员会的主要职责是：</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（一）统一组织、规划、部署区直机关党的工作，提出加强和改进机关党的建设的意见和建议，研究制定工作规划，并抓好组织实施。</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（二）指导区直机关党的政治建设、思想建设、组织建设、作风建设、纪律建设，把制度建设贯穿其中，深入推进反腐败斗争。</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（三）组织指导区直机关各级党组织和广大党员学习马克思列宁主义、毛泽东思想、邓小平理论、“三个代表”重要思想、科学发展观、习近平新时代中国特色社会主义思想。</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（四）对区直机关各级党组织、党员领导干部落实党建责任制、遵守政治纪律和政治规矩情况进行监督检查，并向区委报告。</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（五）指导区直机关各级党组织实施对党员特别是党员领导干部的监督和管理，及时向区委反映各部门领导班子、领导干部的情况。</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（六）配合区委有关部门抓好区直机关各部门领导班子思想政治建设，参与对党员领导干部民主生活会和党组（党委）理论学习中心组学习的督促检查和指导，了解掌握情况，按规定报送情况报告。</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七）督促指导区直机关党组织按期换届，审批关于召开党员大会或党员代表大会的请示，审批区直机关党组织领导班子的组成及书记、副书记的任免；负责审批区直机关党组织设置工作；对区直机关基层党组织请示的有关问题作出决定、批复或者答复。</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（八）指导区直机关各级党组织加强基层组织建设，做好党员发展、教育管理和党员信访等工作，及基层党组织党员评先评优工作。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（九）了解掌握区直机关工作人员的思想状况，指导区直机关各级党组织加强思想政治工作和精神文明建设。</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（十）协同有关部门指导、规划、协调、监督、检查区直机关干部教育培训工作,做好培训轮训区直机关中层党员干部和机关党务干部工作。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（十一）负责对区直各部门开展的党建工作进行督导检查考核等。</w:t>
      </w:r>
    </w:p>
    <w:p>
      <w:pPr>
        <w:spacing w:line="500" w:lineRule="exact"/>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（十二）完成区委交办的其他任务。</w:t>
      </w:r>
    </w:p>
    <w:p>
      <w:pPr>
        <w:spacing w:line="500" w:lineRule="exact"/>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机构设置：</w:t>
      </w:r>
    </w:p>
    <w:p>
      <w:pPr>
        <w:spacing w:line="560" w:lineRule="exact"/>
        <w:ind w:firstLine="640" w:firstLineChars="200"/>
        <w:rPr>
          <w:rFonts w:ascii="仿宋_GB2312" w:eastAsia="仿宋_GB2312"/>
          <w:sz w:val="32"/>
          <w:szCs w:val="32"/>
        </w:rPr>
      </w:pPr>
    </w:p>
    <w:tbl>
      <w:tblPr>
        <w:tblStyle w:val="7"/>
        <w:tblpPr w:leftFromText="180" w:rightFromText="180" w:vertAnchor="text" w:horzAnchor="page" w:tblpX="1156" w:tblpY="147"/>
        <w:tblOverlap w:val="never"/>
        <w:tblW w:w="9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7"/>
        <w:gridCol w:w="636"/>
        <w:gridCol w:w="1020"/>
        <w:gridCol w:w="1536"/>
        <w:gridCol w:w="744"/>
        <w:gridCol w:w="528"/>
        <w:gridCol w:w="492"/>
        <w:gridCol w:w="576"/>
        <w:gridCol w:w="564"/>
        <w:gridCol w:w="635"/>
        <w:gridCol w:w="512"/>
        <w:gridCol w:w="5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664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286中共石家庄市鹿泉区委区直机关工委</w:t>
            </w:r>
          </w:p>
        </w:tc>
        <w:tc>
          <w:tcPr>
            <w:tcW w:w="3298"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217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63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020"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1536"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44" w:type="dxa"/>
            <w:vMerge w:val="restart"/>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020" w:type="dxa"/>
            <w:gridSpan w:val="2"/>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140" w:type="dxa"/>
            <w:gridSpan w:val="2"/>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1666" w:type="dxa"/>
            <w:gridSpan w:val="3"/>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2" w:hRule="atLeast"/>
          <w:tblHeader/>
        </w:trPr>
        <w:tc>
          <w:tcPr>
            <w:tcW w:w="2177" w:type="dxa"/>
            <w:vMerge w:val="continue"/>
            <w:vAlign w:val="center"/>
          </w:tcPr>
          <w:p>
            <w:pPr>
              <w:spacing w:line="300" w:lineRule="exact"/>
              <w:jc w:val="left"/>
              <w:outlineLvl w:val="0"/>
            </w:pPr>
          </w:p>
        </w:tc>
        <w:tc>
          <w:tcPr>
            <w:tcW w:w="636" w:type="dxa"/>
            <w:vMerge w:val="continue"/>
            <w:vAlign w:val="center"/>
          </w:tcPr>
          <w:p>
            <w:pPr>
              <w:spacing w:line="300" w:lineRule="exact"/>
              <w:jc w:val="left"/>
              <w:outlineLvl w:val="0"/>
            </w:pPr>
          </w:p>
        </w:tc>
        <w:tc>
          <w:tcPr>
            <w:tcW w:w="1020" w:type="dxa"/>
            <w:vMerge w:val="continue"/>
            <w:vAlign w:val="center"/>
          </w:tcPr>
          <w:p>
            <w:pPr>
              <w:spacing w:line="300" w:lineRule="exact"/>
              <w:jc w:val="left"/>
              <w:outlineLvl w:val="0"/>
            </w:pPr>
          </w:p>
        </w:tc>
        <w:tc>
          <w:tcPr>
            <w:tcW w:w="1536" w:type="dxa"/>
            <w:vMerge w:val="continue"/>
            <w:vAlign w:val="center"/>
          </w:tcPr>
          <w:p>
            <w:pPr>
              <w:spacing w:line="300" w:lineRule="exact"/>
              <w:jc w:val="left"/>
              <w:outlineLvl w:val="0"/>
            </w:pPr>
          </w:p>
        </w:tc>
        <w:tc>
          <w:tcPr>
            <w:tcW w:w="744" w:type="dxa"/>
            <w:vMerge w:val="continue"/>
            <w:vAlign w:val="center"/>
          </w:tcPr>
          <w:p>
            <w:pPr>
              <w:spacing w:line="300" w:lineRule="exact"/>
              <w:jc w:val="left"/>
              <w:outlineLvl w:val="0"/>
            </w:pPr>
          </w:p>
        </w:tc>
        <w:tc>
          <w:tcPr>
            <w:tcW w:w="528"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492" w:type="dxa"/>
            <w:vAlign w:val="center"/>
          </w:tcPr>
          <w:p>
            <w:pPr>
              <w:spacing w:line="300" w:lineRule="exact"/>
              <w:jc w:val="center"/>
              <w:rPr>
                <w:rFonts w:ascii="方正书宋_GBK" w:eastAsia="方正书宋_GBK"/>
                <w:b/>
              </w:rPr>
            </w:pPr>
            <w:r>
              <w:rPr>
                <w:rFonts w:hint="eastAsia" w:ascii="方正书宋_GBK" w:eastAsia="方正书宋_GBK"/>
                <w:b/>
              </w:rPr>
              <w:t>工勤</w:t>
            </w:r>
          </w:p>
        </w:tc>
        <w:tc>
          <w:tcPr>
            <w:tcW w:w="576"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564" w:type="dxa"/>
            <w:vAlign w:val="center"/>
          </w:tcPr>
          <w:p>
            <w:pPr>
              <w:spacing w:line="300" w:lineRule="exact"/>
              <w:jc w:val="center"/>
              <w:rPr>
                <w:rFonts w:ascii="方正书宋_GBK" w:eastAsia="方正书宋_GBK"/>
                <w:b/>
              </w:rPr>
            </w:pPr>
            <w:r>
              <w:rPr>
                <w:rFonts w:hint="eastAsia" w:ascii="方正书宋_GBK" w:eastAsia="方正书宋_GBK"/>
                <w:b/>
              </w:rPr>
              <w:t>工勤</w:t>
            </w:r>
          </w:p>
        </w:tc>
        <w:tc>
          <w:tcPr>
            <w:tcW w:w="635" w:type="dxa"/>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512" w:type="dxa"/>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519" w:type="dxa"/>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rPr>
        <w:tc>
          <w:tcPr>
            <w:tcW w:w="2177"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636" w:type="dxa"/>
            <w:vAlign w:val="center"/>
          </w:tcPr>
          <w:p>
            <w:pPr>
              <w:spacing w:line="300" w:lineRule="exact"/>
              <w:jc w:val="center"/>
              <w:rPr>
                <w:rFonts w:ascii="方正书宋_GBK" w:eastAsia="方正书宋_GBK"/>
                <w:b/>
              </w:rPr>
            </w:pPr>
          </w:p>
        </w:tc>
        <w:tc>
          <w:tcPr>
            <w:tcW w:w="1020" w:type="dxa"/>
            <w:vAlign w:val="center"/>
          </w:tcPr>
          <w:p>
            <w:pPr>
              <w:spacing w:line="300" w:lineRule="exact"/>
              <w:jc w:val="center"/>
              <w:rPr>
                <w:rFonts w:ascii="方正书宋_GBK" w:eastAsia="方正书宋_GBK"/>
                <w:b/>
              </w:rPr>
            </w:pPr>
          </w:p>
        </w:tc>
        <w:tc>
          <w:tcPr>
            <w:tcW w:w="1536" w:type="dxa"/>
            <w:vAlign w:val="center"/>
          </w:tcPr>
          <w:p>
            <w:pPr>
              <w:spacing w:line="300" w:lineRule="exact"/>
              <w:jc w:val="center"/>
              <w:rPr>
                <w:rFonts w:ascii="方正书宋_GBK" w:eastAsia="方正书宋_GBK"/>
                <w:b/>
              </w:rPr>
            </w:pPr>
          </w:p>
        </w:tc>
        <w:tc>
          <w:tcPr>
            <w:tcW w:w="744" w:type="dxa"/>
            <w:vAlign w:val="center"/>
          </w:tcPr>
          <w:p>
            <w:pPr>
              <w:spacing w:line="300" w:lineRule="exact"/>
              <w:jc w:val="center"/>
              <w:rPr>
                <w:rFonts w:ascii="方正书宋_GBK" w:eastAsia="方正书宋_GBK"/>
                <w:b/>
              </w:rPr>
            </w:pPr>
            <w:r>
              <w:rPr>
                <w:rFonts w:hint="eastAsia" w:ascii="方正书宋_GBK" w:eastAsia="方正书宋_GBK"/>
                <w:b/>
              </w:rPr>
              <w:t>1</w:t>
            </w:r>
          </w:p>
        </w:tc>
        <w:tc>
          <w:tcPr>
            <w:tcW w:w="528" w:type="dxa"/>
            <w:vAlign w:val="center"/>
          </w:tcPr>
          <w:p>
            <w:pPr>
              <w:spacing w:line="300" w:lineRule="exact"/>
              <w:jc w:val="center"/>
              <w:rPr>
                <w:rFonts w:ascii="方正书宋_GBK" w:eastAsia="方正书宋_GBK"/>
                <w:b/>
              </w:rPr>
            </w:pPr>
            <w:r>
              <w:rPr>
                <w:rFonts w:hint="eastAsia" w:ascii="方正书宋_GBK" w:eastAsia="方正书宋_GBK"/>
                <w:b/>
              </w:rPr>
              <w:t>8</w:t>
            </w:r>
          </w:p>
        </w:tc>
        <w:tc>
          <w:tcPr>
            <w:tcW w:w="492" w:type="dxa"/>
            <w:vAlign w:val="center"/>
          </w:tcPr>
          <w:p>
            <w:pPr>
              <w:spacing w:line="300" w:lineRule="exact"/>
              <w:jc w:val="center"/>
              <w:rPr>
                <w:rFonts w:ascii="方正书宋_GBK" w:eastAsia="方正书宋_GBK"/>
                <w:b/>
              </w:rPr>
            </w:pPr>
            <w:r>
              <w:rPr>
                <w:rFonts w:hint="eastAsia" w:ascii="方正书宋_GBK" w:eastAsia="方正书宋_GBK"/>
                <w:b/>
              </w:rPr>
              <w:t>1</w:t>
            </w:r>
          </w:p>
        </w:tc>
        <w:tc>
          <w:tcPr>
            <w:tcW w:w="576" w:type="dxa"/>
            <w:vAlign w:val="center"/>
          </w:tcPr>
          <w:p>
            <w:pPr>
              <w:spacing w:line="300" w:lineRule="exact"/>
              <w:jc w:val="center"/>
              <w:rPr>
                <w:rFonts w:ascii="方正书宋_GBK" w:eastAsia="方正书宋_GBK"/>
                <w:b/>
              </w:rPr>
            </w:pPr>
            <w:r>
              <w:rPr>
                <w:rFonts w:hint="eastAsia" w:ascii="方正书宋_GBK" w:eastAsia="方正书宋_GBK"/>
                <w:b/>
              </w:rPr>
              <w:t>8</w:t>
            </w:r>
          </w:p>
        </w:tc>
        <w:tc>
          <w:tcPr>
            <w:tcW w:w="564" w:type="dxa"/>
            <w:vAlign w:val="center"/>
          </w:tcPr>
          <w:p>
            <w:pPr>
              <w:spacing w:line="300" w:lineRule="exact"/>
              <w:jc w:val="center"/>
              <w:rPr>
                <w:rFonts w:ascii="方正书宋_GBK" w:eastAsia="方正书宋_GBK"/>
                <w:b/>
              </w:rPr>
            </w:pPr>
            <w:r>
              <w:rPr>
                <w:rFonts w:hint="eastAsia" w:ascii="方正书宋_GBK" w:eastAsia="方正书宋_GBK"/>
                <w:b/>
              </w:rPr>
              <w:t>1</w:t>
            </w:r>
          </w:p>
        </w:tc>
        <w:tc>
          <w:tcPr>
            <w:tcW w:w="635" w:type="dxa"/>
            <w:vAlign w:val="center"/>
          </w:tcPr>
          <w:p>
            <w:pPr>
              <w:spacing w:line="300" w:lineRule="exact"/>
              <w:jc w:val="center"/>
              <w:rPr>
                <w:rFonts w:ascii="方正书宋_GBK" w:eastAsia="方正书宋_GBK"/>
                <w:b/>
              </w:rPr>
            </w:pPr>
          </w:p>
        </w:tc>
        <w:tc>
          <w:tcPr>
            <w:tcW w:w="512" w:type="dxa"/>
            <w:vAlign w:val="center"/>
          </w:tcPr>
          <w:p>
            <w:pPr>
              <w:spacing w:line="300" w:lineRule="exact"/>
              <w:jc w:val="center"/>
              <w:rPr>
                <w:rFonts w:ascii="方正书宋_GBK" w:eastAsia="方正书宋_GBK"/>
                <w:b/>
              </w:rPr>
            </w:pPr>
            <w:r>
              <w:rPr>
                <w:rFonts w:hint="eastAsia" w:ascii="方正书宋_GBK" w:eastAsia="方正书宋_GBK"/>
                <w:b/>
              </w:rPr>
              <w:t>5</w:t>
            </w:r>
          </w:p>
        </w:tc>
        <w:tc>
          <w:tcPr>
            <w:tcW w:w="519" w:type="dxa"/>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trPr>
        <w:tc>
          <w:tcPr>
            <w:tcW w:w="2177" w:type="dxa"/>
            <w:vAlign w:val="center"/>
          </w:tcPr>
          <w:p>
            <w:pPr>
              <w:spacing w:line="300" w:lineRule="exact"/>
              <w:jc w:val="left"/>
              <w:rPr>
                <w:rFonts w:ascii="方正书宋_GBK" w:eastAsia="方正书宋_GBK"/>
              </w:rPr>
            </w:pPr>
            <w:r>
              <w:rPr>
                <w:rFonts w:hint="eastAsia" w:ascii="方正书宋_GBK" w:eastAsia="方正书宋_GBK"/>
              </w:rPr>
              <w:t>中共石家庄市鹿泉区委区直机关工作委员会</w:t>
            </w:r>
          </w:p>
        </w:tc>
        <w:tc>
          <w:tcPr>
            <w:tcW w:w="636"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1020"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1536"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44" w:type="dxa"/>
            <w:vAlign w:val="center"/>
          </w:tcPr>
          <w:p>
            <w:pPr>
              <w:spacing w:line="300" w:lineRule="exact"/>
              <w:jc w:val="center"/>
              <w:rPr>
                <w:rFonts w:ascii="方正书宋_GBK" w:eastAsia="方正书宋_GBK"/>
              </w:rPr>
            </w:pPr>
            <w:r>
              <w:rPr>
                <w:rFonts w:hint="eastAsia" w:ascii="方正书宋_GBK" w:eastAsia="方正书宋_GBK"/>
              </w:rPr>
              <w:t>1</w:t>
            </w:r>
          </w:p>
        </w:tc>
        <w:tc>
          <w:tcPr>
            <w:tcW w:w="528" w:type="dxa"/>
            <w:vAlign w:val="center"/>
          </w:tcPr>
          <w:p>
            <w:pPr>
              <w:spacing w:line="300" w:lineRule="exact"/>
              <w:jc w:val="center"/>
              <w:rPr>
                <w:rFonts w:ascii="方正书宋_GBK" w:eastAsia="方正书宋_GBK"/>
              </w:rPr>
            </w:pPr>
            <w:r>
              <w:rPr>
                <w:rFonts w:hint="eastAsia" w:ascii="方正书宋_GBK" w:eastAsia="方正书宋_GBK"/>
              </w:rPr>
              <w:t>8</w:t>
            </w:r>
          </w:p>
        </w:tc>
        <w:tc>
          <w:tcPr>
            <w:tcW w:w="492" w:type="dxa"/>
            <w:vAlign w:val="center"/>
          </w:tcPr>
          <w:p>
            <w:pPr>
              <w:spacing w:line="300" w:lineRule="exact"/>
              <w:jc w:val="center"/>
              <w:rPr>
                <w:rFonts w:ascii="方正书宋_GBK" w:eastAsia="方正书宋_GBK"/>
              </w:rPr>
            </w:pPr>
            <w:r>
              <w:rPr>
                <w:rFonts w:hint="eastAsia" w:ascii="方正书宋_GBK" w:eastAsia="方正书宋_GBK"/>
              </w:rPr>
              <w:t>1</w:t>
            </w:r>
          </w:p>
        </w:tc>
        <w:tc>
          <w:tcPr>
            <w:tcW w:w="576" w:type="dxa"/>
            <w:vAlign w:val="center"/>
          </w:tcPr>
          <w:p>
            <w:pPr>
              <w:spacing w:line="300" w:lineRule="exact"/>
              <w:jc w:val="center"/>
              <w:rPr>
                <w:rFonts w:ascii="方正书宋_GBK" w:eastAsia="方正书宋_GBK"/>
              </w:rPr>
            </w:pPr>
            <w:r>
              <w:rPr>
                <w:rFonts w:hint="eastAsia" w:ascii="方正书宋_GBK" w:eastAsia="方正书宋_GBK"/>
              </w:rPr>
              <w:t>8</w:t>
            </w:r>
          </w:p>
        </w:tc>
        <w:tc>
          <w:tcPr>
            <w:tcW w:w="564" w:type="dxa"/>
            <w:vAlign w:val="center"/>
          </w:tcPr>
          <w:p>
            <w:pPr>
              <w:spacing w:line="300" w:lineRule="exact"/>
              <w:jc w:val="center"/>
              <w:rPr>
                <w:rFonts w:ascii="方正书宋_GBK" w:eastAsia="方正书宋_GBK"/>
              </w:rPr>
            </w:pPr>
            <w:r>
              <w:rPr>
                <w:rFonts w:hint="eastAsia" w:ascii="方正书宋_GBK" w:eastAsia="方正书宋_GBK"/>
              </w:rPr>
              <w:t>1</w:t>
            </w:r>
          </w:p>
        </w:tc>
        <w:tc>
          <w:tcPr>
            <w:tcW w:w="635" w:type="dxa"/>
            <w:vAlign w:val="center"/>
          </w:tcPr>
          <w:p>
            <w:pPr>
              <w:spacing w:line="300" w:lineRule="exact"/>
              <w:jc w:val="center"/>
              <w:rPr>
                <w:rFonts w:ascii="方正书宋_GBK" w:eastAsia="方正书宋_GBK"/>
              </w:rPr>
            </w:pPr>
          </w:p>
        </w:tc>
        <w:tc>
          <w:tcPr>
            <w:tcW w:w="512" w:type="dxa"/>
            <w:vAlign w:val="center"/>
          </w:tcPr>
          <w:p>
            <w:pPr>
              <w:spacing w:line="300" w:lineRule="exact"/>
              <w:jc w:val="center"/>
              <w:rPr>
                <w:rFonts w:ascii="方正书宋_GBK" w:eastAsia="方正书宋_GBK"/>
              </w:rPr>
            </w:pPr>
            <w:r>
              <w:rPr>
                <w:rFonts w:hint="eastAsia" w:ascii="方正书宋_GBK" w:eastAsia="方正书宋_GBK"/>
              </w:rPr>
              <w:t>5</w:t>
            </w:r>
          </w:p>
        </w:tc>
        <w:tc>
          <w:tcPr>
            <w:tcW w:w="519" w:type="dxa"/>
            <w:vAlign w:val="center"/>
          </w:tcPr>
          <w:p>
            <w:pPr>
              <w:spacing w:line="300" w:lineRule="exact"/>
              <w:jc w:val="center"/>
              <w:rPr>
                <w:rFonts w:ascii="方正书宋_GBK" w:eastAsia="方正书宋_GBK"/>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ascii="Times New Roman" w:hAnsi="Times New Roman" w:eastAsia="仿宋" w:cs="Times New Roman"/>
          <w:sz w:val="32"/>
          <w:szCs w:val="32"/>
        </w:rPr>
        <w:t>206.74</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206.74</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共石家庄市鹿泉区委区直机关工作委员会年度部门预算中支出预算的总体情况。2020年部门支出预算为206.74万元，其中基本支出</w:t>
      </w:r>
      <w:r>
        <w:rPr>
          <w:rFonts w:ascii="Times New Roman" w:hAnsi="Times New Roman" w:eastAsia="仿宋" w:cs="Times New Roman"/>
          <w:sz w:val="32"/>
          <w:szCs w:val="32"/>
        </w:rPr>
        <w:t>193.74</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165.92</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27.82</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13.00</w:t>
      </w:r>
      <w:r>
        <w:rPr>
          <w:rFonts w:hint="eastAsia" w:ascii="Times New Roman" w:hAnsi="Times New Roman" w:eastAsia="仿宋" w:cs="Times New Roman"/>
          <w:sz w:val="32"/>
          <w:szCs w:val="32"/>
        </w:rPr>
        <w:t>万元，主要为党员活动经费10万元，七一表彰及慰问建国前党员和生活困难党员3万元；其他支出0万元。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206.74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较2019年减少251.33万元，其中：基本支出和去年持平，项目支出也与去年持平，减少主要因为2019年区直部门党组织活动经费全部列入工委预算，2020年党组织活动经费为各部门各自列入预算；其他支出无增减变化。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27.82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2020年，我部门财政拨款“三公”经费预算安排2.7万元，其中：因公出国（境）费0万元；公务用车购置及运维费2.7万元（其中：公务用车购置费0万元，公务用车运行维护费2.7万元)；公务接待费0万元。 “三公”经费与上年持平，无增减变化。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（1）按照区直部门机关党建工作单项考核办法，做好年度单项考核及结果报送工作。</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（2）按照区委要求，做好工委系统机关作风整顿及“两学一做”学习教育工作，召开一次经验交流会。</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（3）全面落实《机关基层党组织工作条例》，选好配强直属党组织班子，切实加强党务干部队伍建设。进一步规范机关党组织设置，理顺工作关系。</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（4）认真做好发展党员工作。严格按照“控制总量，优化结构，提高质量，发挥作用”的总要求和《发展党员工作细则》有关规定，发展新党员30名左右。</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（5）举办一期党章党规基本知识培训。</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（6）举办一期</w:t>
      </w:r>
      <w:r>
        <w:rPr>
          <w:rFonts w:hint="eastAsia" w:ascii="Times New Roman" w:hAnsi="Times New Roman" w:eastAsia="仿宋" w:cs="Times New Roman"/>
          <w:sz w:val="32"/>
          <w:szCs w:val="32"/>
          <w:lang w:eastAsia="zh-CN"/>
        </w:rPr>
        <w:t>习近平总书记系列重要讲话</w:t>
      </w:r>
      <w:r>
        <w:rPr>
          <w:rFonts w:ascii="Times New Roman" w:hAnsi="Times New Roman" w:eastAsia="仿宋" w:cs="Times New Roman"/>
          <w:sz w:val="32"/>
          <w:szCs w:val="32"/>
        </w:rPr>
        <w:t>专题讲座或辅导班。</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（7）围绕建党99周年，组织开展表彰、慰问、讲党课等系列活动。</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（8）做好工委系统直属机关党组织书记党建专项述职工作。</w:t>
      </w:r>
    </w:p>
    <w:p>
      <w:pPr>
        <w:autoSpaceDE w:val="0"/>
        <w:autoSpaceDN w:val="0"/>
        <w:adjustRightInd w:val="0"/>
        <w:ind w:firstLine="320" w:firstLineChars="1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一、七一和春节期间走访慰问建国前老党员和生活困难党员</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绩效目标：制定2020年工作要点，根据要求，七一完成表彰先进集体及个人，在机关党组织中树立标杆，七一及春节按时走访慰问建国前老党员及生活困难党员，必须走访到位，切实完成全年工作目标，让老党员及生活困难党员感受到党组织的关怀。</w:t>
      </w:r>
    </w:p>
    <w:p>
      <w:pPr>
        <w:spacing w:line="500" w:lineRule="exact"/>
        <w:ind w:firstLine="320" w:firstLineChars="1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绩效指标：慰问次数每年两次，每次走访慰问建国前老党员人数不少于10人。每年七一表彰一次，评选出先进基层党组织及优秀党员，党组织15个，党员105名。</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二、党组织活动</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绩效目标：制定2020年工作要点，根据培训内容，按期完成2期培训，每期人数达到200人以上，培训天数达到36学时，对每项工作抓住工作目标，关键环节和阶段性重点，使机关党建工作再上新台阶。</w:t>
      </w:r>
    </w:p>
    <w:p>
      <w:pPr>
        <w:spacing w:line="500" w:lineRule="exact"/>
        <w:ind w:firstLine="480" w:firstLineChars="150"/>
        <w:jc w:val="left"/>
        <w:rPr>
          <w:rFonts w:ascii="Times New Roman" w:eastAsia="方正仿宋_GBK"/>
          <w:sz w:val="28"/>
        </w:rPr>
      </w:pPr>
      <w:r>
        <w:rPr>
          <w:rFonts w:ascii="Times New Roman" w:hAnsi="Times New Roman" w:eastAsia="仿宋" w:cs="Times New Roman"/>
          <w:sz w:val="32"/>
          <w:szCs w:val="32"/>
        </w:rPr>
        <w:t xml:space="preserve"> 绩效指标：覆盖率每期200人以上，每期考试人员必须达到90分；购买十九大有关用书大概一千册，用于各基层党组织中层以上人员。</w:t>
      </w:r>
    </w:p>
    <w:p>
      <w:pPr>
        <w:autoSpaceDE w:val="0"/>
        <w:autoSpaceDN w:val="0"/>
        <w:adjustRightInd w:val="0"/>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加强组织领导。将事前评估、目标管理、运行监控、绩效评价、结果应用等各项改革措施，有效融入预算管理的全过程，建立健全预算绩效管理制度体系。成立由工委主要领导同志任组长的预算绩效工作领导小组，建立统筹协调、分工协作、密切配合、合理推进的工作机制。围绕年度总体绩效目标和分项绩效目标，细化工作流程，保证总体绩效目标圆满实现。</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加强资金支出管理。围绕年度重点工作，进一步优化支出结构，编细编实预算、按规定及时下达资金，确保支出进度达标。积极开展预算资金使用绩效运行监控，发现问题及时采取措施，确保绩效目标如期保质实现。</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（三）加强内部监督。加强内部监督制度建设，对绩效运行情况、重大支出等事项的决策和执行进行督导，对会计资料进行内部审计，配合做好审计、财政监督等外部监督，确保财政资金安全有效。</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（四）加强宣传培训调研。加强系统内人员培训，提高职工业务素质；加强调研，提出优化财政资金配置、提高资金使用效益的意见；加大宣传力度，强化预算绩效管理意识，促进预算绩效水平进一步提升。</w:t>
      </w:r>
    </w:p>
    <w:p>
      <w:pPr>
        <w:autoSpaceDE w:val="0"/>
        <w:autoSpaceDN w:val="0"/>
        <w:adjustRightInd w:val="0"/>
        <w:ind w:left="198" w:firstLine="640" w:firstLineChars="200"/>
        <w:jc w:val="left"/>
        <w:rPr>
          <w:rFonts w:ascii="仿宋" w:hAnsi="仿宋" w:eastAsia="仿宋"/>
          <w:sz w:val="32"/>
          <w:szCs w:val="32"/>
        </w:rPr>
      </w:pPr>
    </w:p>
    <w:p>
      <w:pPr>
        <w:autoSpaceDE w:val="0"/>
        <w:autoSpaceDN w:val="0"/>
        <w:adjustRightInd w:val="0"/>
        <w:ind w:left="198" w:firstLine="640" w:firstLineChars="200"/>
        <w:jc w:val="center"/>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pPr>
        <w:ind w:firstLine="560" w:firstLineChars="200"/>
        <w:jc w:val="left"/>
        <w:outlineLvl w:val="1"/>
        <w:rPr>
          <w:rFonts w:ascii="Times New Roman" w:hAnsi="宋体"/>
          <w:b/>
          <w:sz w:val="28"/>
        </w:rPr>
      </w:pPr>
      <w:r>
        <w:rPr>
          <w:rFonts w:hint="eastAsia" w:ascii="方正仿宋_GBK" w:eastAsia="方正仿宋_GBK"/>
          <w:b/>
          <w:sz w:val="28"/>
        </w:rPr>
        <w:t>1、党员活动经费绩效目标表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32723"/>
      <w:r>
        <w:rPr>
          <w:rFonts w:hint="eastAsia" w:ascii="方正仿宋_GBK" w:eastAsia="方正仿宋_GBK"/>
          <w:b/>
          <w:sz w:val="28"/>
        </w:rPr>
        <w:instrText xml:space="preserve">1、党员活动经费绩效目标表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000-9999-JSN-62NF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9</w:t>
            </w:r>
            <w:r>
              <w:rPr>
                <w:rFonts w:hint="eastAsia" w:ascii="方正书宋_GBK" w:eastAsia="方正书宋_GBK"/>
              </w:rPr>
              <w:t>月份将举办两期培训班，党务干部培训班及积极分子培训班，</w:t>
            </w:r>
            <w:r>
              <w:rPr>
                <w:rFonts w:ascii="方正书宋_GBK" w:eastAsia="方正书宋_GBK"/>
              </w:rPr>
              <w:t>2020</w:t>
            </w:r>
            <w:r>
              <w:rPr>
                <w:rFonts w:hint="eastAsia" w:ascii="方正书宋_GBK" w:eastAsia="方正书宋_GBK"/>
              </w:rPr>
              <w:t>年下半年购买十九大有关书籍大概</w:t>
            </w:r>
            <w:r>
              <w:rPr>
                <w:rFonts w:ascii="方正书宋_GBK" w:eastAsia="方正书宋_GBK"/>
              </w:rPr>
              <w:t>1</w:t>
            </w:r>
            <w:r>
              <w:rPr>
                <w:rFonts w:hint="eastAsia" w:ascii="方正书宋_GBK" w:eastAsia="方正书宋_GBK"/>
              </w:rPr>
              <w:t>千余册，大概花费</w:t>
            </w:r>
            <w:r>
              <w:rPr>
                <w:rFonts w:ascii="方正书宋_GBK" w:eastAsia="方正书宋_GBK"/>
              </w:rPr>
              <w:t>7.5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、制定</w:t>
            </w:r>
            <w:r>
              <w:rPr>
                <w:rFonts w:ascii="方正书宋_GBK" w:eastAsia="方正书宋_GBK"/>
              </w:rPr>
              <w:t>2020</w:t>
            </w:r>
            <w:r>
              <w:rPr>
                <w:rFonts w:hint="eastAsia" w:ascii="方正书宋_GBK" w:eastAsia="方正书宋_GBK"/>
              </w:rPr>
              <w:t>年工作要点，根据培训内容，按期完成</w:t>
            </w:r>
            <w:r>
              <w:rPr>
                <w:rFonts w:ascii="方正书宋_GBK" w:eastAsia="方正书宋_GBK"/>
              </w:rPr>
              <w:t>2</w:t>
            </w:r>
            <w:r>
              <w:rPr>
                <w:rFonts w:hint="eastAsia" w:ascii="方正书宋_GBK" w:eastAsia="方正书宋_GBK"/>
              </w:rPr>
              <w:t>期培训，每期人数达到</w:t>
            </w:r>
            <w:r>
              <w:rPr>
                <w:rFonts w:ascii="方正书宋_GBK" w:eastAsia="方正书宋_GBK"/>
              </w:rPr>
              <w:t>200</w:t>
            </w:r>
            <w:r>
              <w:rPr>
                <w:rFonts w:hint="eastAsia" w:ascii="方正书宋_GBK" w:eastAsia="方正书宋_GBK"/>
              </w:rPr>
              <w:t>人以上，培训天数达到</w:t>
            </w:r>
            <w:r>
              <w:rPr>
                <w:rFonts w:ascii="方正书宋_GBK" w:eastAsia="方正书宋_GBK"/>
              </w:rPr>
              <w:t>36</w:t>
            </w:r>
            <w:r>
              <w:rPr>
                <w:rFonts w:hint="eastAsia" w:ascii="方正书宋_GBK" w:eastAsia="方正书宋_GBK"/>
              </w:rPr>
              <w:t>学时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、对每项工作抓住工作目标，关键环节和阶段性重点，使机关党建工作再上新台阶</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每期</w:t>
            </w:r>
            <w:r>
              <w:rPr>
                <w:rFonts w:ascii="方正书宋_GBK" w:eastAsia="方正书宋_GBK"/>
              </w:rPr>
              <w:t>200</w:t>
            </w:r>
            <w:r>
              <w:rPr>
                <w:rFonts w:hint="eastAsia" w:ascii="方正书宋_GBK" w:eastAsia="方正书宋_GBK"/>
              </w:rPr>
              <w:t>人以上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每期培训人数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每期组织参加培训人数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考试分数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用书数量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购买十九大有关用书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发展党员人数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发展党员人数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通过考试查看效果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通过考试合格率提高党建工作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接受基本党务干部对上级党组织所提供培训的满意程度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积极分子、新党员满意度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参加培训人员满意度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jc w:val="left"/>
        <w:outlineLvl w:val="1"/>
        <w:rPr>
          <w:rFonts w:ascii="Times New Roman" w:hAnsi="宋体"/>
          <w:b/>
          <w:sz w:val="28"/>
        </w:rPr>
      </w:pPr>
      <w:r>
        <w:rPr>
          <w:rFonts w:hint="eastAsia" w:ascii="方正仿宋_GBK" w:eastAsia="方正仿宋_GBK"/>
          <w:b/>
          <w:sz w:val="28"/>
        </w:rPr>
        <w:t>2、七一表彰及慰问建国前党员和生活困难党员绩效目标表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32724"/>
      <w:r>
        <w:rPr>
          <w:rFonts w:hint="eastAsia" w:ascii="方正仿宋_GBK" w:eastAsia="方正仿宋_GBK"/>
          <w:b/>
          <w:sz w:val="28"/>
        </w:rPr>
        <w:instrText xml:space="preserve">2、七一表彰及慰问建国前党员和生活困难党员绩效目标表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000-9999-JSN-2N02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七一表彰及慰问建国前党员和生活困难党员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七一表彰先进基层党组织、优秀党务工作者及优秀共产党员；七一和春节期间走访慰问建国前老党员和生活困难党员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、制定</w:t>
            </w:r>
            <w:r>
              <w:rPr>
                <w:rFonts w:ascii="方正书宋_GBK" w:eastAsia="方正书宋_GBK"/>
              </w:rPr>
              <w:t>2020</w:t>
            </w:r>
            <w:r>
              <w:rPr>
                <w:rFonts w:hint="eastAsia" w:ascii="方正书宋_GBK" w:eastAsia="方正书宋_GBK"/>
              </w:rPr>
              <w:t>年工作要点，根据要求，七一完成表彰先进集体及个人，在机关党组织中树立标杆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、七一及春节按时走访慰问建国前老党员及生活困难党员，必须走访到位，切实完成全年工作目标，让老党员及生活困难党员感受到党组织的关怀。</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七一及春节各走访慰问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慰问人数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每次走访慰问建国前老党员人数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表彰先进集体和个人完成率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表彰的先进集体和个人数量占应表彰的集体和个人数量的比例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能够长期较好地开展慰问活动次数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七一及春节各走访慰问一次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领取人签字表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党员受益人数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慰问的老党员数量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能够长期较好地调动党员积极性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党员的满意程度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满意和较满意基层党组织及老党员、生活困难党员人数占被调查人数的比例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6"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w:t>
      </w:r>
      <w:bookmarkEnd w:id="6"/>
      <w:r>
        <w:rPr>
          <w:rFonts w:hint="eastAsia" w:ascii="Times New Roman" w:hAnsi="Times New Roman" w:eastAsia="仿宋" w:cs="Times New Roman"/>
          <w:sz w:val="32"/>
          <w:szCs w:val="24"/>
          <w:lang w:eastAsia="zh-CN"/>
        </w:rPr>
        <w:t>单位安排政府采购预算0万元，无政府采购预算相关计划，空表列示。</w:t>
      </w:r>
    </w:p>
    <w:p>
      <w:pPr>
        <w:ind w:firstLine="640" w:firstLineChars="200"/>
        <w:jc w:val="center"/>
        <w:outlineLvl w:val="0"/>
        <w:rPr>
          <w:rFonts w:ascii="方正小标宋_GBK" w:eastAsia="方正小标宋_GBK"/>
          <w:sz w:val="32"/>
        </w:rPr>
      </w:pP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7" w:name="_Toc28848395"/>
      <w:r>
        <w:rPr>
          <w:rFonts w:hint="eastAsia" w:ascii="方正小标宋_GBK" w:eastAsia="方正小标宋_GBK"/>
          <w:sz w:val="32"/>
        </w:rPr>
        <w:instrText xml:space="preserve">部门政府采购预算</w:instrText>
      </w:r>
      <w:bookmarkEnd w:id="7"/>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286中共石家庄市鹿泉区委区直机关工作委员会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中共石家庄市鹿泉区委区直机关工作委员会2019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27.83</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lang w:eastAsia="zh-CN"/>
        </w:rPr>
        <w:t>本年度我单位拟购置固定资产总额为0万元。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中共石家庄市鹿泉区委区直机关工作委员会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27.83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15.43</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spacing w:line="560" w:lineRule="exact"/>
        <w:ind w:firstLine="627" w:firstLineChars="196"/>
        <w:rPr>
          <w:rFonts w:ascii="仿宋_GB2312" w:hAnsi="宋体" w:eastAsia="仿宋_GB2312"/>
          <w:sz w:val="32"/>
          <w:szCs w:val="32"/>
        </w:rPr>
      </w:pPr>
      <w:r>
        <w:rPr>
          <w:rFonts w:hint="eastAsia" w:ascii="仿宋_GB2312" w:hAnsi="宋体" w:eastAsia="仿宋_GB2312"/>
          <w:sz w:val="32"/>
          <w:szCs w:val="32"/>
        </w:rPr>
        <w:t>1、我单位无国有资本经营预算财政拨款支出，所以部门预算国有资本经营预算财政拨款支出表为空表。</w:t>
      </w:r>
    </w:p>
    <w:p>
      <w:pPr>
        <w:ind w:firstLine="640" w:firstLineChars="200"/>
        <w:rPr>
          <w:rFonts w:ascii="Times New Roman" w:hAnsi="Times New Roman" w:eastAsia="仿宋" w:cs="Times New Roman"/>
          <w:sz w:val="32"/>
          <w:szCs w:val="32"/>
        </w:rPr>
      </w:pP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10</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005126"/>
    <w:rsid w:val="092857DF"/>
    <w:rsid w:val="70DE64E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884</Words>
  <Characters>5043</Characters>
  <Lines>42</Lines>
  <Paragraphs>11</Paragraphs>
  <TotalTime>1</TotalTime>
  <ScaleCrop>false</ScaleCrop>
  <LinksUpToDate>false</LinksUpToDate>
  <CharactersWithSpaces>5916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2017-01-24T09:29:00Z</dcterms:created>
  <dc:creator>guest</dc:creator>
  <cp:lastModifiedBy>DELL</cp:lastModifiedBy>
  <cp:lastPrinted>2020-01-11T07:53:00Z</cp:lastPrinted>
  <dcterms:modified xsi:type="dcterms:W3CDTF">2024-08-13T08:22:58Z</dcterms:modified>
  <dc:title>o</dc:title>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3FBBA5B149D4C5CCF0B1AC6023F002BA</vt:lpwstr>
  </property>
</Properties>
</file>