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石家庄市鹿泉区行政审批局</w:t>
      </w:r>
      <w:r>
        <w:rPr>
          <w:rFonts w:ascii="Times New Roman" w:hAnsi="Times New Roman" w:eastAsia="方正小标宋_GBK" w:cs="Times New Roman"/>
          <w:sz w:val="44"/>
          <w:szCs w:val="44"/>
        </w:rPr>
        <w:t>201</w:t>
      </w:r>
      <w:r>
        <w:rPr>
          <w:rFonts w:hint="eastAsia" w:ascii="Times New Roman" w:hAnsi="Times New Roman" w:eastAsia="方正小标宋_GBK" w:cs="Times New Roman"/>
          <w:sz w:val="44"/>
          <w:szCs w:val="44"/>
        </w:rPr>
        <w:t>9</w:t>
      </w:r>
      <w:r>
        <w:rPr>
          <w:rFonts w:ascii="Times New Roman" w:hAnsi="Times New Roman" w:eastAsia="方正小标宋_GBK" w:cs="Times New Roman"/>
          <w:sz w:val="44"/>
          <w:szCs w:val="44"/>
        </w:rPr>
        <w:t>年部门预算信息公开</w:t>
      </w:r>
      <w:r>
        <w:rPr>
          <w:rFonts w:hint="eastAsia" w:ascii="Times New Roman" w:hAnsi="Times New Roman" w:eastAsia="方正小标宋_GBK" w:cs="Times New Roman"/>
          <w:sz w:val="44"/>
          <w:szCs w:val="44"/>
        </w:rPr>
        <w:t>情况说明</w:t>
      </w:r>
    </w:p>
    <w:p>
      <w:pPr>
        <w:ind w:firstLine="640" w:firstLineChars="200"/>
        <w:rPr>
          <w:rFonts w:ascii="仿宋" w:hAnsi="仿宋" w:eastAsia="仿宋" w:cs="仿宋"/>
          <w:sz w:val="32"/>
          <w:szCs w:val="32"/>
        </w:rPr>
      </w:pPr>
      <w:r>
        <w:rPr>
          <w:rFonts w:hint="eastAsia" w:ascii="仿宋" w:hAnsi="仿宋" w:eastAsia="仿宋" w:cs="仿宋"/>
          <w:sz w:val="32"/>
          <w:szCs w:val="32"/>
        </w:rPr>
        <w:t>按照</w:t>
      </w:r>
      <w:r>
        <w:rPr>
          <w:rFonts w:hint="eastAsia" w:ascii="仿宋" w:hAnsi="仿宋" w:eastAsia="仿宋" w:cs="仿宋"/>
          <w:sz w:val="32"/>
          <w:szCs w:val="32"/>
          <w:lang w:eastAsia="zh-CN"/>
        </w:rPr>
        <w:t>《中华人民共和国预算法》</w:t>
      </w:r>
      <w:r>
        <w:rPr>
          <w:rFonts w:hint="eastAsia" w:ascii="仿宋" w:hAnsi="仿宋" w:eastAsia="仿宋" w:cs="仿宋"/>
          <w:sz w:val="32"/>
          <w:szCs w:val="32"/>
        </w:rPr>
        <w:t>、《地方预决算公开操作规程》和《河北省省级预算公开办法》规定，现将石家庄市鹿泉区行政审批局2019年部门预算公开如下：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firstLineChars="20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部门</w:t>
      </w:r>
      <w:r>
        <w:rPr>
          <w:rFonts w:ascii="Times New Roman" w:hAnsi="Times New Roman" w:eastAsia="方正仿宋_GBK" w:cs="Times New Roman"/>
          <w:b/>
          <w:sz w:val="32"/>
          <w:szCs w:val="32"/>
        </w:rPr>
        <w:t>职责：</w:t>
      </w:r>
    </w:p>
    <w:p>
      <w:pPr>
        <w:ind w:firstLine="640" w:firstLineChars="200"/>
        <w:rPr>
          <w:rFonts w:ascii="仿宋_GB2312" w:eastAsia="仿宋_GB2312"/>
          <w:sz w:val="32"/>
          <w:szCs w:val="32"/>
        </w:rPr>
      </w:pPr>
      <w:r>
        <w:rPr>
          <w:rFonts w:hint="eastAsia" w:ascii="仿宋_GB2312" w:eastAsia="仿宋_GB2312"/>
          <w:sz w:val="32"/>
          <w:szCs w:val="32"/>
        </w:rPr>
        <w:t>（一）、配合全区行政审批制度改革，以及相关工作体系、体制机制创新和完善工作。</w:t>
      </w:r>
    </w:p>
    <w:p>
      <w:pPr>
        <w:ind w:firstLine="640" w:firstLineChars="200"/>
        <w:rPr>
          <w:rFonts w:ascii="仿宋_GB2312" w:eastAsia="仿宋_GB2312"/>
          <w:sz w:val="32"/>
          <w:szCs w:val="32"/>
        </w:rPr>
      </w:pPr>
      <w:r>
        <w:rPr>
          <w:rFonts w:hint="eastAsia" w:ascii="仿宋_GB2312" w:eastAsia="仿宋_GB2312"/>
          <w:sz w:val="32"/>
          <w:szCs w:val="32"/>
        </w:rPr>
        <w:t>（二）、负责投资项目、住建交通、文教卫计、社会事务、涉农事务等方面的行政审批，并承担相应的法律责任。</w:t>
      </w:r>
    </w:p>
    <w:p>
      <w:pPr>
        <w:ind w:firstLine="640" w:firstLineChars="200"/>
        <w:rPr>
          <w:rFonts w:ascii="仿宋_GB2312" w:eastAsia="仿宋_GB2312"/>
          <w:sz w:val="32"/>
          <w:szCs w:val="32"/>
        </w:rPr>
      </w:pPr>
      <w:r>
        <w:rPr>
          <w:rFonts w:hint="eastAsia" w:ascii="仿宋_GB2312" w:eastAsia="仿宋_GB2312"/>
          <w:sz w:val="32"/>
          <w:szCs w:val="32"/>
        </w:rPr>
        <w:t>（三）、负责进驻政务服务中心的职能部门有关工作的规范、管理和监督。</w:t>
      </w:r>
    </w:p>
    <w:p>
      <w:pPr>
        <w:ind w:firstLine="640" w:firstLineChars="200"/>
        <w:rPr>
          <w:rFonts w:ascii="仿宋_GB2312" w:eastAsia="仿宋_GB2312"/>
          <w:sz w:val="32"/>
          <w:szCs w:val="32"/>
        </w:rPr>
      </w:pPr>
      <w:r>
        <w:rPr>
          <w:rFonts w:hint="eastAsia" w:ascii="仿宋_GB2312" w:eastAsia="仿宋_GB2312"/>
          <w:sz w:val="32"/>
          <w:szCs w:val="32"/>
        </w:rPr>
        <w:t>（四）、负责政务服务中心平台综合功能的建设和管理。</w:t>
      </w:r>
    </w:p>
    <w:p>
      <w:pPr>
        <w:ind w:firstLine="640" w:firstLineChars="200"/>
        <w:rPr>
          <w:rFonts w:ascii="仿宋_GB2312" w:eastAsia="仿宋_GB2312"/>
          <w:sz w:val="32"/>
          <w:szCs w:val="32"/>
        </w:rPr>
      </w:pPr>
      <w:r>
        <w:rPr>
          <w:rFonts w:hint="eastAsia" w:ascii="仿宋_GB2312" w:eastAsia="仿宋_GB2312"/>
          <w:sz w:val="32"/>
          <w:szCs w:val="32"/>
        </w:rPr>
        <w:t>（五）、负责本系统工作人员的培训、管理和考核。</w:t>
      </w:r>
    </w:p>
    <w:p>
      <w:pPr>
        <w:ind w:firstLine="640" w:firstLineChars="200"/>
        <w:rPr>
          <w:rFonts w:ascii="仿宋_GB2312" w:eastAsia="仿宋_GB2312"/>
          <w:sz w:val="32"/>
          <w:szCs w:val="32"/>
        </w:rPr>
      </w:pPr>
      <w:r>
        <w:rPr>
          <w:rFonts w:hint="eastAsia" w:ascii="仿宋_GB2312" w:eastAsia="仿宋_GB2312"/>
          <w:sz w:val="32"/>
          <w:szCs w:val="32"/>
        </w:rPr>
        <w:t>（六）、负责行政审批、政务服务体系的信息化建设。</w:t>
      </w:r>
    </w:p>
    <w:p>
      <w:pPr>
        <w:ind w:firstLine="640" w:firstLineChars="200"/>
        <w:rPr>
          <w:rFonts w:ascii="仿宋_GB2312" w:eastAsia="仿宋_GB2312"/>
          <w:sz w:val="32"/>
          <w:szCs w:val="32"/>
        </w:rPr>
      </w:pPr>
      <w:r>
        <w:rPr>
          <w:rFonts w:hint="eastAsia" w:ascii="仿宋_GB2312" w:eastAsia="仿宋_GB2312"/>
          <w:sz w:val="32"/>
          <w:szCs w:val="32"/>
        </w:rPr>
        <w:t>（七）、协调和指导乡镇行政审批相关工作。</w:t>
      </w:r>
    </w:p>
    <w:p>
      <w:pPr>
        <w:ind w:firstLine="640" w:firstLineChars="200"/>
        <w:rPr>
          <w:rFonts w:ascii="仿宋_GB2312" w:eastAsia="仿宋_GB2312"/>
          <w:sz w:val="32"/>
          <w:szCs w:val="32"/>
        </w:rPr>
      </w:pPr>
      <w:r>
        <w:rPr>
          <w:rFonts w:hint="eastAsia" w:ascii="仿宋_GB2312" w:eastAsia="仿宋_GB2312"/>
          <w:sz w:val="32"/>
          <w:szCs w:val="32"/>
        </w:rPr>
        <w:t>（八）、承办区委、区政府交办的其它事项。</w:t>
      </w:r>
    </w:p>
    <w:p>
      <w:pPr>
        <w:jc w:val="left"/>
        <w:sectPr>
          <w:pgSz w:w="16839" w:h="11907" w:orient="landscape"/>
          <w:pgMar w:top="1134" w:right="1474" w:bottom="1134" w:left="1531" w:header="851" w:footer="992" w:gutter="0"/>
          <w:cols w:space="425" w:num="1"/>
          <w:docGrid w:type="lines" w:linePitch="312" w:charSpace="0"/>
        </w:sectPr>
      </w:pPr>
    </w:p>
    <w:p>
      <w:pPr>
        <w:ind w:firstLine="640" w:firstLineChars="200"/>
        <w:rPr>
          <w:rFonts w:ascii="仿宋_GB2312" w:eastAsia="仿宋_GB2312"/>
          <w:sz w:val="32"/>
          <w:szCs w:val="32"/>
        </w:rPr>
      </w:pPr>
      <w:r>
        <w:rPr>
          <w:rFonts w:hint="eastAsia" w:ascii="仿宋_GB2312" w:eastAsia="仿宋_GB2312"/>
          <w:sz w:val="32"/>
          <w:szCs w:val="32"/>
        </w:rPr>
        <w:t>根据上述职责，鹿泉区行政审批局设办公室、政策法规科（审改科）、投资项目科、企业设立科、文教卫计事务科、社会事务科、涉农事务科、交通城管科八个内设机构。</w:t>
      </w:r>
    </w:p>
    <w:p>
      <w:pPr>
        <w:autoSpaceDE w:val="0"/>
        <w:autoSpaceDN w:val="0"/>
        <w:adjustRightInd w:val="0"/>
        <w:ind w:left="198" w:firstLine="640" w:firstLineChars="200"/>
        <w:jc w:val="left"/>
        <w:rPr>
          <w:rFonts w:ascii="方正仿宋_GBK" w:hAnsi="Times New Roman" w:eastAsia="方正仿宋_GBK" w:cs="Times New Roman"/>
          <w:b/>
          <w:sz w:val="32"/>
          <w:szCs w:val="32"/>
        </w:rPr>
      </w:pPr>
      <w:r>
        <w:rPr>
          <w:rFonts w:hint="eastAsia" w:ascii="方正仿宋_GBK" w:hAnsi="Times New Roman" w:eastAsia="方正仿宋_GBK"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8"/>
        <w:tblW w:w="9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59"/>
        <w:gridCol w:w="1134"/>
        <w:gridCol w:w="1276"/>
        <w:gridCol w:w="30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01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continue"/>
            <w:shd w:val="clear" w:color="auto" w:fill="auto"/>
            <w:vAlign w:val="center"/>
          </w:tcPr>
          <w:p>
            <w:pPr>
              <w:spacing w:line="300" w:lineRule="exact"/>
              <w:jc w:val="left"/>
              <w:outlineLvl w:val="0"/>
            </w:pPr>
          </w:p>
        </w:tc>
        <w:tc>
          <w:tcPr>
            <w:tcW w:w="1134"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3013" w:type="dxa"/>
            <w:vMerge w:val="continue"/>
            <w:shd w:val="clear" w:color="auto" w:fill="auto"/>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7" w:hRule="atLeast"/>
          <w:jc w:val="center"/>
        </w:trPr>
        <w:tc>
          <w:tcPr>
            <w:tcW w:w="435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shd w:val="clear" w:color="auto" w:fill="auto"/>
            <w:vAlign w:val="center"/>
          </w:tcPr>
          <w:p>
            <w:pPr>
              <w:spacing w:line="300" w:lineRule="exact"/>
              <w:jc w:val="center"/>
              <w:rPr>
                <w:rFonts w:ascii="方正书宋_GBK" w:eastAsia="方正书宋_GBK"/>
                <w:b/>
              </w:rPr>
            </w:pPr>
          </w:p>
        </w:tc>
        <w:tc>
          <w:tcPr>
            <w:tcW w:w="1276" w:type="dxa"/>
            <w:shd w:val="clear" w:color="auto" w:fill="auto"/>
            <w:vAlign w:val="center"/>
          </w:tcPr>
          <w:p>
            <w:pPr>
              <w:spacing w:line="300" w:lineRule="exact"/>
              <w:jc w:val="center"/>
              <w:rPr>
                <w:rFonts w:ascii="方正书宋_GBK" w:eastAsia="方正书宋_GBK"/>
                <w:b/>
              </w:rPr>
            </w:pPr>
          </w:p>
        </w:tc>
        <w:tc>
          <w:tcPr>
            <w:tcW w:w="3013" w:type="dxa"/>
            <w:shd w:val="clear" w:color="auto" w:fill="auto"/>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1" w:hRule="atLeast"/>
          <w:jc w:val="center"/>
        </w:trPr>
        <w:tc>
          <w:tcPr>
            <w:tcW w:w="43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石家庄市鹿泉区行政审批局</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行政</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正科级</w:t>
            </w:r>
          </w:p>
        </w:tc>
        <w:tc>
          <w:tcPr>
            <w:tcW w:w="301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7" w:hRule="atLeast"/>
          <w:jc w:val="center"/>
        </w:trPr>
        <w:tc>
          <w:tcPr>
            <w:tcW w:w="43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石家庄市鹿泉区行政审批服务中心</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股级</w:t>
            </w:r>
          </w:p>
        </w:tc>
        <w:tc>
          <w:tcPr>
            <w:tcW w:w="301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bl>
    <w:p>
      <w:pPr>
        <w:ind w:firstLine="640"/>
        <w:rPr>
          <w:rFonts w:ascii="黑体" w:hAnsi="黑体" w:eastAsia="黑体" w:cs="Times New Roman"/>
          <w:sz w:val="32"/>
          <w:szCs w:val="32"/>
        </w:rPr>
      </w:pPr>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按照预算管理有关规定，目前我区部门预算的编制实行综合预算管理，即全部收入和支出都反映在预算中。鹿泉区行政审批局及所属单位所有收支都包含在部门预算中。</w:t>
      </w:r>
    </w:p>
    <w:p>
      <w:pPr>
        <w:ind w:firstLine="640" w:firstLineChars="200"/>
        <w:rPr>
          <w:rFonts w:ascii="仿宋" w:hAnsi="仿宋" w:eastAsia="仿宋" w:cs="仿宋"/>
          <w:sz w:val="32"/>
          <w:szCs w:val="32"/>
        </w:rPr>
      </w:pPr>
      <w:r>
        <w:rPr>
          <w:rFonts w:hint="eastAsia" w:ascii="仿宋" w:hAnsi="仿宋" w:eastAsia="仿宋" w:cs="仿宋"/>
          <w:sz w:val="32"/>
          <w:szCs w:val="32"/>
        </w:rPr>
        <w:t>1、收入说明</w:t>
      </w:r>
    </w:p>
    <w:p>
      <w:pPr>
        <w:ind w:firstLine="640" w:firstLineChars="200"/>
        <w:rPr>
          <w:rFonts w:ascii="仿宋" w:hAnsi="仿宋" w:eastAsia="仿宋" w:cs="仿宋"/>
          <w:sz w:val="32"/>
          <w:szCs w:val="32"/>
        </w:rPr>
      </w:pPr>
      <w:r>
        <w:rPr>
          <w:rFonts w:hint="eastAsia" w:ascii="仿宋" w:hAnsi="仿宋" w:eastAsia="仿宋" w:cs="仿宋"/>
          <w:sz w:val="32"/>
          <w:szCs w:val="32"/>
        </w:rPr>
        <w:t>反映本部门当年全部收入。2019年预算收入2585.84万元，其中：一般公共预算收入2585.84万元，基金预算收入0万元，财政专户核拨收入0万元，其他来源收入0万元。</w:t>
      </w:r>
    </w:p>
    <w:p>
      <w:pPr>
        <w:ind w:firstLine="640" w:firstLineChars="200"/>
        <w:rPr>
          <w:rFonts w:ascii="仿宋" w:hAnsi="仿宋" w:eastAsia="仿宋" w:cs="仿宋"/>
          <w:sz w:val="32"/>
          <w:szCs w:val="32"/>
        </w:rPr>
      </w:pPr>
      <w:r>
        <w:rPr>
          <w:rFonts w:hint="eastAsia" w:ascii="仿宋" w:hAnsi="仿宋" w:eastAsia="仿宋" w:cs="仿宋"/>
          <w:sz w:val="32"/>
          <w:szCs w:val="32"/>
        </w:rPr>
        <w:t>2、支出说明</w:t>
      </w:r>
    </w:p>
    <w:p>
      <w:pPr>
        <w:ind w:firstLine="640" w:firstLineChars="200"/>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鹿泉区行政审批局年度部门预算中支出预算的总体情况。2019年支出预算2585.84万元，其中基本支出899.43万元，包括人员经费612.99万元和日常公用经费286.44万元；项目支出1686.41万元，都是本级支出，主要为委托投资咨询评估费用、办公楼租赁费、鹿泉区市民服务中心立体车库建设项目、办公楼三四层装修费等。</w:t>
      </w:r>
    </w:p>
    <w:p>
      <w:pPr>
        <w:ind w:firstLine="640" w:firstLineChars="200"/>
        <w:rPr>
          <w:rFonts w:ascii="仿宋" w:hAnsi="仿宋" w:eastAsia="仿宋" w:cs="仿宋"/>
          <w:sz w:val="32"/>
          <w:szCs w:val="32"/>
        </w:rPr>
      </w:pPr>
      <w:r>
        <w:rPr>
          <w:rFonts w:hint="eastAsia" w:ascii="仿宋" w:hAnsi="仿宋" w:eastAsia="仿宋" w:cs="仿宋"/>
          <w:sz w:val="32"/>
          <w:szCs w:val="32"/>
        </w:rPr>
        <w:t>3、比上年增减情况</w:t>
      </w:r>
    </w:p>
    <w:p>
      <w:pPr>
        <w:ind w:firstLine="640" w:firstLineChars="200"/>
        <w:rPr>
          <w:rFonts w:ascii="仿宋" w:hAnsi="仿宋" w:eastAsia="仿宋" w:cs="仿宋"/>
          <w:sz w:val="32"/>
          <w:szCs w:val="32"/>
        </w:rPr>
      </w:pPr>
      <w:r>
        <w:rPr>
          <w:rFonts w:hint="eastAsia" w:ascii="仿宋" w:hAnsi="仿宋" w:eastAsia="仿宋" w:cs="仿宋"/>
          <w:sz w:val="32"/>
          <w:szCs w:val="32"/>
        </w:rPr>
        <w:t>2019年预算收支安排2585.84万元，较2018年预算增加1654.49万元，其中：基本支出增加747.95万元，主要为增加人员经费支出和日常公用经费支出；项目支出增加906.54万元，主要为增加办公楼租赁费、鹿泉区市民服务中心立体车库建设项目、办公楼装修费等。</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ind w:firstLine="640" w:firstLineChars="200"/>
        <w:rPr>
          <w:rFonts w:ascii="仿宋" w:hAnsi="仿宋" w:eastAsia="仿宋" w:cs="仿宋"/>
          <w:sz w:val="32"/>
          <w:szCs w:val="32"/>
        </w:rPr>
      </w:pPr>
      <w:r>
        <w:rPr>
          <w:rFonts w:hint="eastAsia" w:ascii="仿宋" w:hAnsi="仿宋" w:eastAsia="仿宋" w:cs="仿宋"/>
          <w:sz w:val="32"/>
          <w:szCs w:val="32"/>
        </w:rPr>
        <w:t>2019年，我局机关运行经费共计安排286.44万元，主要用于我局办公费、办公楼的日常维修、办公楼水电费、办公楼物业管理费等日常运行支出。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ind w:firstLine="640" w:firstLineChars="200"/>
        <w:rPr>
          <w:rFonts w:ascii="仿宋" w:hAnsi="仿宋" w:eastAsia="仿宋" w:cs="仿宋"/>
          <w:sz w:val="32"/>
          <w:szCs w:val="32"/>
        </w:rPr>
      </w:pPr>
      <w:r>
        <w:rPr>
          <w:rFonts w:hint="eastAsia" w:ascii="仿宋" w:hAnsi="仿宋" w:eastAsia="仿宋" w:cs="仿宋"/>
          <w:sz w:val="32"/>
          <w:szCs w:val="32"/>
        </w:rPr>
        <w:t>2019年，我局财政拨款“三公”经费预算安排6.2万元，其中因公出国（境）费0万元；公务用车购置及运维费5.4万元（其中：公务用车购置费为0万元，公务用车运维费5.4万元)；公务接待费0.8万元。与2018年相比减少0.8万元，减少的主要原因是：减少了公务用车运维费。</w:t>
      </w:r>
    </w:p>
    <w:p>
      <w:pPr>
        <w:ind w:firstLine="640"/>
        <w:rPr>
          <w:rFonts w:ascii="黑体" w:hAnsi="黑体" w:eastAsia="黑体" w:cs="Times New Roman"/>
          <w:sz w:val="32"/>
          <w:szCs w:val="32"/>
        </w:rPr>
      </w:pPr>
      <w:r>
        <w:rPr>
          <w:rFonts w:hint="eastAsia" w:ascii="黑体" w:hAnsi="黑体" w:eastAsia="黑体" w:cs="Times New Roman"/>
          <w:sz w:val="32"/>
          <w:szCs w:val="32"/>
        </w:rPr>
        <w:t>五、绩效预算信息</w:t>
      </w:r>
    </w:p>
    <w:p>
      <w:pPr>
        <w:ind w:firstLine="640" w:firstLineChars="200"/>
        <w:jc w:val="left"/>
        <w:rPr>
          <w:rFonts w:ascii="Times New Roman" w:hAnsi="Times New Roman" w:eastAsia="方正仿宋_GBK" w:cs="Times New Roman"/>
          <w:b/>
          <w:sz w:val="32"/>
          <w:szCs w:val="32"/>
        </w:rPr>
      </w:pPr>
      <w:bookmarkStart w:id="0" w:name="_Toc471398463"/>
      <w:r>
        <w:rPr>
          <w:rFonts w:ascii="Times New Roman" w:hAnsi="Times New Roman" w:eastAsia="方正仿宋_GBK" w:cs="Times New Roman"/>
          <w:b/>
          <w:sz w:val="32"/>
          <w:szCs w:val="32"/>
        </w:rPr>
        <w:t>总体绩效目标：</w:t>
      </w:r>
    </w:p>
    <w:p>
      <w:pPr>
        <w:ind w:firstLine="640" w:firstLineChars="200"/>
        <w:rPr>
          <w:rFonts w:ascii="仿宋" w:hAnsi="仿宋" w:eastAsia="仿宋" w:cs="仿宋"/>
          <w:sz w:val="32"/>
          <w:szCs w:val="32"/>
        </w:rPr>
      </w:pPr>
      <w:r>
        <w:rPr>
          <w:rFonts w:ascii="仿宋" w:hAnsi="仿宋" w:eastAsia="仿宋" w:cs="仿宋"/>
          <w:sz w:val="32"/>
          <w:szCs w:val="32"/>
        </w:rPr>
        <w:t>（一）积极构建“不见面”审批模式。持续推进“互联网＋政务服务”建设，除不宜上网事项外，100%开通网上办事服务，实现全流程网上可办，让更多事项可网上预约、网上办理、网上出证。全面实行电子化审批模式，增强自助服务设施，健全自助服务功能，完善手机审批终端，推进办事移动化，助力群众办事“零上门”、“零跑腿”。</w:t>
      </w:r>
    </w:p>
    <w:p>
      <w:pPr>
        <w:ind w:firstLine="640" w:firstLineChars="200"/>
        <w:rPr>
          <w:rFonts w:ascii="仿宋" w:hAnsi="仿宋" w:eastAsia="仿宋" w:cs="仿宋"/>
          <w:sz w:val="32"/>
          <w:szCs w:val="32"/>
        </w:rPr>
      </w:pPr>
      <w:r>
        <w:rPr>
          <w:rFonts w:ascii="仿宋" w:hAnsi="仿宋" w:eastAsia="仿宋" w:cs="仿宋"/>
          <w:sz w:val="32"/>
          <w:szCs w:val="32"/>
        </w:rPr>
        <w:t>（二）大力推行“一窗受理”机制。按照“前台综合受理、后台分类审批、综合窗口出件”原则，探索设置“综合服务窗口”，首先在各业务科室设立综合窗口，推行一窗对外收出件，办事群众和审批人员不见面，强化受理人员业务技能培训，条件成熟后逐步实现全局的“一窗受理”。</w:t>
      </w:r>
    </w:p>
    <w:p>
      <w:pPr>
        <w:ind w:firstLine="640" w:firstLineChars="200"/>
        <w:rPr>
          <w:rFonts w:ascii="仿宋" w:hAnsi="仿宋" w:eastAsia="仿宋" w:cs="仿宋"/>
          <w:sz w:val="32"/>
          <w:szCs w:val="32"/>
        </w:rPr>
      </w:pPr>
      <w:r>
        <w:rPr>
          <w:rFonts w:ascii="仿宋" w:hAnsi="仿宋" w:eastAsia="仿宋" w:cs="仿宋"/>
          <w:sz w:val="32"/>
          <w:szCs w:val="32"/>
        </w:rPr>
        <w:t>（三）健全基层便民服务体系。强化镇、村便民服务中心建设，梳理制定审批服务事项下放清单，将一些简单的审批服务事项下放到乡镇直至村级便民服务中心，实现群众办事“就近办”。加强业务指导，通过组织培训、网络办公、现场演示、电话咨询等方式，全程指导镇、村做好事项办理工作，确保审批事项“放的下、接的住、办的好”。</w:t>
      </w:r>
    </w:p>
    <w:p>
      <w:pPr>
        <w:ind w:firstLine="640" w:firstLineChars="200"/>
        <w:rPr>
          <w:rFonts w:ascii="仿宋" w:hAnsi="仿宋" w:eastAsia="仿宋" w:cs="仿宋"/>
          <w:sz w:val="32"/>
          <w:szCs w:val="32"/>
        </w:rPr>
      </w:pPr>
      <w:r>
        <w:rPr>
          <w:rFonts w:ascii="仿宋" w:hAnsi="仿宋" w:eastAsia="仿宋" w:cs="仿宋"/>
          <w:sz w:val="32"/>
          <w:szCs w:val="32"/>
        </w:rPr>
        <w:t>（四）优化提升市民服务中心功能。除上级明确不宜进驻的事项外，推动户籍、出入境、公积金管理等审批服务事项原则上全部进驻市民服务中心，为办理群众提供“一站式”服务。同时，以石家庄市行政审批标准化试点建设为契机，全面梳理制定标准化规范化的办事指南，形成统一规范的办事体系，为群众和企业办事提供明确清晰的指引。</w:t>
      </w:r>
    </w:p>
    <w:p>
      <w:pPr>
        <w:ind w:firstLine="640" w:firstLineChars="200"/>
        <w:rPr>
          <w:rFonts w:ascii="仿宋" w:hAnsi="仿宋" w:eastAsia="仿宋" w:cs="仿宋"/>
          <w:sz w:val="32"/>
          <w:szCs w:val="32"/>
        </w:rPr>
      </w:pPr>
      <w:r>
        <w:rPr>
          <w:rFonts w:ascii="仿宋" w:hAnsi="仿宋" w:eastAsia="仿宋" w:cs="仿宋"/>
          <w:sz w:val="32"/>
          <w:szCs w:val="32"/>
        </w:rPr>
        <w:t>（五）攻坚投资项目审批改革。全力推动投资项目并联审批平台在部门间的应用，加快完善平台功能，以提高政企工作效率，尤其是政府部门的办事效率；同时强化企业法人法律责任，对审批各环节全程留痕，努力厘清政府与企业的责任。彻底解决投资项目审批慢、企业部门责任不清的问题，实现从立项到办理施工许可审批全部流程68个工作日目标。推动建设工程联合勘验、联合审批、联合测绘、联合审图，探索实施投资项目“多规合一”， 将国民经济和社会发展规划、城乡规划、土地利用规划、生态环境保护规划等多个规划融合到一个区域上，实现一本规划、一张蓝图，进一步压缩投资项目审批时间。</w:t>
      </w:r>
    </w:p>
    <w:p>
      <w:pPr>
        <w:ind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职责分类绩效目标：</w:t>
      </w:r>
    </w:p>
    <w:p>
      <w:pPr>
        <w:spacing w:line="500" w:lineRule="exact"/>
        <w:ind w:firstLine="560"/>
        <w:rPr>
          <w:rFonts w:ascii="仿宋" w:hAnsi="仿宋" w:eastAsia="仿宋" w:cs="仿宋"/>
          <w:sz w:val="32"/>
          <w:szCs w:val="32"/>
        </w:rPr>
      </w:pPr>
      <w:r>
        <w:rPr>
          <w:rFonts w:ascii="仿宋" w:hAnsi="仿宋" w:eastAsia="仿宋" w:cs="仿宋"/>
          <w:sz w:val="32"/>
          <w:szCs w:val="32"/>
        </w:rPr>
        <w:t>（一）办理政务服务事项</w:t>
      </w:r>
    </w:p>
    <w:p>
      <w:pPr>
        <w:spacing w:line="500" w:lineRule="exact"/>
        <w:ind w:firstLine="560"/>
        <w:rPr>
          <w:rFonts w:ascii="仿宋" w:hAnsi="仿宋" w:eastAsia="仿宋" w:cs="仿宋"/>
          <w:sz w:val="32"/>
          <w:szCs w:val="32"/>
        </w:rPr>
      </w:pPr>
      <w:r>
        <w:rPr>
          <w:rFonts w:ascii="仿宋" w:hAnsi="仿宋" w:eastAsia="仿宋" w:cs="仿宋"/>
          <w:sz w:val="32"/>
          <w:szCs w:val="32"/>
        </w:rPr>
        <w:t>以“公平、公正、廉洁、高效、”为目标，将审批事项标准化，审批流程标准化，网上服务标准化，确保每项业务依法依规，符合标准。</w:t>
      </w:r>
    </w:p>
    <w:p>
      <w:pPr>
        <w:spacing w:line="500" w:lineRule="exact"/>
        <w:ind w:firstLine="560"/>
        <w:rPr>
          <w:rFonts w:ascii="仿宋" w:hAnsi="仿宋" w:eastAsia="仿宋" w:cs="仿宋"/>
          <w:sz w:val="32"/>
          <w:szCs w:val="32"/>
        </w:rPr>
      </w:pPr>
      <w:r>
        <w:rPr>
          <w:rFonts w:ascii="仿宋" w:hAnsi="仿宋" w:eastAsia="仿宋" w:cs="仿宋"/>
          <w:sz w:val="32"/>
          <w:szCs w:val="32"/>
        </w:rPr>
        <w:t>(二）政策法规管理服务监督</w:t>
      </w:r>
    </w:p>
    <w:p>
      <w:pPr>
        <w:spacing w:line="500" w:lineRule="exact"/>
        <w:ind w:firstLine="560"/>
        <w:rPr>
          <w:rFonts w:ascii="仿宋" w:hAnsi="仿宋" w:eastAsia="仿宋" w:cs="仿宋"/>
          <w:sz w:val="32"/>
          <w:szCs w:val="32"/>
        </w:rPr>
      </w:pPr>
      <w:r>
        <w:rPr>
          <w:rFonts w:ascii="仿宋" w:hAnsi="仿宋" w:eastAsia="仿宋" w:cs="仿宋"/>
          <w:sz w:val="32"/>
          <w:szCs w:val="32"/>
        </w:rPr>
        <w:t>及时完成各类勘验、论证、评估、检测、审查等工作，保证审批事项规范完成；确保法律保障，负责行政应诉，落实对应区审改办负责上级取消、下放行政审批事项的衔接工作；严格各项审批程序和制度，在勘验检测数据的基础上保障审批的准确性，提高审批效率。推进“互联网+政务服务”建设，加快网上审批步伐。</w:t>
      </w:r>
    </w:p>
    <w:p>
      <w:pPr>
        <w:spacing w:line="500" w:lineRule="exact"/>
        <w:ind w:firstLine="560"/>
        <w:rPr>
          <w:rFonts w:ascii="仿宋" w:hAnsi="仿宋" w:eastAsia="仿宋" w:cs="仿宋"/>
          <w:sz w:val="32"/>
          <w:szCs w:val="32"/>
        </w:rPr>
      </w:pPr>
      <w:r>
        <w:rPr>
          <w:rFonts w:ascii="仿宋" w:hAnsi="仿宋" w:eastAsia="仿宋" w:cs="仿宋"/>
          <w:sz w:val="32"/>
          <w:szCs w:val="32"/>
        </w:rPr>
        <w:t>（三）综合事务管理</w:t>
      </w:r>
    </w:p>
    <w:p>
      <w:pPr>
        <w:spacing w:line="500" w:lineRule="exact"/>
        <w:ind w:firstLine="560"/>
        <w:rPr>
          <w:rFonts w:ascii="仿宋" w:hAnsi="仿宋" w:eastAsia="仿宋" w:cs="仿宋"/>
          <w:sz w:val="32"/>
          <w:szCs w:val="32"/>
        </w:rPr>
      </w:pPr>
      <w:r>
        <w:rPr>
          <w:rFonts w:ascii="仿宋" w:hAnsi="仿宋" w:eastAsia="仿宋" w:cs="仿宋"/>
          <w:sz w:val="32"/>
          <w:szCs w:val="32"/>
        </w:rPr>
        <w:t>保障市民服务中心、机关大楼和政务大厅正常运行，提供优质办公服务，包括开展人员宣传、教育、培训、考察工作，开展文化建设工作，对办公场所等设施进行运行维护，进行设备购置，办公用品采购，证照、资料、宣传展牌等制作，场所租赁、水电、中央空调 、电梯等物业管理,组织节能减排、车辆购置、运行与管理、设备购置和管理、机关保安、保洁和环境养护、</w:t>
      </w:r>
      <w:r>
        <w:rPr>
          <w:rFonts w:hint="eastAsia" w:ascii="仿宋" w:hAnsi="仿宋" w:eastAsia="仿宋" w:cs="仿宋"/>
          <w:sz w:val="32"/>
          <w:szCs w:val="32"/>
          <w:lang w:eastAsia="zh-CN"/>
        </w:rPr>
        <w:t>邮电通信</w:t>
      </w:r>
      <w:r>
        <w:rPr>
          <w:rFonts w:ascii="仿宋" w:hAnsi="仿宋" w:eastAsia="仿宋" w:cs="仿宋"/>
          <w:sz w:val="32"/>
          <w:szCs w:val="32"/>
        </w:rPr>
        <w:t>、各类电子软件及服务、专网专线等后勤服务；开展各类专项活动，完善市民服务中心功能，提升大厅及工作环境，完善规章制度，规范工作流程，为各项政务服务工作做好保障。</w:t>
      </w:r>
    </w:p>
    <w:p>
      <w:pPr>
        <w:ind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部门职责及工作活动绩效目标指标：</w:t>
      </w:r>
    </w:p>
    <w:p>
      <w:pPr>
        <w:jc w:val="center"/>
        <w:outlineLvl w:val="0"/>
        <w:rPr>
          <w:rFonts w:ascii="方正小标宋_GBK" w:hAnsi="Times New Roman" w:eastAsia="方正小标宋_GBK" w:cs="Times New Roman"/>
          <w:sz w:val="32"/>
          <w:szCs w:val="24"/>
        </w:rPr>
      </w:pPr>
      <w:r>
        <w:rPr>
          <w:rFonts w:hint="eastAsia" w:ascii="方正小标宋_GBK" w:hAnsi="Times New Roman" w:eastAsia="方正小标宋_GBK" w:cs="Times New Roman"/>
          <w:sz w:val="32"/>
          <w:szCs w:val="24"/>
        </w:rPr>
        <w:t>部门职责-工作活动绩效目标</w:t>
      </w:r>
      <w:bookmarkEnd w:id="0"/>
    </w:p>
    <w:p>
      <w:pPr>
        <w:ind w:firstLine="640" w:firstLineChars="200"/>
        <w:jc w:val="left"/>
        <w:rPr>
          <w:rFonts w:ascii="Times New Roman" w:hAnsi="Times New Roman" w:eastAsia="方正仿宋_GBK" w:cs="Times New Roman"/>
          <w:b/>
          <w:sz w:val="32"/>
          <w:szCs w:val="32"/>
        </w:rPr>
      </w:pPr>
    </w:p>
    <w:tbl>
      <w:tblPr>
        <w:tblStyle w:val="8"/>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320</w:t>
            </w:r>
            <w:r>
              <w:rPr>
                <w:rFonts w:hint="eastAsia" w:ascii="方正小标宋_GBK" w:eastAsia="方正小标宋_GBK"/>
                <w:sz w:val="24"/>
              </w:rPr>
              <w:t>石家庄市鹿泉区行政审批局</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一、行政审批综合业务开展和机关事务的管理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1656.41</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行政审批的政策法规宣传、培训、落实和审批法律依据工作；负责行政审批流程再造工作；负责牵头组织行政审批事项的勘察、论证、评估、检验、检测、认证、审核、上报等相关工作；负责与政府各部门沟通对接；负责行政复议及行政应诉工作；负责依法行政工作的监督监察；负责政务服务中心大厅和窗口日常管理工作、办公设施维护和后勤服务、物业管理；负责制定和完善本部门工作制度、工作程序以及行政审批专用章的使用和管理；负责行政审批事项网上审批运行等工作；负责本局劳务工作人员招录培训监督；负责开展人员宣传、教育、培训、考察工作，进行设备购置，办公用品采购，证照、资料、展牌等制作；负责开展日常行政事务；负责办理人大代表建议和政协委员提案；承办区委、区政府交办的其他事项；本单位本系秕年度开展的工程建设、专项活动等。负责公共资源交易中心日常办公、维护等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保障行政审批综合务开展和机关事务的基本运转；规范行政审批行为，优化审批流程，对行政审批行为进行监督检查。保障办公大楼日常工作运行，提供优质办公服务。</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、政策法规管理、服务、监督</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现场踏勘工作；负责组织专家进行专项论证、评估；负责政策法规的宣传、推动和实施工作；负责组织接受上级部门依法考核工作；负责行政应诉，对应区审改办负责上级取消、下放行政审批事项的衔接落实工作。</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通过政策法规宣传使窗口业务人员及时掌握各类法律、法规，依法依规办理各种审批事项</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承接完成率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各项踏勘业务工作任务完成率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年宣传次数</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次</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r>
              <w:rPr>
                <w:rFonts w:hint="eastAsia" w:ascii="方正书宋_GBK" w:eastAsia="方正书宋_GBK"/>
              </w:rPr>
              <w:t>次</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次</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1556.41</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各项建设，完成各项工作任务，保障机关、政务大厅和市民服务中心正常运转，提供优质服务。包括开展人员宣传、教育、培训、考察、协办代办绩效考核工作，开展文化建设工作，对办公场所等设施进行运行维护，进行设备购置，办公用品采购，证照、资料、宣传展牌等制作，场所租赁、水电、中央空调</w:t>
            </w:r>
            <w:r>
              <w:rPr>
                <w:rFonts w:ascii="方正书宋_GBK" w:eastAsia="方正书宋_GBK"/>
              </w:rPr>
              <w:t xml:space="preserve"> </w:t>
            </w:r>
            <w:r>
              <w:rPr>
                <w:rFonts w:hint="eastAsia" w:ascii="方正书宋_GBK" w:eastAsia="方正书宋_GBK"/>
              </w:rPr>
              <w:t>、电梯等物业管理</w:t>
            </w:r>
            <w:r>
              <w:rPr>
                <w:rFonts w:ascii="方正书宋_GBK" w:eastAsia="方正书宋_GBK"/>
              </w:rPr>
              <w:t>,</w:t>
            </w:r>
            <w:r>
              <w:rPr>
                <w:rFonts w:hint="eastAsia" w:ascii="方正书宋_GBK" w:eastAsia="方正书宋_GBK"/>
              </w:rPr>
              <w:t>组织节能减排、车辆购置、运行与管理、机关保安、保洁和环境养护等后勤服务；负责包括文秘机要、保密管理、统计宣传、</w:t>
            </w:r>
            <w:r>
              <w:rPr>
                <w:rFonts w:hint="eastAsia" w:ascii="方正书宋_GBK" w:eastAsia="方正书宋_GBK"/>
                <w:lang w:eastAsia="zh-CN"/>
              </w:rPr>
              <w:t>邮电通信</w:t>
            </w:r>
            <w:bookmarkStart w:id="2" w:name="_GoBack"/>
            <w:bookmarkEnd w:id="2"/>
            <w:r>
              <w:rPr>
                <w:rFonts w:hint="eastAsia" w:ascii="方正书宋_GBK" w:eastAsia="方正书宋_GBK"/>
              </w:rPr>
              <w:t>、专网专线、信访党建、财务人事、后勤接待、安全生产、应急管理、党报党刊征订、工青妇活动、垃圾分类、党内帮扶、劳务费等日常工作；会议组织、政务督办、档案管理、政务信息、政务公开、对外宣传、调研活动等行政事务；负责办理人大代表建议和政协委员提案；承办区委、区政府交办的其他事项；负责立体车库工程的手续办理、设计、评估、监理、检测，各类电子软件及相关服务，审批系统、信息化平台，专家评估数据库，三级平台维护等工作。文明城市、卫生城市创建、退役军人管理服务、人才绿卡服务，指导基层便民服务体系建设。负责公共资源交易中心日常办公、维护等工作。</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政务大厅办公环境整洁卫生、工作秩序安全有序</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故障排除率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故障修复响应时间（小时）</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小时</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小时</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w:t>
            </w:r>
            <w:r>
              <w:rPr>
                <w:rFonts w:hint="eastAsia" w:ascii="方正书宋_GBK" w:eastAsia="方正书宋_GBK"/>
              </w:rPr>
              <w:t>小时</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w:t>
            </w:r>
            <w:r>
              <w:rPr>
                <w:rFonts w:hint="eastAsia" w:ascii="方正书宋_GBK" w:eastAsia="方正书宋_GBK"/>
              </w:rPr>
              <w:t>小时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窗口工作人员及办事群众满意率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二、办理政务服务事项</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办理投资项目、企业设立、文教卫计、社会事务、涉农事务、交通环保等方面</w:t>
            </w:r>
            <w:r>
              <w:rPr>
                <w:rFonts w:ascii="方正书宋_GBK" w:eastAsia="方正书宋_GBK"/>
              </w:rPr>
              <w:t>179</w:t>
            </w:r>
            <w:r>
              <w:rPr>
                <w:rFonts w:hint="eastAsia" w:ascii="方正书宋_GBK" w:eastAsia="方正书宋_GBK"/>
              </w:rPr>
              <w:t>项政务服务事项。</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依法依规开展</w:t>
            </w:r>
            <w:r>
              <w:rPr>
                <w:rFonts w:ascii="方正书宋_GBK" w:eastAsia="方正书宋_GBK"/>
              </w:rPr>
              <w:t>179</w:t>
            </w:r>
            <w:r>
              <w:rPr>
                <w:rFonts w:hint="eastAsia" w:ascii="方正书宋_GBK" w:eastAsia="方正书宋_GBK"/>
              </w:rPr>
              <w:t>项政务服务事项</w:t>
            </w:r>
            <w:r>
              <w:rPr>
                <w:rFonts w:ascii="方正书宋_GBK" w:eastAsia="方正书宋_GBK"/>
              </w:rPr>
              <w:t>,</w:t>
            </w:r>
            <w:r>
              <w:rPr>
                <w:rFonts w:hint="eastAsia" w:ascii="方正书宋_GBK" w:eastAsia="方正书宋_GBK"/>
              </w:rPr>
              <w:t>规范行政审批行为，优化审批流程，提高审批效率。</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、开展投资项目审批</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投资项目联合审批的组织协调工作；负责固定资产投资项目核准、节能评估和审查；负责防空地下室建设审批、验收备案；负责建设（含市政）工程施工许可和商品房预售许可证的审批；负责建设工程直接发包批转和合同备案、招标文件备案；负责建设工程竣工验收（分建筑和市政）和建设工程质量监督、建设工程安全生产监督备案；负责建设工程招投标情况书面报告；负责房地产开发企业资质审批（四级、暂定级）；负责燃气设施改动审批。</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优化审批环节、再造审批流程、加快手续办理，提高审批效率</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审批事项登记受理办结率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民主评议和测评满意度</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审批事项受理与办结的比率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、开展企业、个体注册登记及食品、药品、特种设备、计量标准器具、危险化学品、烟花爆竹证件的审批</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企业、个体工商户的注册登记；负责企业名称预先核准登记；负责《食品经营许可证》的核发、变更、注销和换发；负责《药品经营（连锁、零售）许可证》的核发、变更、注销和换发；负责特种设备使用登记；负责计量标准器具核准（新建计量标准考核和计量标准复查考核）；负责《烟花爆竹经营（批发、零售）许可证》的核发；负责《危险化学品经营许可证》（无储存）的核发、变更、注销。</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审批事项标准化、审批流程标准化、网上服务标准化</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审批事项登记受理办结率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民主评议和测评满意度</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审批事项受理与办结的比率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、开展文教卫计审批</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负责实施中等及中等以下学历教育、学前教育、自学考试助学及其他文化教育的学校设立、变更和终止审批</w:t>
            </w:r>
            <w:r>
              <w:rPr>
                <w:rFonts w:ascii="方正书宋_GBK" w:eastAsia="方正书宋_GBK"/>
              </w:rPr>
              <w:t xml:space="preserve">; </w:t>
            </w:r>
            <w:r>
              <w:rPr>
                <w:rFonts w:hint="eastAsia" w:ascii="方正书宋_GBK" w:eastAsia="方正书宋_GBK"/>
              </w:rPr>
              <w:t>负责放射源诊疗技术和医用辐射机构许可</w:t>
            </w:r>
            <w:r>
              <w:rPr>
                <w:rFonts w:ascii="方正书宋_GBK" w:eastAsia="方正书宋_GBK"/>
              </w:rPr>
              <w:t>;</w:t>
            </w:r>
            <w:r>
              <w:rPr>
                <w:rFonts w:hint="eastAsia" w:ascii="方正书宋_GBK" w:eastAsia="方正书宋_GBK"/>
              </w:rPr>
              <w:t>负责公共场所卫生许可</w:t>
            </w:r>
            <w:r>
              <w:rPr>
                <w:rFonts w:ascii="方正书宋_GBK" w:eastAsia="方正书宋_GBK"/>
              </w:rPr>
              <w:t>;</w:t>
            </w:r>
            <w:r>
              <w:rPr>
                <w:rFonts w:hint="eastAsia" w:ascii="方正书宋_GBK" w:eastAsia="方正书宋_GBK"/>
              </w:rPr>
              <w:t>负责饮用水供水单位卫生许可</w:t>
            </w:r>
            <w:r>
              <w:rPr>
                <w:rFonts w:ascii="方正书宋_GBK" w:eastAsia="方正书宋_GBK"/>
              </w:rPr>
              <w:t>;</w:t>
            </w:r>
            <w:r>
              <w:rPr>
                <w:rFonts w:hint="eastAsia" w:ascii="方正书宋_GBK" w:eastAsia="方正书宋_GBK"/>
              </w:rPr>
              <w:t>负责医疗机构设置审批（含港澳台，外商独资除外）</w:t>
            </w:r>
            <w:r>
              <w:rPr>
                <w:rFonts w:ascii="方正书宋_GBK" w:eastAsia="方正书宋_GBK"/>
              </w:rPr>
              <w:t>;</w:t>
            </w:r>
            <w:r>
              <w:rPr>
                <w:rFonts w:hint="eastAsia" w:ascii="方正书宋_GBK" w:eastAsia="方正书宋_GBK"/>
              </w:rPr>
              <w:t>负责医疗机构执业登记（人体器官移植除外）</w:t>
            </w:r>
            <w:r>
              <w:rPr>
                <w:rFonts w:ascii="方正书宋_GBK" w:eastAsia="方正书宋_GBK"/>
              </w:rPr>
              <w:t>;</w:t>
            </w:r>
            <w:r>
              <w:rPr>
                <w:rFonts w:hint="eastAsia" w:ascii="方正书宋_GBK" w:eastAsia="方正书宋_GBK"/>
              </w:rPr>
              <w:t>负责医师执业注册</w:t>
            </w:r>
            <w:r>
              <w:rPr>
                <w:rFonts w:ascii="方正书宋_GBK" w:eastAsia="方正书宋_GBK"/>
              </w:rPr>
              <w:t>;</w:t>
            </w:r>
            <w:r>
              <w:rPr>
                <w:rFonts w:hint="eastAsia" w:ascii="方正书宋_GBK" w:eastAsia="方正书宋_GBK"/>
              </w:rPr>
              <w:t>负责乡村医生执业注册</w:t>
            </w:r>
            <w:r>
              <w:rPr>
                <w:rFonts w:ascii="方正书宋_GBK" w:eastAsia="方正书宋_GBK"/>
              </w:rPr>
              <w:t>;</w:t>
            </w:r>
            <w:r>
              <w:rPr>
                <w:rFonts w:hint="eastAsia" w:ascii="方正书宋_GBK" w:eastAsia="方正书宋_GBK"/>
              </w:rPr>
              <w:t>负责母婴保健技术服务机构执业许可</w:t>
            </w:r>
            <w:r>
              <w:rPr>
                <w:rFonts w:ascii="方正书宋_GBK" w:eastAsia="方正书宋_GBK"/>
              </w:rPr>
              <w:t>;</w:t>
            </w:r>
            <w:r>
              <w:rPr>
                <w:rFonts w:hint="eastAsia" w:ascii="方正书宋_GBK" w:eastAsia="方正书宋_GBK"/>
              </w:rPr>
              <w:t>负责母婴保健服务人员资格认定</w:t>
            </w:r>
            <w:r>
              <w:rPr>
                <w:rFonts w:ascii="方正书宋_GBK" w:eastAsia="方正书宋_GBK"/>
              </w:rPr>
              <w:t>;</w:t>
            </w:r>
            <w:r>
              <w:rPr>
                <w:rFonts w:hint="eastAsia" w:ascii="方正书宋_GBK" w:eastAsia="方正书宋_GBK"/>
              </w:rPr>
              <w:t>负责家庭接生员技术合格证书核发</w:t>
            </w:r>
            <w:r>
              <w:rPr>
                <w:rFonts w:ascii="方正书宋_GBK" w:eastAsia="方正书宋_GBK"/>
              </w:rPr>
              <w:t>;</w:t>
            </w:r>
            <w:r>
              <w:rPr>
                <w:rFonts w:hint="eastAsia" w:ascii="方正书宋_GBK" w:eastAsia="方正书宋_GBK"/>
              </w:rPr>
              <w:t>负责营业性演出审批</w:t>
            </w:r>
            <w:r>
              <w:rPr>
                <w:rFonts w:ascii="方正书宋_GBK" w:eastAsia="方正书宋_GBK"/>
              </w:rPr>
              <w:t>;</w:t>
            </w:r>
            <w:r>
              <w:rPr>
                <w:rFonts w:hint="eastAsia" w:ascii="方正书宋_GBK" w:eastAsia="方正书宋_GBK"/>
              </w:rPr>
              <w:t>负责娱乐场所设立审批</w:t>
            </w:r>
            <w:r>
              <w:rPr>
                <w:rFonts w:ascii="方正书宋_GBK" w:eastAsia="方正书宋_GBK"/>
              </w:rPr>
              <w:t>;</w:t>
            </w:r>
            <w:r>
              <w:rPr>
                <w:rFonts w:hint="eastAsia" w:ascii="方正书宋_GBK" w:eastAsia="方正书宋_GBK"/>
              </w:rPr>
              <w:t>负责出版物零售单位和个体工商户设立、变更审批</w:t>
            </w:r>
            <w:r>
              <w:rPr>
                <w:rFonts w:ascii="方正书宋_GBK" w:eastAsia="方正书宋_GBK"/>
              </w:rPr>
              <w:t>;</w:t>
            </w:r>
            <w:r>
              <w:rPr>
                <w:rFonts w:hint="eastAsia" w:ascii="方正书宋_GBK" w:eastAsia="方正书宋_GBK"/>
              </w:rPr>
              <w:t>负责互联网上网服务营业场所经营单位设立审批</w:t>
            </w:r>
            <w:r>
              <w:rPr>
                <w:rFonts w:ascii="方正书宋_GBK" w:eastAsia="方正书宋_GBK"/>
              </w:rPr>
              <w:t>;</w:t>
            </w:r>
            <w:r>
              <w:rPr>
                <w:rFonts w:hint="eastAsia" w:ascii="方正书宋_GBK" w:eastAsia="方正书宋_GBK"/>
              </w:rPr>
              <w:t>负责电影放映单位设立审批</w:t>
            </w:r>
            <w:r>
              <w:rPr>
                <w:rFonts w:ascii="方正书宋_GBK" w:eastAsia="方正书宋_GBK"/>
              </w:rPr>
              <w:t>;</w:t>
            </w:r>
            <w:r>
              <w:rPr>
                <w:rFonts w:hint="eastAsia" w:ascii="方正书宋_GBK" w:eastAsia="方正书宋_GBK"/>
              </w:rPr>
              <w:t>负责除省直单位和宗教内容外的一次性内部资料性出版物的许可</w:t>
            </w:r>
            <w:r>
              <w:rPr>
                <w:rFonts w:ascii="方正书宋_GBK" w:eastAsia="方正书宋_GBK"/>
              </w:rPr>
              <w:t>;</w:t>
            </w:r>
            <w:r>
              <w:rPr>
                <w:rFonts w:hint="eastAsia" w:ascii="方正书宋_GBK" w:eastAsia="方正书宋_GBK"/>
              </w:rPr>
              <w:t>负责其他印刷品印刷经营企业及企业变更经营活动的许可</w:t>
            </w:r>
            <w:r>
              <w:rPr>
                <w:rFonts w:ascii="方正书宋_GBK" w:eastAsia="方正书宋_GBK"/>
              </w:rPr>
              <w:t>;</w:t>
            </w:r>
            <w:r>
              <w:rPr>
                <w:rFonts w:hint="eastAsia" w:ascii="方正书宋_GBK" w:eastAsia="方正书宋_GBK"/>
              </w:rPr>
              <w:t>负责单位内部设立印刷厂（所）的许可</w:t>
            </w:r>
            <w:r>
              <w:rPr>
                <w:rFonts w:ascii="方正书宋_GBK" w:eastAsia="方正书宋_GBK"/>
              </w:rPr>
              <w:t>;</w:t>
            </w:r>
            <w:r>
              <w:rPr>
                <w:rFonts w:hint="eastAsia" w:ascii="方正书宋_GBK" w:eastAsia="方正书宋_GBK"/>
              </w:rPr>
              <w:t>负责中外合作音像制品零售企业设立与变更的许可</w:t>
            </w:r>
            <w:r>
              <w:rPr>
                <w:rFonts w:ascii="方正书宋_GBK" w:eastAsia="方正书宋_GBK"/>
              </w:rPr>
              <w:t>;</w:t>
            </w:r>
            <w:r>
              <w:rPr>
                <w:rFonts w:hint="eastAsia" w:ascii="方正书宋_GBK" w:eastAsia="方正书宋_GBK"/>
              </w:rPr>
              <w:t>负责港澳投资者在内地投资设立合资、合作、独资经营的演出场所经营单位的许可</w:t>
            </w:r>
            <w:r>
              <w:rPr>
                <w:rFonts w:ascii="方正书宋_GBK" w:eastAsia="方正书宋_GBK"/>
              </w:rPr>
              <w:t>;</w:t>
            </w:r>
            <w:r>
              <w:rPr>
                <w:rFonts w:hint="eastAsia" w:ascii="方正书宋_GBK" w:eastAsia="方正书宋_GBK"/>
              </w:rPr>
              <w:t>负责台湾地区投资者在内地投资设立合资、合作、独资经营的演出场所经营单位的许可</w:t>
            </w:r>
            <w:r>
              <w:rPr>
                <w:rFonts w:ascii="方正书宋_GBK" w:eastAsia="方正书宋_GBK"/>
              </w:rPr>
              <w:t>;</w:t>
            </w:r>
            <w:r>
              <w:rPr>
                <w:rFonts w:hint="eastAsia" w:ascii="方正书宋_GBK" w:eastAsia="方正书宋_GBK"/>
              </w:rPr>
              <w:t>负责设立可录光盘生产企业的许可</w:t>
            </w:r>
            <w:r>
              <w:rPr>
                <w:rFonts w:ascii="方正书宋_GBK" w:eastAsia="方正书宋_GBK"/>
              </w:rPr>
              <w:t>;</w:t>
            </w:r>
            <w:r>
              <w:rPr>
                <w:rFonts w:hint="eastAsia" w:ascii="方正书宋_GBK" w:eastAsia="方正书宋_GBK"/>
              </w:rPr>
              <w:t>负责被关闭光盘厂生产线处理的许可</w:t>
            </w:r>
            <w:r>
              <w:rPr>
                <w:rFonts w:ascii="方正书宋_GBK" w:eastAsia="方正书宋_GBK"/>
              </w:rPr>
              <w:t>;</w:t>
            </w:r>
            <w:r>
              <w:rPr>
                <w:rFonts w:hint="eastAsia" w:ascii="方正书宋_GBK" w:eastAsia="方正书宋_GBK"/>
              </w:rPr>
              <w:t>负责民办教育机构名称冠名</w:t>
            </w:r>
            <w:r>
              <w:rPr>
                <w:rFonts w:hint="cs" w:ascii="方正书宋_GBK" w:eastAsia="方正书宋_GBK"/>
              </w:rPr>
              <w:t>“</w:t>
            </w:r>
            <w:r>
              <w:rPr>
                <w:rFonts w:hint="eastAsia" w:ascii="方正书宋_GBK" w:eastAsia="方正书宋_GBK"/>
              </w:rPr>
              <w:t>河北</w:t>
            </w:r>
            <w:r>
              <w:rPr>
                <w:rFonts w:hint="cs" w:ascii="方正书宋_GBK" w:eastAsia="方正书宋_GBK"/>
              </w:rPr>
              <w:t>”</w:t>
            </w:r>
            <w:r>
              <w:rPr>
                <w:rFonts w:hint="eastAsia" w:ascii="方正书宋_GBK" w:eastAsia="方正书宋_GBK"/>
              </w:rPr>
              <w:t>审批</w:t>
            </w:r>
            <w:r>
              <w:rPr>
                <w:rFonts w:ascii="方正书宋_GBK" w:eastAsia="方正书宋_GBK"/>
              </w:rPr>
              <w:t>;</w:t>
            </w:r>
            <w:r>
              <w:rPr>
                <w:rFonts w:hint="eastAsia" w:ascii="方正书宋_GBK" w:eastAsia="方正书宋_GBK"/>
              </w:rPr>
              <w:t>负责省直医疗卫生机构以外的护士延续注册许可</w:t>
            </w:r>
            <w:r>
              <w:rPr>
                <w:rFonts w:ascii="方正书宋_GBK" w:eastAsia="方正书宋_GBK"/>
              </w:rPr>
              <w:t>;</w:t>
            </w:r>
            <w:r>
              <w:rPr>
                <w:rFonts w:hint="eastAsia" w:ascii="方正书宋_GBK" w:eastAsia="方正书宋_GBK"/>
              </w:rPr>
              <w:t>负责再生育审批</w:t>
            </w:r>
            <w:r>
              <w:rPr>
                <w:rFonts w:ascii="方正书宋_GBK" w:eastAsia="方正书宋_GBK"/>
              </w:rPr>
              <w:t>;</w:t>
            </w:r>
            <w:r>
              <w:rPr>
                <w:rFonts w:hint="eastAsia" w:ascii="方正书宋_GBK" w:eastAsia="方正书宋_GBK"/>
              </w:rPr>
              <w:t>负责计划生育技术服务机构设立许可</w:t>
            </w:r>
            <w:r>
              <w:rPr>
                <w:rFonts w:ascii="方正书宋_GBK" w:eastAsia="方正书宋_GBK"/>
              </w:rPr>
              <w:t>;</w:t>
            </w:r>
            <w:r>
              <w:rPr>
                <w:rFonts w:hint="eastAsia" w:ascii="方正书宋_GBK" w:eastAsia="方正书宋_GBK"/>
              </w:rPr>
              <w:t>负责计划生育技术服务人员合格证核发</w:t>
            </w:r>
            <w:r>
              <w:rPr>
                <w:rFonts w:ascii="方正书宋_GBK" w:eastAsia="方正书宋_GBK"/>
              </w:rPr>
              <w:t>;</w:t>
            </w:r>
            <w:r>
              <w:rPr>
                <w:rFonts w:hint="eastAsia" w:ascii="方正书宋_GBK" w:eastAsia="方正书宋_GBK"/>
              </w:rPr>
              <w:t>负责中外合作音像制品零售企业设立与变更审批</w:t>
            </w:r>
            <w:r>
              <w:rPr>
                <w:rFonts w:ascii="方正书宋_GBK" w:eastAsia="方正书宋_GBK"/>
              </w:rPr>
              <w:t>;</w:t>
            </w:r>
            <w:r>
              <w:rPr>
                <w:rFonts w:hint="eastAsia" w:ascii="方正书宋_GBK" w:eastAsia="方正书宋_GBK"/>
              </w:rPr>
              <w:t>负责县级文物保护单位改变用途审核</w:t>
            </w:r>
            <w:r>
              <w:rPr>
                <w:rFonts w:ascii="方正书宋_GBK" w:eastAsia="方正书宋_GBK"/>
              </w:rPr>
              <w:t>;</w:t>
            </w:r>
            <w:r>
              <w:rPr>
                <w:rFonts w:hint="eastAsia" w:ascii="方正书宋_GBK" w:eastAsia="方正书宋_GBK"/>
              </w:rPr>
              <w:t>负责文艺、体育等专业训练的社会组织自行实施义务教育审批</w:t>
            </w:r>
            <w:r>
              <w:rPr>
                <w:rFonts w:ascii="方正书宋_GBK" w:eastAsia="方正书宋_GBK"/>
              </w:rPr>
              <w:t>;</w:t>
            </w:r>
            <w:r>
              <w:rPr>
                <w:rFonts w:hint="eastAsia" w:ascii="方正书宋_GBK" w:eastAsia="方正书宋_GBK"/>
              </w:rPr>
              <w:t>负责教师资格认定</w:t>
            </w:r>
            <w:r>
              <w:rPr>
                <w:rFonts w:ascii="方正书宋_GBK" w:eastAsia="方正书宋_GBK"/>
              </w:rPr>
              <w:t>;</w:t>
            </w:r>
            <w:r>
              <w:rPr>
                <w:rFonts w:hint="eastAsia" w:ascii="方正书宋_GBK" w:eastAsia="方正书宋_GBK"/>
              </w:rPr>
              <w:t>负责校车使用许可</w:t>
            </w:r>
            <w:r>
              <w:rPr>
                <w:rFonts w:ascii="方正书宋_GBK" w:eastAsia="方正书宋_GBK"/>
              </w:rPr>
              <w:t>;</w:t>
            </w:r>
            <w:r>
              <w:rPr>
                <w:rFonts w:hint="eastAsia" w:ascii="方正书宋_GBK" w:eastAsia="方正书宋_GBK"/>
              </w:rPr>
              <w:t>负责有线广播电视传输覆盖网工程建设及验收审核</w:t>
            </w:r>
            <w:r>
              <w:rPr>
                <w:rFonts w:ascii="方正书宋_GBK" w:eastAsia="方正书宋_GBK"/>
              </w:rPr>
              <w:t>;</w:t>
            </w:r>
            <w:r>
              <w:rPr>
                <w:rFonts w:hint="eastAsia" w:ascii="方正书宋_GBK" w:eastAsia="方正书宋_GBK"/>
              </w:rPr>
              <w:t>负责非国有文物收藏单位和其他单位借用国有文物收藏单位馆藏文物审批</w:t>
            </w:r>
            <w:r>
              <w:rPr>
                <w:rFonts w:ascii="方正书宋_GBK" w:eastAsia="方正书宋_GBK"/>
              </w:rPr>
              <w:t>;</w:t>
            </w:r>
            <w:r>
              <w:rPr>
                <w:rFonts w:hint="eastAsia" w:ascii="方正书宋_GBK" w:eastAsia="方正书宋_GBK"/>
              </w:rPr>
              <w:t>负责对文物保护单位、未核定为文物保护单位的不可移动文物修缮许可</w:t>
            </w:r>
            <w:r>
              <w:rPr>
                <w:rFonts w:ascii="方正书宋_GBK" w:eastAsia="方正书宋_GBK"/>
              </w:rPr>
              <w:t>;</w:t>
            </w:r>
            <w:r>
              <w:rPr>
                <w:rFonts w:hint="eastAsia" w:ascii="方正书宋_GBK" w:eastAsia="方正书宋_GBK"/>
              </w:rPr>
              <w:t>负责文物保护单位建设控制地带内建设工程设计方案审核</w:t>
            </w:r>
            <w:r>
              <w:rPr>
                <w:rFonts w:ascii="方正书宋_GBK" w:eastAsia="方正书宋_GBK"/>
              </w:rPr>
              <w:t>;</w:t>
            </w:r>
            <w:r>
              <w:rPr>
                <w:rFonts w:hint="eastAsia" w:ascii="方正书宋_GBK" w:eastAsia="方正书宋_GBK"/>
              </w:rPr>
              <w:t>负责文物保护单位原址保护措施审批</w:t>
            </w:r>
            <w:r>
              <w:rPr>
                <w:rFonts w:ascii="方正书宋_GBK" w:eastAsia="方正书宋_GBK"/>
              </w:rPr>
              <w:t>;</w:t>
            </w:r>
            <w:r>
              <w:rPr>
                <w:rFonts w:hint="eastAsia" w:ascii="方正书宋_GBK" w:eastAsia="方正书宋_GBK"/>
              </w:rPr>
              <w:t>负责医疗机构放射性职业病危害建设项目预评价报告审核</w:t>
            </w:r>
            <w:r>
              <w:rPr>
                <w:rFonts w:ascii="方正书宋_GBK" w:eastAsia="方正书宋_GBK"/>
              </w:rPr>
              <w:t>;</w:t>
            </w:r>
            <w:r>
              <w:rPr>
                <w:rFonts w:hint="eastAsia" w:ascii="方正书宋_GBK" w:eastAsia="方正书宋_GBK"/>
              </w:rPr>
              <w:t>负责医疗机构放射性职业病危害建设项目竣工验收</w:t>
            </w:r>
            <w:r>
              <w:rPr>
                <w:rFonts w:ascii="方正书宋_GBK" w:eastAsia="方正书宋_GBK"/>
              </w:rPr>
              <w:t>;</w:t>
            </w:r>
            <w:r>
              <w:rPr>
                <w:rFonts w:hint="eastAsia" w:ascii="方正书宋_GBK" w:eastAsia="方正书宋_GBK"/>
              </w:rPr>
              <w:t>负责医疗机构的校验</w:t>
            </w:r>
            <w:r>
              <w:rPr>
                <w:rFonts w:ascii="方正书宋_GBK" w:eastAsia="方正书宋_GBK"/>
              </w:rPr>
              <w:t>;</w:t>
            </w:r>
            <w:r>
              <w:rPr>
                <w:rFonts w:hint="eastAsia" w:ascii="方正书宋_GBK" w:eastAsia="方正书宋_GBK"/>
              </w:rPr>
              <w:t>负责放射诊疗许可证的校验。经营高危性体育项目许可；麻醉药品和第一类精神药品购用许可（市级委托）；从事出版物、包装装潢印刷品（市级委托）。</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审批事项标准化、审批流程标准化、网上服务标准化</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审批事项登记受理办结率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审批事项受理与办结的比率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民主评议和测评满意度</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、开展社会事务审批</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社会团体成立、变更、注销登记；负责民办非企业单位成立、变更、注销登记，负责养老机构设立许可；负责殡仪馆、火葬场、骨灰堂、殡仪服务站、经营性公墓、农村公益性墓地审批；负责社会团体修改章程核准；负责民办非企业单位修改章程核准；负责民办职业培训学校设立、分立、合并、变更及终止审批；负责设立人力资源服务机构及其业务范围审批；负责地方企业实行不定时工作制和综合计算工时工作制审批；负责劳务派遣经营许可的审批；负责文艺、体育和特种工艺单位招用未满</w:t>
            </w:r>
            <w:r>
              <w:rPr>
                <w:rFonts w:ascii="方正书宋_GBK" w:eastAsia="方正书宋_GBK"/>
              </w:rPr>
              <w:t>16</w:t>
            </w:r>
            <w:r>
              <w:rPr>
                <w:rFonts w:hint="eastAsia" w:ascii="方正书宋_GBK" w:eastAsia="方正书宋_GBK"/>
              </w:rPr>
              <w:t>周岁的未成年人的审批；负责事业单位设立、变更、注销、登记的审批。负责建设工程地震安全性评价审定；负责对影响地震监测设施或观测环境的建设工程审批；负责中介机构从事代理记账业务审批。</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审批事项标准化、审批流程标准化、网上服务标准化</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民主评议和测评满意度</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审批事项登记受理办结率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审批事项受理与办结的比率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、开展涉农事务审批</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取水许可；水利基建项目初步设计文件审批；农村集体经济组织修建水库审批；不同行政区域边界水工程批准；洪水影响评价类审批；生产建设项目水土保持方案审批；占用农业灌溉水源、灌排工程设施审批；乡村兽医登记许可；动物诊疗许可证核发；动物防疫条件合格证核发；拖拉机驾驶培训学校、驾驶培训班资格认定；水产苗种生产审批；渔业捕捞许可审批；水域滩涂养殖证的审核；农作物种子生产经营许可证核发；种畜禽生产经营许可；生鲜乳准运证明核发；生鲜乳收购站许可；兽药经营许可证核发；林木采伐许可证核发；木材运输证核发；临时占用林地审批；森林经营单位修筑直接为林业生产服务的工程设施占用林地审批；森林防火期内在森林防火区野外用火活动审批；森林高火险期内进入森林高火险区的活动审批；林木种子生产经营许可核发；粮食收购资格认定；食用菌菌种生产经营许可证核发（母种、原种）；从事主要农作物杂交种子及其亲本种子的生产经营、实行选育生产经营相结合并符合国务院农业部门规定条件的种子企业的农作物种子生产经营许可证审核；蜂、蚕种生产、经营许可证核发；执业兽医师注册；执业助理兽医师备案；外国人在中国境内野外考察国家重点保护野生植物审批；农药广告审批；防洪规划同意书；防洪规划保留区建设项目占地同意；国有林业企业事业单位隶属关系变更；收购珍贵树木种子和限制收购的林木种子的批准；农药经营许可。</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审批事项标准化、审批流程标准化、网上服务标准化</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民主评议和测评满意度</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审批事项登记受理办结率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审批事项受理与办结的比率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6</w:t>
            </w:r>
            <w:r>
              <w:rPr>
                <w:rFonts w:hint="eastAsia" w:ascii="方正书宋_GBK" w:eastAsia="方正书宋_GBK"/>
                <w:b/>
              </w:rPr>
              <w:t>、开展交通、城管、市政、环保事项审批</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城镇污水排入排水管网许可；负责特殊车辆在城市道路上行驶（包括经过城市桥梁）审批；负责临时占用城市绿化用地审批；负责改变绿化规划、绿化用地的使用性质审批；负责砍伐城市树木审批；负责道路旅客运输经营许可；负责公路超限运输许可；负责占用、挖掘公路、公路用地或者使公路改线审批；负责在公路增设或改造平面交叉道口审批；负责设置非公路标志审批；负责更新采伐护路林审批；负责道路货运经营许可；负责道路运输站（场）经营许可；负责机动车驾驶员培训许可；负责出租汽车经营许可；负责车辆运营证核发；负责跨越、穿越公路及在公路用地范围内架设、埋设管线、电缆等设施，或者利用公路桥梁、公路隧道、涵洞铺设电缆等设施许可；负责公路建筑控制区内埋设管线、电缆等设施许可；负责公路建设项目施工许可；负责迁移古树名木审批；负责市政设施建设类审批；负责公路建设项目竣工验收；负责因工程建设需要拆除、改动、迁移供水、排水与污水；负责处理设施审核；负责排污许可；负责防治污染设施拆除或闲置审批；负责危险废物经营许可；负责夜间建筑施工许可；负责关闭、闲置或者拆除生活垃圾处置的设施、场所核准；负责在城市设置户外广告牌、指示牌、标语牌、画廊、橱窗、霓虹灯、灯箱、旗帜、显示屏幕；招牌、条幅、充气装置、实物造型审批；负责因教学、科研以及其他特殊需要饲养家畜的备案；负责从事城市生活垃圾经营性清扫、收集、运输、处理服务的审批；负责内河交通安全业务许可；负责城市建筑垃圾处置核准；负责管线建设穿越城市绿地批准；负责建设项目环境影响评价文件审批。</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优化审批环节，再造审批流程，加快手续办理，提高审批效率</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审批事项登记受理办结率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民主评议和测评满意度</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审批事项受理与办结的比率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三、政务管理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负责全局行政审批平台、政务服务体系的信息化建设。</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及时上传相关事项数据，及时调整审批平台的政务服务事项，确保审批平台政务服务事项准确，实现动态管理；做好信息共享、信息推进，达到与监管部门的无缝衔接。</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负责全局行政审批平台、政务服务体系的信息化建设。</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做好信息共享、信息推送，达到与监管部门的无缝衔接</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调整事项完成率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上传事项完成率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信息推送率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四、监督检查公共资源交易活动</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拟订公共资源交易规章制度；协调处理行业主管部门交易工作；监督公共资源交易全程</w:t>
            </w:r>
            <w:r>
              <w:rPr>
                <w:rFonts w:ascii="方正书宋_GBK" w:eastAsia="方正书宋_GBK"/>
              </w:rPr>
              <w:t>,</w:t>
            </w:r>
            <w:r>
              <w:rPr>
                <w:rFonts w:hint="eastAsia" w:ascii="方正书宋_GBK" w:eastAsia="方正书宋_GBK"/>
              </w:rPr>
              <w:t>收集、整理、上报公共资源交易违法违规信息</w:t>
            </w:r>
            <w:r>
              <w:rPr>
                <w:rFonts w:ascii="方正书宋_GBK" w:eastAsia="方正书宋_GBK"/>
              </w:rPr>
              <w:t>,</w:t>
            </w:r>
            <w:r>
              <w:rPr>
                <w:rFonts w:hint="eastAsia" w:ascii="方正书宋_GBK" w:eastAsia="方正书宋_GBK"/>
              </w:rPr>
              <w:t>受理公共资源交易投诉，会同有关部门查处公共资源交易过程中违法违规行为；无行业主管部门项目的招标报建；指导公共资源交易平台建设。</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建立全区公共资源交易规章制度；公共资源交易过程平稳有序，交易双方满意度较高。</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、监督检查公共资源交易活动</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对区级公共资源交易活动进行监督检查，保证公共资源交易公平、公正、公开。</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工程建设项目招标投标实现统一进场交易。</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公共资源交易受理与最终成交的比率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公共资源交易受理与最终成交的比率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公共资源交易受理与最终成交的比率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五、政务服务中心业务管理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负责对政府各部门进驻、委托事项办理的组织协调、监督管理和指导服务</w:t>
            </w:r>
            <w:r>
              <w:rPr>
                <w:rFonts w:ascii="方正书宋_GBK" w:eastAsia="方正书宋_GBK"/>
              </w:rPr>
              <w:t>;</w:t>
            </w:r>
            <w:r>
              <w:rPr>
                <w:rFonts w:hint="eastAsia" w:ascii="方正书宋_GBK" w:eastAsia="方正书宋_GBK"/>
              </w:rPr>
              <w:t>负责政务平台系统的建设、技术维护和软件开发方面的工作。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对政府各部门进驻、委托事项办理的组织协调、监督管理和指导服务</w:t>
            </w:r>
            <w:r>
              <w:rPr>
                <w:rFonts w:ascii="方正书宋_GBK" w:eastAsia="方正书宋_GBK"/>
              </w:rPr>
              <w:t>;</w:t>
            </w:r>
            <w:r>
              <w:rPr>
                <w:rFonts w:hint="eastAsia" w:ascii="方正书宋_GBK" w:eastAsia="方正书宋_GBK"/>
              </w:rPr>
              <w:t>政务平台网上审批系统的建设、技术维护和软件开发方面的工作服务。</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、协调行政许可及其它服务事项的办理</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加强对进驻部门窗口工作人员的管理、考核，考核结果纳入进驻部门年度目标考核体系；受理对进驻部门办事窗口及其工作人员的投诉；负责政务平台系统的建设、技术维护和软件开发方面的工作。</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进驻事项标准化、审批流程标准化</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受理投诉完成率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反映审批事项受理与办结的比率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民主评议和测评满意度</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、政务服务三级平台网络维护</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应进必进要求，组织协调政府部门设立行政审批服务窗口，办理经区政府批准的审批事项；牵头、组织和协调两个以上部门的联合审批工作；全程跟踪、监督办理事项的办理进程和办理结果；加强对进驻部门窗口工作人员的管理、考核和培训，考核结果纳入进驻部门年度目标考核体系；受理对进驻部门办事窗口及其工作人员的投诉；负责政务平台网上审批系统的建设、技术维护和软件开发方面的工作。</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进驻事项标准化、审批服务流程标准化、网上服务标准化</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民主评议和测评满意度</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受理投诉完成率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反映审批事项受理与办结的比率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bl>
    <w:p>
      <w:pPr>
        <w:spacing w:line="300" w:lineRule="exact"/>
        <w:jc w:val="left"/>
        <w:outlineLvl w:val="0"/>
        <w:sectPr>
          <w:pgSz w:w="16839" w:h="11907" w:orient="landscape"/>
          <w:pgMar w:top="1020" w:right="1361" w:bottom="1020" w:left="1361" w:header="851" w:footer="992" w:gutter="0"/>
          <w:cols w:space="425" w:num="1"/>
          <w:docGrid w:type="lines" w:linePitch="312" w:charSpace="0"/>
        </w:sectPr>
      </w:pPr>
    </w:p>
    <w:p>
      <w:pPr>
        <w:autoSpaceDE w:val="0"/>
        <w:autoSpaceDN w:val="0"/>
        <w:adjustRightInd w:val="0"/>
        <w:ind w:firstLine="480" w:firstLineChars="15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outlineLvl w:val="0"/>
        <w:rPr>
          <w:rFonts w:ascii="仿宋" w:hAnsi="仿宋" w:eastAsia="仿宋" w:cs="仿宋"/>
          <w:sz w:val="32"/>
          <w:szCs w:val="32"/>
        </w:rPr>
      </w:pPr>
      <w:bookmarkStart w:id="1" w:name="_Toc471398468"/>
      <w:r>
        <w:rPr>
          <w:rFonts w:ascii="Times New Roman" w:hAnsi="Times New Roman" w:eastAsia="方正仿宋_GBK" w:cs="Times New Roman"/>
          <w:sz w:val="32"/>
          <w:szCs w:val="24"/>
        </w:rPr>
        <w:t xml:space="preserve">   </w:t>
      </w:r>
      <w:r>
        <w:rPr>
          <w:rFonts w:hint="eastAsia" w:ascii="仿宋" w:hAnsi="仿宋" w:eastAsia="仿宋" w:cs="仿宋"/>
          <w:sz w:val="32"/>
          <w:szCs w:val="32"/>
        </w:rPr>
        <w:t>2019年，我局安排政府采购预算442.74万元。具体内容见下表。</w:t>
      </w:r>
    </w:p>
    <w:p>
      <w:pPr>
        <w:jc w:val="center"/>
        <w:outlineLvl w:val="0"/>
        <w:rPr>
          <w:rFonts w:ascii="方正小标宋_GBK" w:hAnsi="Times New Roman" w:eastAsia="方正小标宋_GBK" w:cs="Times New Roman"/>
          <w:sz w:val="32"/>
          <w:szCs w:val="24"/>
        </w:rPr>
      </w:pPr>
      <w:r>
        <w:rPr>
          <w:rFonts w:hint="eastAsia" w:ascii="方正小标宋_GBK" w:hAnsi="Times New Roman" w:eastAsia="方正小标宋_GBK" w:cs="Times New Roman"/>
          <w:sz w:val="32"/>
          <w:szCs w:val="24"/>
        </w:rPr>
        <w:t>部门政府采购预算</w:t>
      </w:r>
      <w:bookmarkEnd w:id="1"/>
    </w:p>
    <w:p>
      <w:pPr>
        <w:jc w:val="center"/>
        <w:outlineLvl w:val="0"/>
        <w:rPr>
          <w:rFonts w:ascii="方正小标宋_GBK" w:eastAsia="方正小标宋_GBK"/>
          <w:sz w:val="32"/>
        </w:rPr>
      </w:pPr>
    </w:p>
    <w:tbl>
      <w:tblPr>
        <w:tblStyle w:val="8"/>
        <w:tblW w:w="4851"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444"/>
        <w:gridCol w:w="1095"/>
        <w:gridCol w:w="970"/>
        <w:gridCol w:w="982"/>
        <w:gridCol w:w="757"/>
        <w:gridCol w:w="757"/>
        <w:gridCol w:w="884"/>
        <w:gridCol w:w="959"/>
        <w:gridCol w:w="959"/>
        <w:gridCol w:w="959"/>
        <w:gridCol w:w="959"/>
        <w:gridCol w:w="962"/>
        <w:gridCol w:w="962"/>
        <w:gridCol w:w="91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702" w:type="pct"/>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320</w:t>
            </w:r>
            <w:r>
              <w:rPr>
                <w:rFonts w:hint="eastAsia" w:ascii="方正小标宋_GBK" w:eastAsia="方正小标宋_GBK"/>
                <w:sz w:val="24"/>
              </w:rPr>
              <w:t>石家庄市鹿泉区行政审批局</w:t>
            </w:r>
          </w:p>
        </w:tc>
        <w:tc>
          <w:tcPr>
            <w:tcW w:w="2298" w:type="pct"/>
            <w:gridSpan w:val="7"/>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217" w:type="pct"/>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334"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338"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261"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261"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290"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2298" w:type="pct"/>
            <w:gridSpan w:val="7"/>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840"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377"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334" w:type="pct"/>
            <w:vMerge w:val="continue"/>
            <w:shd w:val="clear" w:color="auto" w:fill="auto"/>
            <w:vAlign w:val="center"/>
          </w:tcPr>
          <w:p>
            <w:pPr>
              <w:spacing w:line="300" w:lineRule="exact"/>
              <w:jc w:val="left"/>
              <w:outlineLvl w:val="0"/>
            </w:pPr>
          </w:p>
        </w:tc>
        <w:tc>
          <w:tcPr>
            <w:tcW w:w="338" w:type="pct"/>
            <w:vMerge w:val="continue"/>
            <w:shd w:val="clear" w:color="auto" w:fill="auto"/>
            <w:vAlign w:val="center"/>
          </w:tcPr>
          <w:p>
            <w:pPr>
              <w:spacing w:line="300" w:lineRule="exact"/>
              <w:jc w:val="left"/>
              <w:outlineLvl w:val="0"/>
            </w:pPr>
          </w:p>
        </w:tc>
        <w:tc>
          <w:tcPr>
            <w:tcW w:w="261" w:type="pct"/>
            <w:vMerge w:val="continue"/>
            <w:shd w:val="clear" w:color="auto" w:fill="auto"/>
            <w:vAlign w:val="center"/>
          </w:tcPr>
          <w:p>
            <w:pPr>
              <w:spacing w:line="300" w:lineRule="exact"/>
              <w:jc w:val="left"/>
              <w:outlineLvl w:val="0"/>
            </w:pPr>
          </w:p>
        </w:tc>
        <w:tc>
          <w:tcPr>
            <w:tcW w:w="261" w:type="pct"/>
            <w:vMerge w:val="continue"/>
            <w:shd w:val="clear" w:color="auto" w:fill="auto"/>
            <w:vAlign w:val="center"/>
          </w:tcPr>
          <w:p>
            <w:pPr>
              <w:spacing w:line="300" w:lineRule="exact"/>
              <w:jc w:val="left"/>
              <w:outlineLvl w:val="0"/>
            </w:pPr>
          </w:p>
        </w:tc>
        <w:tc>
          <w:tcPr>
            <w:tcW w:w="290" w:type="pct"/>
            <w:vMerge w:val="continue"/>
            <w:shd w:val="clear" w:color="auto" w:fill="auto"/>
            <w:vAlign w:val="center"/>
          </w:tcPr>
          <w:p>
            <w:pPr>
              <w:spacing w:line="300" w:lineRule="exact"/>
              <w:jc w:val="left"/>
              <w:outlineLvl w:val="0"/>
            </w:pPr>
          </w:p>
        </w:tc>
        <w:tc>
          <w:tcPr>
            <w:tcW w:w="330"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1651" w:type="pct"/>
            <w:gridSpan w:val="5"/>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317"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840" w:type="pct"/>
            <w:vMerge w:val="continue"/>
            <w:shd w:val="clear" w:color="auto" w:fill="auto"/>
            <w:vAlign w:val="center"/>
          </w:tcPr>
          <w:p>
            <w:pPr>
              <w:spacing w:line="300" w:lineRule="exact"/>
              <w:jc w:val="left"/>
              <w:outlineLvl w:val="0"/>
            </w:pPr>
          </w:p>
        </w:tc>
        <w:tc>
          <w:tcPr>
            <w:tcW w:w="377" w:type="pct"/>
            <w:vMerge w:val="continue"/>
            <w:shd w:val="clear" w:color="auto" w:fill="auto"/>
            <w:vAlign w:val="center"/>
          </w:tcPr>
          <w:p>
            <w:pPr>
              <w:spacing w:line="300" w:lineRule="exact"/>
              <w:jc w:val="left"/>
              <w:outlineLvl w:val="0"/>
            </w:pPr>
          </w:p>
        </w:tc>
        <w:tc>
          <w:tcPr>
            <w:tcW w:w="334" w:type="pct"/>
            <w:vMerge w:val="continue"/>
            <w:shd w:val="clear" w:color="auto" w:fill="auto"/>
            <w:vAlign w:val="center"/>
          </w:tcPr>
          <w:p>
            <w:pPr>
              <w:spacing w:line="300" w:lineRule="exact"/>
              <w:jc w:val="left"/>
              <w:outlineLvl w:val="0"/>
            </w:pPr>
          </w:p>
        </w:tc>
        <w:tc>
          <w:tcPr>
            <w:tcW w:w="338" w:type="pct"/>
            <w:vMerge w:val="continue"/>
            <w:shd w:val="clear" w:color="auto" w:fill="auto"/>
            <w:vAlign w:val="center"/>
          </w:tcPr>
          <w:p>
            <w:pPr>
              <w:spacing w:line="300" w:lineRule="exact"/>
              <w:jc w:val="left"/>
              <w:outlineLvl w:val="0"/>
            </w:pPr>
          </w:p>
        </w:tc>
        <w:tc>
          <w:tcPr>
            <w:tcW w:w="261" w:type="pct"/>
            <w:vMerge w:val="continue"/>
            <w:shd w:val="clear" w:color="auto" w:fill="auto"/>
            <w:vAlign w:val="center"/>
          </w:tcPr>
          <w:p>
            <w:pPr>
              <w:spacing w:line="300" w:lineRule="exact"/>
              <w:jc w:val="left"/>
              <w:outlineLvl w:val="0"/>
            </w:pPr>
          </w:p>
        </w:tc>
        <w:tc>
          <w:tcPr>
            <w:tcW w:w="261" w:type="pct"/>
            <w:vMerge w:val="continue"/>
            <w:shd w:val="clear" w:color="auto" w:fill="auto"/>
            <w:vAlign w:val="center"/>
          </w:tcPr>
          <w:p>
            <w:pPr>
              <w:spacing w:line="300" w:lineRule="exact"/>
              <w:jc w:val="left"/>
              <w:outlineLvl w:val="0"/>
            </w:pPr>
          </w:p>
        </w:tc>
        <w:tc>
          <w:tcPr>
            <w:tcW w:w="290" w:type="pct"/>
            <w:vMerge w:val="continue"/>
            <w:shd w:val="clear" w:color="auto" w:fill="auto"/>
            <w:vAlign w:val="center"/>
          </w:tcPr>
          <w:p>
            <w:pPr>
              <w:spacing w:line="300" w:lineRule="exact"/>
              <w:jc w:val="left"/>
              <w:outlineLvl w:val="0"/>
            </w:pPr>
          </w:p>
        </w:tc>
        <w:tc>
          <w:tcPr>
            <w:tcW w:w="330" w:type="pct"/>
            <w:vMerge w:val="continue"/>
            <w:shd w:val="clear" w:color="auto" w:fill="auto"/>
            <w:vAlign w:val="center"/>
          </w:tcPr>
          <w:p>
            <w:pPr>
              <w:spacing w:line="300" w:lineRule="exact"/>
              <w:jc w:val="left"/>
              <w:outlineLvl w:val="0"/>
            </w:pPr>
          </w:p>
        </w:tc>
        <w:tc>
          <w:tcPr>
            <w:tcW w:w="33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33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33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331"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331"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317" w:type="pct"/>
            <w:vMerge w:val="continue"/>
            <w:shd w:val="clear" w:color="auto" w:fill="auto"/>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4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377" w:type="pct"/>
            <w:shd w:val="clear" w:color="auto" w:fill="auto"/>
            <w:vAlign w:val="center"/>
          </w:tcPr>
          <w:p>
            <w:pPr>
              <w:spacing w:line="300" w:lineRule="exact"/>
              <w:jc w:val="right"/>
              <w:rPr>
                <w:rFonts w:ascii="方正书宋_GBK" w:eastAsia="方正书宋_GBK"/>
                <w:b/>
              </w:rPr>
            </w:pPr>
          </w:p>
        </w:tc>
        <w:tc>
          <w:tcPr>
            <w:tcW w:w="334" w:type="pct"/>
            <w:shd w:val="clear" w:color="auto" w:fill="auto"/>
            <w:vAlign w:val="center"/>
          </w:tcPr>
          <w:p>
            <w:pPr>
              <w:spacing w:line="300" w:lineRule="exact"/>
              <w:jc w:val="left"/>
              <w:rPr>
                <w:rFonts w:ascii="方正书宋_GBK" w:eastAsia="方正书宋_GBK"/>
                <w:b/>
              </w:rPr>
            </w:pPr>
          </w:p>
        </w:tc>
        <w:tc>
          <w:tcPr>
            <w:tcW w:w="338" w:type="pct"/>
            <w:shd w:val="clear" w:color="auto" w:fill="auto"/>
            <w:vAlign w:val="center"/>
          </w:tcPr>
          <w:p>
            <w:pPr>
              <w:spacing w:line="300" w:lineRule="exact"/>
              <w:jc w:val="left"/>
              <w:rPr>
                <w:rFonts w:ascii="方正书宋_GBK" w:eastAsia="方正书宋_GBK"/>
                <w:b/>
              </w:rPr>
            </w:pPr>
          </w:p>
        </w:tc>
        <w:tc>
          <w:tcPr>
            <w:tcW w:w="261" w:type="pct"/>
            <w:shd w:val="clear" w:color="auto" w:fill="auto"/>
            <w:vAlign w:val="center"/>
          </w:tcPr>
          <w:p>
            <w:pPr>
              <w:spacing w:line="300" w:lineRule="exact"/>
              <w:jc w:val="left"/>
              <w:rPr>
                <w:rFonts w:ascii="方正书宋_GBK" w:eastAsia="方正书宋_GBK"/>
                <w:b/>
              </w:rPr>
            </w:pPr>
          </w:p>
        </w:tc>
        <w:tc>
          <w:tcPr>
            <w:tcW w:w="261" w:type="pct"/>
            <w:shd w:val="clear" w:color="auto" w:fill="auto"/>
            <w:vAlign w:val="center"/>
          </w:tcPr>
          <w:p>
            <w:pPr>
              <w:spacing w:line="300" w:lineRule="exact"/>
              <w:jc w:val="right"/>
              <w:rPr>
                <w:rFonts w:ascii="方正书宋_GBK" w:eastAsia="方正书宋_GBK"/>
                <w:b/>
              </w:rPr>
            </w:pPr>
          </w:p>
        </w:tc>
        <w:tc>
          <w:tcPr>
            <w:tcW w:w="290" w:type="pct"/>
            <w:shd w:val="clear" w:color="auto" w:fill="auto"/>
            <w:vAlign w:val="center"/>
          </w:tcPr>
          <w:p>
            <w:pPr>
              <w:spacing w:line="300" w:lineRule="exact"/>
              <w:jc w:val="right"/>
              <w:rPr>
                <w:rFonts w:ascii="方正书宋_GBK" w:eastAsia="方正书宋_GBK"/>
                <w:b/>
              </w:rPr>
            </w:pPr>
          </w:p>
        </w:tc>
        <w:tc>
          <w:tcPr>
            <w:tcW w:w="330" w:type="pct"/>
            <w:shd w:val="clear" w:color="auto" w:fill="auto"/>
            <w:vAlign w:val="center"/>
          </w:tcPr>
          <w:p>
            <w:pPr>
              <w:spacing w:line="300" w:lineRule="exact"/>
              <w:jc w:val="right"/>
              <w:rPr>
                <w:rFonts w:ascii="方正书宋_GBK" w:eastAsia="方正书宋_GBK"/>
                <w:b/>
              </w:rPr>
            </w:pPr>
            <w:r>
              <w:rPr>
                <w:rFonts w:ascii="方正书宋_GBK" w:eastAsia="方正书宋_GBK"/>
                <w:b/>
              </w:rPr>
              <w:t>442.74</w:t>
            </w:r>
          </w:p>
        </w:tc>
        <w:tc>
          <w:tcPr>
            <w:tcW w:w="330" w:type="pct"/>
            <w:shd w:val="clear" w:color="auto" w:fill="auto"/>
            <w:vAlign w:val="center"/>
          </w:tcPr>
          <w:p>
            <w:pPr>
              <w:spacing w:line="300" w:lineRule="exact"/>
              <w:jc w:val="right"/>
              <w:rPr>
                <w:rFonts w:ascii="方正书宋_GBK" w:eastAsia="方正书宋_GBK"/>
                <w:b/>
              </w:rPr>
            </w:pPr>
            <w:r>
              <w:rPr>
                <w:rFonts w:ascii="方正书宋_GBK" w:eastAsia="方正书宋_GBK"/>
                <w:b/>
              </w:rPr>
              <w:t>442.74</w:t>
            </w:r>
          </w:p>
        </w:tc>
        <w:tc>
          <w:tcPr>
            <w:tcW w:w="330" w:type="pct"/>
            <w:shd w:val="clear" w:color="auto" w:fill="auto"/>
            <w:vAlign w:val="center"/>
          </w:tcPr>
          <w:p>
            <w:pPr>
              <w:spacing w:line="300" w:lineRule="exact"/>
              <w:jc w:val="right"/>
              <w:rPr>
                <w:rFonts w:ascii="方正书宋_GBK" w:eastAsia="方正书宋_GBK"/>
                <w:b/>
              </w:rPr>
            </w:pPr>
            <w:r>
              <w:rPr>
                <w:rFonts w:ascii="方正书宋_GBK" w:eastAsia="方正书宋_GBK"/>
                <w:b/>
              </w:rPr>
              <w:t>442.74</w:t>
            </w:r>
          </w:p>
        </w:tc>
        <w:tc>
          <w:tcPr>
            <w:tcW w:w="330" w:type="pct"/>
            <w:shd w:val="clear" w:color="auto" w:fill="auto"/>
            <w:vAlign w:val="center"/>
          </w:tcPr>
          <w:p>
            <w:pPr>
              <w:spacing w:line="300" w:lineRule="exact"/>
              <w:jc w:val="right"/>
              <w:rPr>
                <w:rFonts w:ascii="方正书宋_GBK" w:eastAsia="方正书宋_GBK"/>
                <w:b/>
              </w:rPr>
            </w:pPr>
          </w:p>
        </w:tc>
        <w:tc>
          <w:tcPr>
            <w:tcW w:w="331" w:type="pct"/>
            <w:shd w:val="clear" w:color="auto" w:fill="auto"/>
            <w:vAlign w:val="center"/>
          </w:tcPr>
          <w:p>
            <w:pPr>
              <w:spacing w:line="300" w:lineRule="exact"/>
              <w:jc w:val="right"/>
              <w:rPr>
                <w:rFonts w:ascii="方正书宋_GBK" w:eastAsia="方正书宋_GBK"/>
                <w:b/>
              </w:rPr>
            </w:pPr>
          </w:p>
        </w:tc>
        <w:tc>
          <w:tcPr>
            <w:tcW w:w="331" w:type="pct"/>
            <w:shd w:val="clear" w:color="auto" w:fill="auto"/>
            <w:vAlign w:val="center"/>
          </w:tcPr>
          <w:p>
            <w:pPr>
              <w:spacing w:line="300" w:lineRule="exact"/>
              <w:jc w:val="right"/>
              <w:rPr>
                <w:rFonts w:ascii="方正书宋_GBK" w:eastAsia="方正书宋_GBK"/>
                <w:b/>
              </w:rPr>
            </w:pPr>
          </w:p>
        </w:tc>
        <w:tc>
          <w:tcPr>
            <w:tcW w:w="317" w:type="pct"/>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4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石家庄市鹿泉区行政审批局小计</w:t>
            </w:r>
          </w:p>
        </w:tc>
        <w:tc>
          <w:tcPr>
            <w:tcW w:w="377" w:type="pct"/>
            <w:shd w:val="clear" w:color="auto" w:fill="auto"/>
            <w:vAlign w:val="center"/>
          </w:tcPr>
          <w:p>
            <w:pPr>
              <w:spacing w:line="300" w:lineRule="exact"/>
              <w:jc w:val="right"/>
              <w:rPr>
                <w:rFonts w:ascii="方正书宋_GBK" w:eastAsia="方正书宋_GBK"/>
                <w:b/>
              </w:rPr>
            </w:pPr>
          </w:p>
        </w:tc>
        <w:tc>
          <w:tcPr>
            <w:tcW w:w="334" w:type="pct"/>
            <w:shd w:val="clear" w:color="auto" w:fill="auto"/>
            <w:vAlign w:val="center"/>
          </w:tcPr>
          <w:p>
            <w:pPr>
              <w:spacing w:line="300" w:lineRule="exact"/>
              <w:jc w:val="left"/>
              <w:rPr>
                <w:rFonts w:ascii="方正书宋_GBK" w:eastAsia="方正书宋_GBK"/>
                <w:b/>
              </w:rPr>
            </w:pPr>
          </w:p>
        </w:tc>
        <w:tc>
          <w:tcPr>
            <w:tcW w:w="338" w:type="pct"/>
            <w:shd w:val="clear" w:color="auto" w:fill="auto"/>
            <w:vAlign w:val="center"/>
          </w:tcPr>
          <w:p>
            <w:pPr>
              <w:spacing w:line="300" w:lineRule="exact"/>
              <w:jc w:val="left"/>
              <w:rPr>
                <w:rFonts w:ascii="方正书宋_GBK" w:eastAsia="方正书宋_GBK"/>
                <w:b/>
              </w:rPr>
            </w:pPr>
          </w:p>
        </w:tc>
        <w:tc>
          <w:tcPr>
            <w:tcW w:w="261" w:type="pct"/>
            <w:shd w:val="clear" w:color="auto" w:fill="auto"/>
            <w:vAlign w:val="center"/>
          </w:tcPr>
          <w:p>
            <w:pPr>
              <w:spacing w:line="300" w:lineRule="exact"/>
              <w:jc w:val="left"/>
              <w:rPr>
                <w:rFonts w:ascii="方正书宋_GBK" w:eastAsia="方正书宋_GBK"/>
                <w:b/>
              </w:rPr>
            </w:pPr>
          </w:p>
        </w:tc>
        <w:tc>
          <w:tcPr>
            <w:tcW w:w="261" w:type="pct"/>
            <w:shd w:val="clear" w:color="auto" w:fill="auto"/>
            <w:vAlign w:val="center"/>
          </w:tcPr>
          <w:p>
            <w:pPr>
              <w:spacing w:line="300" w:lineRule="exact"/>
              <w:jc w:val="right"/>
              <w:rPr>
                <w:rFonts w:ascii="方正书宋_GBK" w:eastAsia="方正书宋_GBK"/>
                <w:b/>
              </w:rPr>
            </w:pPr>
          </w:p>
        </w:tc>
        <w:tc>
          <w:tcPr>
            <w:tcW w:w="290" w:type="pct"/>
            <w:shd w:val="clear" w:color="auto" w:fill="auto"/>
            <w:vAlign w:val="center"/>
          </w:tcPr>
          <w:p>
            <w:pPr>
              <w:spacing w:line="300" w:lineRule="exact"/>
              <w:jc w:val="right"/>
              <w:rPr>
                <w:rFonts w:ascii="方正书宋_GBK" w:eastAsia="方正书宋_GBK"/>
                <w:b/>
              </w:rPr>
            </w:pPr>
          </w:p>
        </w:tc>
        <w:tc>
          <w:tcPr>
            <w:tcW w:w="330" w:type="pct"/>
            <w:shd w:val="clear" w:color="auto" w:fill="auto"/>
            <w:vAlign w:val="center"/>
          </w:tcPr>
          <w:p>
            <w:pPr>
              <w:spacing w:line="300" w:lineRule="exact"/>
              <w:jc w:val="right"/>
              <w:rPr>
                <w:rFonts w:ascii="方正书宋_GBK" w:eastAsia="方正书宋_GBK"/>
                <w:b/>
              </w:rPr>
            </w:pPr>
            <w:r>
              <w:rPr>
                <w:rFonts w:ascii="方正书宋_GBK" w:eastAsia="方正书宋_GBK"/>
                <w:b/>
              </w:rPr>
              <w:t>442.74</w:t>
            </w:r>
          </w:p>
        </w:tc>
        <w:tc>
          <w:tcPr>
            <w:tcW w:w="330" w:type="pct"/>
            <w:shd w:val="clear" w:color="auto" w:fill="auto"/>
            <w:vAlign w:val="center"/>
          </w:tcPr>
          <w:p>
            <w:pPr>
              <w:spacing w:line="300" w:lineRule="exact"/>
              <w:jc w:val="right"/>
              <w:rPr>
                <w:rFonts w:ascii="方正书宋_GBK" w:eastAsia="方正书宋_GBK"/>
                <w:b/>
              </w:rPr>
            </w:pPr>
            <w:r>
              <w:rPr>
                <w:rFonts w:ascii="方正书宋_GBK" w:eastAsia="方正书宋_GBK"/>
                <w:b/>
              </w:rPr>
              <w:t>442.74</w:t>
            </w:r>
          </w:p>
        </w:tc>
        <w:tc>
          <w:tcPr>
            <w:tcW w:w="330" w:type="pct"/>
            <w:shd w:val="clear" w:color="auto" w:fill="auto"/>
            <w:vAlign w:val="center"/>
          </w:tcPr>
          <w:p>
            <w:pPr>
              <w:spacing w:line="300" w:lineRule="exact"/>
              <w:jc w:val="right"/>
              <w:rPr>
                <w:rFonts w:ascii="方正书宋_GBK" w:eastAsia="方正书宋_GBK"/>
                <w:b/>
              </w:rPr>
            </w:pPr>
            <w:r>
              <w:rPr>
                <w:rFonts w:ascii="方正书宋_GBK" w:eastAsia="方正书宋_GBK"/>
                <w:b/>
              </w:rPr>
              <w:t>442.74</w:t>
            </w:r>
          </w:p>
        </w:tc>
        <w:tc>
          <w:tcPr>
            <w:tcW w:w="330" w:type="pct"/>
            <w:shd w:val="clear" w:color="auto" w:fill="auto"/>
            <w:vAlign w:val="center"/>
          </w:tcPr>
          <w:p>
            <w:pPr>
              <w:spacing w:line="300" w:lineRule="exact"/>
              <w:jc w:val="right"/>
              <w:rPr>
                <w:rFonts w:ascii="方正书宋_GBK" w:eastAsia="方正书宋_GBK"/>
                <w:b/>
              </w:rPr>
            </w:pPr>
          </w:p>
        </w:tc>
        <w:tc>
          <w:tcPr>
            <w:tcW w:w="331" w:type="pct"/>
            <w:shd w:val="clear" w:color="auto" w:fill="auto"/>
            <w:vAlign w:val="center"/>
          </w:tcPr>
          <w:p>
            <w:pPr>
              <w:spacing w:line="300" w:lineRule="exact"/>
              <w:jc w:val="right"/>
              <w:rPr>
                <w:rFonts w:ascii="方正书宋_GBK" w:eastAsia="方正书宋_GBK"/>
                <w:b/>
              </w:rPr>
            </w:pPr>
          </w:p>
        </w:tc>
        <w:tc>
          <w:tcPr>
            <w:tcW w:w="331" w:type="pct"/>
            <w:shd w:val="clear" w:color="auto" w:fill="auto"/>
            <w:vAlign w:val="center"/>
          </w:tcPr>
          <w:p>
            <w:pPr>
              <w:spacing w:line="300" w:lineRule="exact"/>
              <w:jc w:val="right"/>
              <w:rPr>
                <w:rFonts w:ascii="方正书宋_GBK" w:eastAsia="方正书宋_GBK"/>
                <w:b/>
              </w:rPr>
            </w:pPr>
          </w:p>
        </w:tc>
        <w:tc>
          <w:tcPr>
            <w:tcW w:w="317" w:type="pct"/>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委托投资咨询评估费用</w:t>
            </w:r>
          </w:p>
        </w:tc>
        <w:tc>
          <w:tcPr>
            <w:tcW w:w="377" w:type="pct"/>
            <w:shd w:val="clear" w:color="auto" w:fill="auto"/>
            <w:vAlign w:val="center"/>
          </w:tcPr>
          <w:p>
            <w:pPr>
              <w:spacing w:line="300" w:lineRule="exact"/>
              <w:jc w:val="right"/>
              <w:rPr>
                <w:rFonts w:ascii="方正书宋_GBK" w:eastAsia="方正书宋_GBK"/>
              </w:rPr>
            </w:pPr>
            <w:r>
              <w:rPr>
                <w:rFonts w:ascii="方正书宋_GBK" w:eastAsia="方正书宋_GBK"/>
              </w:rPr>
              <w:t>100.00</w:t>
            </w:r>
          </w:p>
        </w:tc>
        <w:tc>
          <w:tcPr>
            <w:tcW w:w="334"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338" w:type="pct"/>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261" w:type="pct"/>
            <w:shd w:val="clear" w:color="auto" w:fill="auto"/>
            <w:vAlign w:val="center"/>
          </w:tcPr>
          <w:p>
            <w:pPr>
              <w:spacing w:line="300" w:lineRule="exact"/>
              <w:jc w:val="left"/>
              <w:rPr>
                <w:rFonts w:ascii="方正书宋_GBK" w:eastAsia="方正书宋_GBK"/>
              </w:rPr>
            </w:pPr>
            <w:r>
              <w:rPr>
                <w:rFonts w:ascii="方正书宋_GBK" w:eastAsia="方正书宋_GBK"/>
              </w:rPr>
              <w:t>1</w:t>
            </w:r>
          </w:p>
        </w:tc>
        <w:tc>
          <w:tcPr>
            <w:tcW w:w="261" w:type="pct"/>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290" w:type="pct"/>
            <w:shd w:val="clear" w:color="auto" w:fill="auto"/>
            <w:vAlign w:val="center"/>
          </w:tcPr>
          <w:p>
            <w:pPr>
              <w:spacing w:line="300" w:lineRule="exact"/>
              <w:jc w:val="right"/>
              <w:rPr>
                <w:rFonts w:ascii="方正书宋_GBK" w:eastAsia="方正书宋_GBK"/>
              </w:rPr>
            </w:pPr>
            <w:r>
              <w:rPr>
                <w:rFonts w:ascii="方正书宋_GBK" w:eastAsia="方正书宋_GBK"/>
              </w:rPr>
              <w:t>100.00</w:t>
            </w:r>
          </w:p>
        </w:tc>
        <w:tc>
          <w:tcPr>
            <w:tcW w:w="330" w:type="pct"/>
            <w:shd w:val="clear" w:color="auto" w:fill="auto"/>
            <w:vAlign w:val="center"/>
          </w:tcPr>
          <w:p>
            <w:pPr>
              <w:spacing w:line="300" w:lineRule="exact"/>
              <w:jc w:val="right"/>
              <w:rPr>
                <w:rFonts w:ascii="方正书宋_GBK" w:eastAsia="方正书宋_GBK"/>
              </w:rPr>
            </w:pPr>
            <w:r>
              <w:rPr>
                <w:rFonts w:ascii="方正书宋_GBK" w:eastAsia="方正书宋_GBK"/>
              </w:rPr>
              <w:t>100.00</w:t>
            </w:r>
          </w:p>
        </w:tc>
        <w:tc>
          <w:tcPr>
            <w:tcW w:w="330" w:type="pct"/>
            <w:shd w:val="clear" w:color="auto" w:fill="auto"/>
            <w:vAlign w:val="center"/>
          </w:tcPr>
          <w:p>
            <w:pPr>
              <w:spacing w:line="300" w:lineRule="exact"/>
              <w:jc w:val="right"/>
              <w:rPr>
                <w:rFonts w:ascii="方正书宋_GBK" w:eastAsia="方正书宋_GBK"/>
              </w:rPr>
            </w:pPr>
            <w:r>
              <w:rPr>
                <w:rFonts w:ascii="方正书宋_GBK" w:eastAsia="方正书宋_GBK"/>
              </w:rPr>
              <w:t>100.00</w:t>
            </w:r>
          </w:p>
        </w:tc>
        <w:tc>
          <w:tcPr>
            <w:tcW w:w="330" w:type="pct"/>
            <w:shd w:val="clear" w:color="auto" w:fill="auto"/>
            <w:vAlign w:val="center"/>
          </w:tcPr>
          <w:p>
            <w:pPr>
              <w:spacing w:line="300" w:lineRule="exact"/>
              <w:jc w:val="right"/>
              <w:rPr>
                <w:rFonts w:ascii="方正书宋_GBK" w:eastAsia="方正书宋_GBK"/>
              </w:rPr>
            </w:pPr>
            <w:r>
              <w:rPr>
                <w:rFonts w:ascii="方正书宋_GBK" w:eastAsia="方正书宋_GBK"/>
              </w:rPr>
              <w:t>100.00</w:t>
            </w:r>
          </w:p>
        </w:tc>
        <w:tc>
          <w:tcPr>
            <w:tcW w:w="330" w:type="pct"/>
            <w:shd w:val="clear" w:color="auto" w:fill="auto"/>
            <w:vAlign w:val="center"/>
          </w:tcPr>
          <w:p>
            <w:pPr>
              <w:spacing w:line="300" w:lineRule="exact"/>
              <w:jc w:val="right"/>
              <w:rPr>
                <w:rFonts w:ascii="方正书宋_GBK" w:eastAsia="方正书宋_GBK"/>
              </w:rPr>
            </w:pPr>
          </w:p>
        </w:tc>
        <w:tc>
          <w:tcPr>
            <w:tcW w:w="331" w:type="pct"/>
            <w:shd w:val="clear" w:color="auto" w:fill="auto"/>
            <w:vAlign w:val="center"/>
          </w:tcPr>
          <w:p>
            <w:pPr>
              <w:spacing w:line="300" w:lineRule="exact"/>
              <w:jc w:val="right"/>
              <w:rPr>
                <w:rFonts w:ascii="方正书宋_GBK" w:eastAsia="方正书宋_GBK"/>
              </w:rPr>
            </w:pPr>
          </w:p>
        </w:tc>
        <w:tc>
          <w:tcPr>
            <w:tcW w:w="331" w:type="pct"/>
            <w:shd w:val="clear" w:color="auto" w:fill="auto"/>
            <w:vAlign w:val="center"/>
          </w:tcPr>
          <w:p>
            <w:pPr>
              <w:spacing w:line="300" w:lineRule="exact"/>
              <w:jc w:val="right"/>
              <w:rPr>
                <w:rFonts w:ascii="方正书宋_GBK" w:eastAsia="方正书宋_GBK"/>
              </w:rPr>
            </w:pPr>
          </w:p>
        </w:tc>
        <w:tc>
          <w:tcPr>
            <w:tcW w:w="317"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鹿泉区市民服务中心立体车库建设项目</w:t>
            </w:r>
          </w:p>
        </w:tc>
        <w:tc>
          <w:tcPr>
            <w:tcW w:w="377" w:type="pct"/>
            <w:shd w:val="clear" w:color="auto" w:fill="auto"/>
            <w:vAlign w:val="center"/>
          </w:tcPr>
          <w:p>
            <w:pPr>
              <w:spacing w:line="300" w:lineRule="exact"/>
              <w:jc w:val="right"/>
              <w:rPr>
                <w:rFonts w:ascii="方正书宋_GBK" w:eastAsia="方正书宋_GBK"/>
              </w:rPr>
            </w:pPr>
            <w:r>
              <w:rPr>
                <w:rFonts w:ascii="方正书宋_GBK" w:eastAsia="方正书宋_GBK"/>
              </w:rPr>
              <w:t>312.74</w:t>
            </w:r>
          </w:p>
        </w:tc>
        <w:tc>
          <w:tcPr>
            <w:tcW w:w="334"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建筑物施工</w:t>
            </w:r>
          </w:p>
        </w:tc>
        <w:tc>
          <w:tcPr>
            <w:tcW w:w="338" w:type="pct"/>
            <w:shd w:val="clear" w:color="auto" w:fill="auto"/>
            <w:vAlign w:val="center"/>
          </w:tcPr>
          <w:p>
            <w:pPr>
              <w:spacing w:line="300" w:lineRule="exact"/>
              <w:jc w:val="left"/>
              <w:rPr>
                <w:rFonts w:ascii="方正书宋_GBK" w:eastAsia="方正书宋_GBK"/>
              </w:rPr>
            </w:pPr>
            <w:r>
              <w:rPr>
                <w:rFonts w:ascii="方正书宋_GBK" w:eastAsia="方正书宋_GBK"/>
              </w:rPr>
              <w:t>B01</w:t>
            </w:r>
          </w:p>
        </w:tc>
        <w:tc>
          <w:tcPr>
            <w:tcW w:w="261" w:type="pct"/>
            <w:shd w:val="clear" w:color="auto" w:fill="auto"/>
            <w:vAlign w:val="center"/>
          </w:tcPr>
          <w:p>
            <w:pPr>
              <w:spacing w:line="300" w:lineRule="exact"/>
              <w:jc w:val="left"/>
              <w:rPr>
                <w:rFonts w:ascii="方正书宋_GBK" w:eastAsia="方正书宋_GBK"/>
              </w:rPr>
            </w:pPr>
            <w:r>
              <w:rPr>
                <w:rFonts w:ascii="方正书宋_GBK" w:eastAsia="方正书宋_GBK"/>
              </w:rPr>
              <w:t>1</w:t>
            </w:r>
          </w:p>
        </w:tc>
        <w:tc>
          <w:tcPr>
            <w:tcW w:w="261" w:type="pct"/>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290" w:type="pct"/>
            <w:shd w:val="clear" w:color="auto" w:fill="auto"/>
            <w:vAlign w:val="center"/>
          </w:tcPr>
          <w:p>
            <w:pPr>
              <w:spacing w:line="300" w:lineRule="exact"/>
              <w:jc w:val="right"/>
              <w:rPr>
                <w:rFonts w:ascii="方正书宋_GBK" w:eastAsia="方正书宋_GBK"/>
              </w:rPr>
            </w:pPr>
            <w:r>
              <w:rPr>
                <w:rFonts w:ascii="方正书宋_GBK" w:eastAsia="方正书宋_GBK"/>
              </w:rPr>
              <w:t>312.74</w:t>
            </w:r>
          </w:p>
        </w:tc>
        <w:tc>
          <w:tcPr>
            <w:tcW w:w="330" w:type="pct"/>
            <w:shd w:val="clear" w:color="auto" w:fill="auto"/>
            <w:vAlign w:val="center"/>
          </w:tcPr>
          <w:p>
            <w:pPr>
              <w:spacing w:line="300" w:lineRule="exact"/>
              <w:jc w:val="right"/>
              <w:rPr>
                <w:rFonts w:ascii="方正书宋_GBK" w:eastAsia="方正书宋_GBK"/>
              </w:rPr>
            </w:pPr>
            <w:r>
              <w:rPr>
                <w:rFonts w:ascii="方正书宋_GBK" w:eastAsia="方正书宋_GBK"/>
              </w:rPr>
              <w:t>312.74</w:t>
            </w:r>
          </w:p>
        </w:tc>
        <w:tc>
          <w:tcPr>
            <w:tcW w:w="330" w:type="pct"/>
            <w:shd w:val="clear" w:color="auto" w:fill="auto"/>
            <w:vAlign w:val="center"/>
          </w:tcPr>
          <w:p>
            <w:pPr>
              <w:spacing w:line="300" w:lineRule="exact"/>
              <w:jc w:val="right"/>
              <w:rPr>
                <w:rFonts w:ascii="方正书宋_GBK" w:eastAsia="方正书宋_GBK"/>
              </w:rPr>
            </w:pPr>
            <w:r>
              <w:rPr>
                <w:rFonts w:ascii="方正书宋_GBK" w:eastAsia="方正书宋_GBK"/>
              </w:rPr>
              <w:t>312.74</w:t>
            </w:r>
          </w:p>
        </w:tc>
        <w:tc>
          <w:tcPr>
            <w:tcW w:w="330" w:type="pct"/>
            <w:shd w:val="clear" w:color="auto" w:fill="auto"/>
            <w:vAlign w:val="center"/>
          </w:tcPr>
          <w:p>
            <w:pPr>
              <w:spacing w:line="300" w:lineRule="exact"/>
              <w:jc w:val="right"/>
              <w:rPr>
                <w:rFonts w:ascii="方正书宋_GBK" w:eastAsia="方正书宋_GBK"/>
              </w:rPr>
            </w:pPr>
            <w:r>
              <w:rPr>
                <w:rFonts w:ascii="方正书宋_GBK" w:eastAsia="方正书宋_GBK"/>
              </w:rPr>
              <w:t>312.74</w:t>
            </w:r>
          </w:p>
        </w:tc>
        <w:tc>
          <w:tcPr>
            <w:tcW w:w="330" w:type="pct"/>
            <w:shd w:val="clear" w:color="auto" w:fill="auto"/>
            <w:vAlign w:val="center"/>
          </w:tcPr>
          <w:p>
            <w:pPr>
              <w:spacing w:line="300" w:lineRule="exact"/>
              <w:jc w:val="right"/>
              <w:rPr>
                <w:rFonts w:ascii="方正书宋_GBK" w:eastAsia="方正书宋_GBK"/>
              </w:rPr>
            </w:pPr>
          </w:p>
        </w:tc>
        <w:tc>
          <w:tcPr>
            <w:tcW w:w="331" w:type="pct"/>
            <w:shd w:val="clear" w:color="auto" w:fill="auto"/>
            <w:vAlign w:val="center"/>
          </w:tcPr>
          <w:p>
            <w:pPr>
              <w:spacing w:line="300" w:lineRule="exact"/>
              <w:jc w:val="right"/>
              <w:rPr>
                <w:rFonts w:ascii="方正书宋_GBK" w:eastAsia="方正书宋_GBK"/>
              </w:rPr>
            </w:pPr>
          </w:p>
        </w:tc>
        <w:tc>
          <w:tcPr>
            <w:tcW w:w="331" w:type="pct"/>
            <w:shd w:val="clear" w:color="auto" w:fill="auto"/>
            <w:vAlign w:val="center"/>
          </w:tcPr>
          <w:p>
            <w:pPr>
              <w:spacing w:line="300" w:lineRule="exact"/>
              <w:jc w:val="right"/>
              <w:rPr>
                <w:rFonts w:ascii="方正书宋_GBK" w:eastAsia="方正书宋_GBK"/>
              </w:rPr>
            </w:pPr>
          </w:p>
        </w:tc>
        <w:tc>
          <w:tcPr>
            <w:tcW w:w="317"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377" w:type="pct"/>
            <w:shd w:val="clear" w:color="auto" w:fill="auto"/>
            <w:vAlign w:val="center"/>
          </w:tcPr>
          <w:p>
            <w:pPr>
              <w:spacing w:line="300" w:lineRule="exact"/>
              <w:jc w:val="right"/>
              <w:rPr>
                <w:rFonts w:ascii="方正书宋_GBK" w:eastAsia="方正书宋_GBK"/>
              </w:rPr>
            </w:pPr>
            <w:r>
              <w:rPr>
                <w:rFonts w:ascii="方正书宋_GBK" w:eastAsia="方正书宋_GBK"/>
              </w:rPr>
              <w:t>30.00</w:t>
            </w:r>
          </w:p>
        </w:tc>
        <w:tc>
          <w:tcPr>
            <w:tcW w:w="334"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办公设备</w:t>
            </w:r>
          </w:p>
        </w:tc>
        <w:tc>
          <w:tcPr>
            <w:tcW w:w="338" w:type="pct"/>
            <w:shd w:val="clear" w:color="auto" w:fill="auto"/>
            <w:vAlign w:val="center"/>
          </w:tcPr>
          <w:p>
            <w:pPr>
              <w:spacing w:line="300" w:lineRule="exact"/>
              <w:jc w:val="left"/>
              <w:rPr>
                <w:rFonts w:ascii="方正书宋_GBK" w:eastAsia="方正书宋_GBK"/>
              </w:rPr>
            </w:pPr>
            <w:r>
              <w:rPr>
                <w:rFonts w:ascii="方正书宋_GBK" w:eastAsia="方正书宋_GBK"/>
              </w:rPr>
              <w:t>A0202</w:t>
            </w:r>
          </w:p>
        </w:tc>
        <w:tc>
          <w:tcPr>
            <w:tcW w:w="261" w:type="pct"/>
            <w:shd w:val="clear" w:color="auto" w:fill="auto"/>
            <w:vAlign w:val="center"/>
          </w:tcPr>
          <w:p>
            <w:pPr>
              <w:spacing w:line="300" w:lineRule="exact"/>
              <w:jc w:val="left"/>
              <w:rPr>
                <w:rFonts w:ascii="方正书宋_GBK" w:eastAsia="方正书宋_GBK"/>
              </w:rPr>
            </w:pPr>
            <w:r>
              <w:rPr>
                <w:rFonts w:ascii="方正书宋_GBK" w:eastAsia="方正书宋_GBK"/>
              </w:rPr>
              <w:t>1</w:t>
            </w:r>
          </w:p>
        </w:tc>
        <w:tc>
          <w:tcPr>
            <w:tcW w:w="261" w:type="pct"/>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290" w:type="pct"/>
            <w:shd w:val="clear" w:color="auto" w:fill="auto"/>
            <w:vAlign w:val="center"/>
          </w:tcPr>
          <w:p>
            <w:pPr>
              <w:spacing w:line="300" w:lineRule="exact"/>
              <w:jc w:val="right"/>
              <w:rPr>
                <w:rFonts w:ascii="方正书宋_GBK" w:eastAsia="方正书宋_GBK"/>
              </w:rPr>
            </w:pPr>
            <w:r>
              <w:rPr>
                <w:rFonts w:ascii="方正书宋_GBK" w:eastAsia="方正书宋_GBK"/>
              </w:rPr>
              <w:t>30.00</w:t>
            </w:r>
          </w:p>
        </w:tc>
        <w:tc>
          <w:tcPr>
            <w:tcW w:w="330" w:type="pct"/>
            <w:shd w:val="clear" w:color="auto" w:fill="auto"/>
            <w:vAlign w:val="center"/>
          </w:tcPr>
          <w:p>
            <w:pPr>
              <w:spacing w:line="300" w:lineRule="exact"/>
              <w:jc w:val="right"/>
              <w:rPr>
                <w:rFonts w:ascii="方正书宋_GBK" w:eastAsia="方正书宋_GBK"/>
              </w:rPr>
            </w:pPr>
            <w:r>
              <w:rPr>
                <w:rFonts w:ascii="方正书宋_GBK" w:eastAsia="方正书宋_GBK"/>
              </w:rPr>
              <w:t>30.00</w:t>
            </w:r>
          </w:p>
        </w:tc>
        <w:tc>
          <w:tcPr>
            <w:tcW w:w="330" w:type="pct"/>
            <w:shd w:val="clear" w:color="auto" w:fill="auto"/>
            <w:vAlign w:val="center"/>
          </w:tcPr>
          <w:p>
            <w:pPr>
              <w:spacing w:line="300" w:lineRule="exact"/>
              <w:jc w:val="right"/>
              <w:rPr>
                <w:rFonts w:ascii="方正书宋_GBK" w:eastAsia="方正书宋_GBK"/>
              </w:rPr>
            </w:pPr>
            <w:r>
              <w:rPr>
                <w:rFonts w:ascii="方正书宋_GBK" w:eastAsia="方正书宋_GBK"/>
              </w:rPr>
              <w:t>30.00</w:t>
            </w:r>
          </w:p>
        </w:tc>
        <w:tc>
          <w:tcPr>
            <w:tcW w:w="330" w:type="pct"/>
            <w:shd w:val="clear" w:color="auto" w:fill="auto"/>
            <w:vAlign w:val="center"/>
          </w:tcPr>
          <w:p>
            <w:pPr>
              <w:spacing w:line="300" w:lineRule="exact"/>
              <w:jc w:val="right"/>
              <w:rPr>
                <w:rFonts w:ascii="方正书宋_GBK" w:eastAsia="方正书宋_GBK"/>
              </w:rPr>
            </w:pPr>
            <w:r>
              <w:rPr>
                <w:rFonts w:ascii="方正书宋_GBK" w:eastAsia="方正书宋_GBK"/>
              </w:rPr>
              <w:t>30.00</w:t>
            </w:r>
          </w:p>
        </w:tc>
        <w:tc>
          <w:tcPr>
            <w:tcW w:w="330" w:type="pct"/>
            <w:shd w:val="clear" w:color="auto" w:fill="auto"/>
            <w:vAlign w:val="center"/>
          </w:tcPr>
          <w:p>
            <w:pPr>
              <w:spacing w:line="300" w:lineRule="exact"/>
              <w:jc w:val="right"/>
              <w:rPr>
                <w:rFonts w:ascii="方正书宋_GBK" w:eastAsia="方正书宋_GBK"/>
              </w:rPr>
            </w:pPr>
          </w:p>
        </w:tc>
        <w:tc>
          <w:tcPr>
            <w:tcW w:w="331" w:type="pct"/>
            <w:shd w:val="clear" w:color="auto" w:fill="auto"/>
            <w:vAlign w:val="center"/>
          </w:tcPr>
          <w:p>
            <w:pPr>
              <w:spacing w:line="300" w:lineRule="exact"/>
              <w:jc w:val="right"/>
              <w:rPr>
                <w:rFonts w:ascii="方正书宋_GBK" w:eastAsia="方正书宋_GBK"/>
              </w:rPr>
            </w:pPr>
          </w:p>
        </w:tc>
        <w:tc>
          <w:tcPr>
            <w:tcW w:w="331" w:type="pct"/>
            <w:shd w:val="clear" w:color="auto" w:fill="auto"/>
            <w:vAlign w:val="center"/>
          </w:tcPr>
          <w:p>
            <w:pPr>
              <w:spacing w:line="300" w:lineRule="exact"/>
              <w:jc w:val="right"/>
              <w:rPr>
                <w:rFonts w:ascii="方正书宋_GBK" w:eastAsia="方正书宋_GBK"/>
              </w:rPr>
            </w:pPr>
          </w:p>
        </w:tc>
        <w:tc>
          <w:tcPr>
            <w:tcW w:w="317" w:type="pct"/>
            <w:shd w:val="clear" w:color="auto" w:fill="auto"/>
            <w:vAlign w:val="center"/>
          </w:tcPr>
          <w:p>
            <w:pPr>
              <w:spacing w:line="300" w:lineRule="exact"/>
              <w:jc w:val="right"/>
              <w:rPr>
                <w:rFonts w:ascii="方正书宋_GBK" w:eastAsia="方正书宋_GBK"/>
              </w:rPr>
            </w:pPr>
          </w:p>
        </w:tc>
      </w:tr>
    </w:tbl>
    <w:p>
      <w:pPr>
        <w:spacing w:line="300" w:lineRule="exact"/>
        <w:jc w:val="left"/>
        <w:outlineLvl w:val="0"/>
        <w:sectPr>
          <w:pgSz w:w="16839" w:h="11907" w:orient="landscape"/>
          <w:pgMar w:top="1361" w:right="1020" w:bottom="1361" w:left="1020" w:header="851" w:footer="992" w:gutter="0"/>
          <w:cols w:space="425" w:num="1"/>
          <w:docGrid w:type="lines" w:linePitch="312" w:charSpace="0"/>
        </w:sectPr>
      </w:pPr>
    </w:p>
    <w:p>
      <w:pPr>
        <w:autoSpaceDE w:val="0"/>
        <w:autoSpaceDN w:val="0"/>
        <w:adjustRightInd w:val="0"/>
        <w:ind w:firstLine="480" w:firstLineChars="15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firstLineChars="200"/>
        <w:rPr>
          <w:rFonts w:ascii="仿宋" w:hAnsi="仿宋" w:eastAsia="仿宋" w:cs="仿宋"/>
          <w:sz w:val="32"/>
          <w:szCs w:val="32"/>
        </w:rPr>
      </w:pPr>
      <w:r>
        <w:rPr>
          <w:rFonts w:hint="eastAsia" w:ascii="仿宋" w:hAnsi="仿宋" w:eastAsia="仿宋" w:cs="仿宋"/>
          <w:sz w:val="32"/>
          <w:szCs w:val="32"/>
        </w:rPr>
        <w:t>鹿泉区行政审批局上年末固定资产金额为432.49万元（详见下表），本年度我局拟购置固定资产总额为342.74万元，主要为房屋建筑物构建、办公设备、办公家具等，已列入政府采购预算，详见政府采购预算表。</w:t>
      </w: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shd w:val="clear" w:color="auto" w:fill="auto"/>
            <w:vAlign w:val="center"/>
          </w:tcPr>
          <w:p>
            <w:pPr>
              <w:widowControl/>
              <w:jc w:val="center"/>
              <w:rPr>
                <w:rFonts w:ascii="宋体" w:hAnsi="宋体" w:eastAsia="宋体" w:cs="宋体"/>
                <w:b/>
                <w:bCs/>
                <w:kern w:val="0"/>
                <w:sz w:val="32"/>
                <w:szCs w:val="32"/>
              </w:rPr>
            </w:pPr>
            <w:r>
              <w:rPr>
                <w:rFonts w:hint="eastAsia" w:ascii="宋体" w:hAnsi="宋体" w:eastAsia="宋体" w:cs="宋体"/>
                <w:b/>
                <w:bCs/>
                <w:kern w:val="0"/>
                <w:sz w:val="32"/>
                <w:szCs w:val="32"/>
              </w:rPr>
              <w:t>鹿泉区区级部门固定资产占用情况表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编制部门：鹿泉区行政审批局</w:t>
            </w:r>
          </w:p>
        </w:tc>
        <w:tc>
          <w:tcPr>
            <w:tcW w:w="5103" w:type="dxa"/>
            <w:tcBorders>
              <w:top w:val="nil"/>
              <w:left w:val="nil"/>
              <w:bottom w:val="nil"/>
              <w:right w:val="nil"/>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 xml:space="preserve">截止时间：2018年12月31日  </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项   目</w:t>
            </w:r>
          </w:p>
        </w:tc>
        <w:tc>
          <w:tcPr>
            <w:tcW w:w="315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数量</w:t>
            </w:r>
          </w:p>
        </w:tc>
        <w:tc>
          <w:tcPr>
            <w:tcW w:w="5103"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22"/>
              </w:rPr>
            </w:pPr>
            <w:r>
              <w:rPr>
                <w:rFonts w:hint="eastAsia" w:ascii="宋体" w:hAnsi="宋体" w:eastAsia="宋体" w:cs="宋体"/>
                <w:kern w:val="0"/>
                <w:sz w:val="22"/>
              </w:rPr>
              <w:t>资产总额</w:t>
            </w:r>
          </w:p>
        </w:tc>
        <w:tc>
          <w:tcPr>
            <w:tcW w:w="3155"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宋体" w:cs="Times New Roman"/>
                <w:kern w:val="0"/>
                <w:sz w:val="22"/>
              </w:rPr>
            </w:pPr>
            <w:r>
              <w:rPr>
                <w:rFonts w:ascii="Times New Roman" w:hAnsi="Times New Roman" w:eastAsia="宋体" w:cs="Times New Roman"/>
                <w:kern w:val="0"/>
                <w:sz w:val="22"/>
              </w:rPr>
              <w:t>——</w:t>
            </w:r>
          </w:p>
        </w:tc>
        <w:tc>
          <w:tcPr>
            <w:tcW w:w="5103"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宋体" w:cs="Times New Roman"/>
                <w:kern w:val="0"/>
                <w:sz w:val="22"/>
              </w:rPr>
            </w:pPr>
            <w:r>
              <w:rPr>
                <w:rFonts w:hint="eastAsia" w:ascii="Times New Roman" w:hAnsi="Times New Roman" w:eastAsia="宋体" w:cs="Times New Roman"/>
                <w:kern w:val="0"/>
                <w:sz w:val="22"/>
              </w:rPr>
              <w:t>432.49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1、房屋（平方米）</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0</w:t>
            </w: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 xml:space="preserve">   其中：办公用房（平方米）</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0</w:t>
            </w: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2、车辆（台、辆）</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1</w:t>
            </w: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12.54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3、单价在20万元以上的设备</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ascii="Times New Roman" w:hAnsi="Times New Roman" w:eastAsia="宋体" w:cs="Times New Roman"/>
                <w:kern w:val="0"/>
                <w:sz w:val="22"/>
              </w:rPr>
              <w:t>——</w:t>
            </w: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4、其他固定资产</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ascii="Times New Roman" w:hAnsi="Times New Roman" w:eastAsia="宋体" w:cs="Times New Roman"/>
                <w:kern w:val="0"/>
                <w:sz w:val="22"/>
              </w:rPr>
              <w:t>——</w:t>
            </w: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r>
              <w:rPr>
                <w:rFonts w:hint="eastAsia" w:ascii="Times New Roman" w:hAnsi="Times New Roman" w:cs="Times New Roman"/>
                <w:sz w:val="22"/>
              </w:rPr>
              <w:t>419.95</w:t>
            </w:r>
          </w:p>
        </w:tc>
      </w:tr>
    </w:tbl>
    <w:p>
      <w:pPr>
        <w:autoSpaceDE w:val="0"/>
        <w:autoSpaceDN w:val="0"/>
        <w:adjustRightInd w:val="0"/>
        <w:ind w:firstLine="480" w:firstLineChars="15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仿宋" w:hAnsi="仿宋" w:eastAsia="仿宋" w:cs="仿宋"/>
          <w:sz w:val="32"/>
          <w:szCs w:val="32"/>
        </w:rPr>
      </w:pPr>
      <w:r>
        <w:rPr>
          <w:rFonts w:hint="eastAsia" w:ascii="仿宋" w:hAnsi="仿宋" w:eastAsia="仿宋" w:cs="仿宋"/>
          <w:sz w:val="32"/>
          <w:szCs w:val="32"/>
        </w:rPr>
        <w:t>1、一般公共预算拨款收入：指区级财政当年拨付的资金。</w:t>
      </w:r>
    </w:p>
    <w:p>
      <w:pPr>
        <w:ind w:firstLine="640" w:firstLineChars="200"/>
        <w:rPr>
          <w:rFonts w:ascii="仿宋" w:hAnsi="仿宋" w:eastAsia="仿宋" w:cs="仿宋"/>
          <w:sz w:val="32"/>
          <w:szCs w:val="32"/>
        </w:rPr>
      </w:pPr>
      <w:r>
        <w:rPr>
          <w:rFonts w:hint="eastAsia" w:ascii="仿宋" w:hAnsi="仿宋" w:eastAsia="仿宋" w:cs="仿宋"/>
          <w:sz w:val="32"/>
          <w:szCs w:val="32"/>
        </w:rPr>
        <w:t>2、事业收入：指事业单位开展专业业务活动及辅助活动所取得的收入。</w:t>
      </w:r>
    </w:p>
    <w:p>
      <w:pPr>
        <w:ind w:firstLine="640" w:firstLineChars="200"/>
        <w:rPr>
          <w:rFonts w:ascii="仿宋" w:hAnsi="仿宋" w:eastAsia="仿宋" w:cs="仿宋"/>
          <w:sz w:val="32"/>
          <w:szCs w:val="32"/>
        </w:rPr>
      </w:pPr>
      <w:r>
        <w:rPr>
          <w:rFonts w:hint="eastAsia" w:ascii="仿宋" w:hAnsi="仿宋" w:eastAsia="仿宋" w:cs="仿宋"/>
          <w:sz w:val="32"/>
          <w:szCs w:val="32"/>
        </w:rPr>
        <w:t>3、其他收入：指除“一般公共预算拨款收入”、“事业收入”等以外的收入。主要是按规定动用的租房收入、存款利息收入等。</w:t>
      </w:r>
    </w:p>
    <w:p>
      <w:pPr>
        <w:ind w:firstLine="640" w:firstLineChars="200"/>
        <w:rPr>
          <w:rFonts w:ascii="仿宋" w:hAnsi="仿宋" w:eastAsia="仿宋" w:cs="仿宋"/>
          <w:sz w:val="32"/>
          <w:szCs w:val="32"/>
        </w:rPr>
      </w:pPr>
      <w:r>
        <w:rPr>
          <w:rFonts w:hint="eastAsia" w:ascii="仿宋" w:hAnsi="仿宋" w:eastAsia="仿宋" w:cs="仿宋"/>
          <w:sz w:val="32"/>
          <w:szCs w:val="32"/>
        </w:rPr>
        <w:t>4、基本支出：指为保障机构正常运转、完成日常工作任务而发生的人员支出和公用支出。</w:t>
      </w:r>
    </w:p>
    <w:p>
      <w:pPr>
        <w:ind w:firstLine="640" w:firstLineChars="200"/>
        <w:rPr>
          <w:rFonts w:ascii="仿宋" w:hAnsi="仿宋" w:eastAsia="仿宋" w:cs="仿宋"/>
          <w:sz w:val="32"/>
          <w:szCs w:val="32"/>
        </w:rPr>
      </w:pPr>
      <w:r>
        <w:rPr>
          <w:rFonts w:hint="eastAsia" w:ascii="仿宋" w:hAnsi="仿宋" w:eastAsia="仿宋" w:cs="仿宋"/>
          <w:sz w:val="32"/>
          <w:szCs w:val="32"/>
        </w:rPr>
        <w:t>5、项目支出：指在基本支出之外为完成特定行政任务和事业发展目标所发生的支出。</w:t>
      </w:r>
    </w:p>
    <w:p>
      <w:pPr>
        <w:ind w:firstLine="640" w:firstLineChars="200"/>
        <w:rPr>
          <w:rFonts w:ascii="仿宋" w:hAnsi="仿宋" w:eastAsia="仿宋" w:cs="仿宋"/>
          <w:sz w:val="32"/>
          <w:szCs w:val="32"/>
        </w:rPr>
      </w:pPr>
      <w:r>
        <w:rPr>
          <w:rFonts w:hint="eastAsia" w:ascii="仿宋" w:hAnsi="仿宋" w:eastAsia="仿宋" w:cs="仿宋"/>
          <w:sz w:val="32"/>
          <w:szCs w:val="32"/>
        </w:rPr>
        <w:t>6、上缴上级支出：指下级单位上缴上级的支出。</w:t>
      </w:r>
    </w:p>
    <w:p>
      <w:pPr>
        <w:ind w:firstLine="640" w:firstLineChars="200"/>
        <w:rPr>
          <w:rFonts w:ascii="仿宋" w:hAnsi="仿宋" w:eastAsia="仿宋" w:cs="仿宋"/>
          <w:sz w:val="32"/>
          <w:szCs w:val="32"/>
        </w:rPr>
      </w:pPr>
      <w:r>
        <w:rPr>
          <w:rFonts w:hint="eastAsia" w:ascii="仿宋" w:hAnsi="仿宋" w:eastAsia="仿宋" w:cs="仿宋"/>
          <w:sz w:val="32"/>
          <w:szCs w:val="32"/>
        </w:rPr>
        <w:t>7、“三公”经费：纳入区级财政预算管理的“三公”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仿宋" w:hAnsi="仿宋" w:eastAsia="仿宋" w:cs="仿宋"/>
          <w:sz w:val="32"/>
          <w:szCs w:val="32"/>
        </w:rPr>
      </w:pPr>
      <w:r>
        <w:rPr>
          <w:rFonts w:hint="eastAsia" w:ascii="仿宋" w:hAnsi="仿宋" w:eastAsia="仿宋" w:cs="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仿宋" w:hAnsi="仿宋" w:eastAsia="仿宋" w:cs="仿宋"/>
          <w:sz w:val="32"/>
          <w:szCs w:val="32"/>
        </w:rPr>
      </w:pPr>
      <w:r>
        <w:rPr>
          <w:rFonts w:hint="eastAsia" w:ascii="仿宋" w:hAnsi="仿宋" w:eastAsia="仿宋" w:cs="仿宋"/>
          <w:sz w:val="32"/>
          <w:szCs w:val="32"/>
        </w:rPr>
        <w:t>9、上年结转：指以前年度尚未完成、结转到本年仍按原规定用途继续使用的资金。</w:t>
      </w:r>
    </w:p>
    <w:p>
      <w:pPr>
        <w:ind w:firstLine="640" w:firstLineChars="200"/>
        <w:rPr>
          <w:rFonts w:ascii="仿宋" w:hAnsi="仿宋" w:eastAsia="仿宋" w:cs="仿宋"/>
          <w:sz w:val="32"/>
          <w:szCs w:val="32"/>
        </w:rPr>
      </w:pPr>
      <w:r>
        <w:rPr>
          <w:rFonts w:hint="eastAsia" w:ascii="仿宋" w:hAnsi="仿宋" w:eastAsia="仿宋" w:cs="仿宋"/>
          <w:sz w:val="32"/>
          <w:szCs w:val="32"/>
        </w:rPr>
        <w:t>10、事业单位经营支出：指事业单位在专业业务活动及其辅助活动之外开展非独立核算经营活动发生的支出。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九、其他需要说明的事项</w:t>
      </w:r>
    </w:p>
    <w:p>
      <w:pPr>
        <w:ind w:firstLine="640" w:firstLineChars="200"/>
        <w:rPr>
          <w:rFonts w:ascii="仿宋" w:hAnsi="仿宋" w:eastAsia="仿宋" w:cs="仿宋"/>
          <w:sz w:val="32"/>
          <w:szCs w:val="32"/>
        </w:rPr>
      </w:pPr>
      <w:r>
        <w:rPr>
          <w:rFonts w:hint="eastAsia" w:ascii="仿宋" w:hAnsi="仿宋" w:eastAsia="仿宋" w:cs="仿宋"/>
          <w:sz w:val="32"/>
          <w:szCs w:val="32"/>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2000000000000000000"/>
    <w:charset w:val="86"/>
    <w:family w:val="roman"/>
    <w:pitch w:val="default"/>
    <w:sig w:usb0="00000000" w:usb1="00000000"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2000000000000000000"/>
    <w:charset w:val="86"/>
    <w:family w:val="roman"/>
    <w:pitch w:val="default"/>
    <w:sig w:usb0="00000000" w:usb1="00000000" w:usb2="00082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方正书宋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Dg1MTkxMjY0M2I0NTRlNDIwNTIwMjFlMmYxNDlmMzUifQ=="/>
  </w:docVars>
  <w:rsids>
    <w:rsidRoot w:val="00F66032"/>
    <w:rsid w:val="00034786"/>
    <w:rsid w:val="00037A92"/>
    <w:rsid w:val="00037AF6"/>
    <w:rsid w:val="00042F57"/>
    <w:rsid w:val="0006483E"/>
    <w:rsid w:val="00075D5F"/>
    <w:rsid w:val="0008102F"/>
    <w:rsid w:val="000B529B"/>
    <w:rsid w:val="000C3A19"/>
    <w:rsid w:val="001106A6"/>
    <w:rsid w:val="001245BB"/>
    <w:rsid w:val="001251A3"/>
    <w:rsid w:val="001457DC"/>
    <w:rsid w:val="00165294"/>
    <w:rsid w:val="00196039"/>
    <w:rsid w:val="001B4EF3"/>
    <w:rsid w:val="001E0246"/>
    <w:rsid w:val="001F7873"/>
    <w:rsid w:val="002148CA"/>
    <w:rsid w:val="00223DEC"/>
    <w:rsid w:val="00241FD4"/>
    <w:rsid w:val="00251B12"/>
    <w:rsid w:val="00260BF2"/>
    <w:rsid w:val="00296113"/>
    <w:rsid w:val="002A673A"/>
    <w:rsid w:val="002C07BE"/>
    <w:rsid w:val="002C5E13"/>
    <w:rsid w:val="002C62BC"/>
    <w:rsid w:val="002E0EB8"/>
    <w:rsid w:val="002F1323"/>
    <w:rsid w:val="002F3E58"/>
    <w:rsid w:val="0030542C"/>
    <w:rsid w:val="00311B7A"/>
    <w:rsid w:val="003524B4"/>
    <w:rsid w:val="00372FA3"/>
    <w:rsid w:val="003B17E6"/>
    <w:rsid w:val="003D417F"/>
    <w:rsid w:val="003F60E9"/>
    <w:rsid w:val="004248B8"/>
    <w:rsid w:val="00424943"/>
    <w:rsid w:val="0043175C"/>
    <w:rsid w:val="00437296"/>
    <w:rsid w:val="00450BFC"/>
    <w:rsid w:val="00451590"/>
    <w:rsid w:val="00451871"/>
    <w:rsid w:val="004631FC"/>
    <w:rsid w:val="004706DE"/>
    <w:rsid w:val="00472923"/>
    <w:rsid w:val="00473A35"/>
    <w:rsid w:val="00491F3C"/>
    <w:rsid w:val="00496109"/>
    <w:rsid w:val="004B0C3A"/>
    <w:rsid w:val="004D5788"/>
    <w:rsid w:val="004E3066"/>
    <w:rsid w:val="004E74CD"/>
    <w:rsid w:val="00516E04"/>
    <w:rsid w:val="00565588"/>
    <w:rsid w:val="00572067"/>
    <w:rsid w:val="00573562"/>
    <w:rsid w:val="00590ECE"/>
    <w:rsid w:val="00592ADD"/>
    <w:rsid w:val="00614A29"/>
    <w:rsid w:val="00626E30"/>
    <w:rsid w:val="00643AA7"/>
    <w:rsid w:val="0066226C"/>
    <w:rsid w:val="00673D76"/>
    <w:rsid w:val="00674CD7"/>
    <w:rsid w:val="006854F0"/>
    <w:rsid w:val="006B1C4A"/>
    <w:rsid w:val="006B610D"/>
    <w:rsid w:val="006E49F5"/>
    <w:rsid w:val="006F6A50"/>
    <w:rsid w:val="007013C8"/>
    <w:rsid w:val="00717B1E"/>
    <w:rsid w:val="00723885"/>
    <w:rsid w:val="00753836"/>
    <w:rsid w:val="0075393C"/>
    <w:rsid w:val="00754592"/>
    <w:rsid w:val="00757D8A"/>
    <w:rsid w:val="00776C08"/>
    <w:rsid w:val="007C219A"/>
    <w:rsid w:val="007D61EB"/>
    <w:rsid w:val="007D7524"/>
    <w:rsid w:val="007E1DA8"/>
    <w:rsid w:val="007F6C26"/>
    <w:rsid w:val="00813208"/>
    <w:rsid w:val="008334AE"/>
    <w:rsid w:val="00836FED"/>
    <w:rsid w:val="0083724E"/>
    <w:rsid w:val="00845CD2"/>
    <w:rsid w:val="00852B0D"/>
    <w:rsid w:val="00881692"/>
    <w:rsid w:val="00883D1A"/>
    <w:rsid w:val="008A25C2"/>
    <w:rsid w:val="008A6576"/>
    <w:rsid w:val="008B03ED"/>
    <w:rsid w:val="008B1CF0"/>
    <w:rsid w:val="008B3CC5"/>
    <w:rsid w:val="008B52CD"/>
    <w:rsid w:val="008E4261"/>
    <w:rsid w:val="008F4662"/>
    <w:rsid w:val="00905D08"/>
    <w:rsid w:val="00922AEB"/>
    <w:rsid w:val="00925753"/>
    <w:rsid w:val="009425F4"/>
    <w:rsid w:val="00966C5C"/>
    <w:rsid w:val="00973104"/>
    <w:rsid w:val="00992660"/>
    <w:rsid w:val="00995BF0"/>
    <w:rsid w:val="009A16D5"/>
    <w:rsid w:val="009A353D"/>
    <w:rsid w:val="009B0B77"/>
    <w:rsid w:val="009B511E"/>
    <w:rsid w:val="009D5CF4"/>
    <w:rsid w:val="009F7E87"/>
    <w:rsid w:val="00A1108A"/>
    <w:rsid w:val="00A44E3D"/>
    <w:rsid w:val="00A72D2E"/>
    <w:rsid w:val="00A74447"/>
    <w:rsid w:val="00A74CE5"/>
    <w:rsid w:val="00A911E7"/>
    <w:rsid w:val="00A939D9"/>
    <w:rsid w:val="00AC36E3"/>
    <w:rsid w:val="00B07D9E"/>
    <w:rsid w:val="00B15709"/>
    <w:rsid w:val="00B17F71"/>
    <w:rsid w:val="00B20712"/>
    <w:rsid w:val="00B21675"/>
    <w:rsid w:val="00B43238"/>
    <w:rsid w:val="00B45DD3"/>
    <w:rsid w:val="00B52632"/>
    <w:rsid w:val="00B727A9"/>
    <w:rsid w:val="00B75216"/>
    <w:rsid w:val="00B91D52"/>
    <w:rsid w:val="00B9490F"/>
    <w:rsid w:val="00BA1ACD"/>
    <w:rsid w:val="00BA549B"/>
    <w:rsid w:val="00BD09F8"/>
    <w:rsid w:val="00BE3EDF"/>
    <w:rsid w:val="00BF003F"/>
    <w:rsid w:val="00C45133"/>
    <w:rsid w:val="00C64220"/>
    <w:rsid w:val="00C65170"/>
    <w:rsid w:val="00C9180A"/>
    <w:rsid w:val="00CA7176"/>
    <w:rsid w:val="00CB3D48"/>
    <w:rsid w:val="00CB4665"/>
    <w:rsid w:val="00CC75B0"/>
    <w:rsid w:val="00CD2773"/>
    <w:rsid w:val="00CE143B"/>
    <w:rsid w:val="00CF3268"/>
    <w:rsid w:val="00D0024A"/>
    <w:rsid w:val="00D27003"/>
    <w:rsid w:val="00D30E16"/>
    <w:rsid w:val="00D9489C"/>
    <w:rsid w:val="00DB4A9B"/>
    <w:rsid w:val="00E167C7"/>
    <w:rsid w:val="00E233C5"/>
    <w:rsid w:val="00E2482E"/>
    <w:rsid w:val="00E26706"/>
    <w:rsid w:val="00E34F6D"/>
    <w:rsid w:val="00E468EF"/>
    <w:rsid w:val="00E73D47"/>
    <w:rsid w:val="00EA759F"/>
    <w:rsid w:val="00EC47F6"/>
    <w:rsid w:val="00EE156D"/>
    <w:rsid w:val="00EE65B8"/>
    <w:rsid w:val="00F05511"/>
    <w:rsid w:val="00F149E2"/>
    <w:rsid w:val="00F66032"/>
    <w:rsid w:val="00F87C1E"/>
    <w:rsid w:val="00F958C2"/>
    <w:rsid w:val="00FB29C2"/>
    <w:rsid w:val="00FD1D01"/>
    <w:rsid w:val="00FF7632"/>
    <w:rsid w:val="36801CC7"/>
    <w:rsid w:val="3AAB36E3"/>
    <w:rsid w:val="43953AAD"/>
    <w:rsid w:val="706D225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semiHidden="0" w:name="footnote reference"/>
    <w:lsdException w:uiPriority="99" w:name="annotation reference"/>
    <w:lsdException w:uiPriority="99" w:name="line number"/>
    <w:lsdException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5"/>
    <w:unhideWhenUsed/>
    <w:qFormat/>
    <w:uiPriority w:val="99"/>
    <w:rPr>
      <w:sz w:val="18"/>
      <w:szCs w:val="18"/>
    </w:rPr>
  </w:style>
  <w:style w:type="paragraph" w:styleId="3">
    <w:name w:val="footer"/>
    <w:basedOn w:val="1"/>
    <w:link w:val="14"/>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link w:val="13"/>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5">
    <w:name w:val="toc 1"/>
    <w:basedOn w:val="1"/>
    <w:next w:val="1"/>
    <w:qFormat/>
    <w:uiPriority w:val="39"/>
    <w:rPr>
      <w:rFonts w:ascii="Times New Roman" w:hAnsi="Times New Roman" w:eastAsia="宋体" w:cs="Times New Roman"/>
      <w:szCs w:val="24"/>
    </w:rPr>
  </w:style>
  <w:style w:type="paragraph" w:styleId="6">
    <w:name w:val="footnote text"/>
    <w:basedOn w:val="1"/>
    <w:link w:val="17"/>
    <w:unhideWhenUsed/>
    <w:qFormat/>
    <w:uiPriority w:val="99"/>
    <w:pPr>
      <w:snapToGrid w:val="0"/>
      <w:jc w:val="left"/>
    </w:pPr>
    <w:rPr>
      <w:rFonts w:ascii="Calibri" w:hAnsi="Calibri" w:eastAsia="宋体" w:cs="Times New Roman"/>
      <w:sz w:val="18"/>
      <w:szCs w:val="18"/>
    </w:rPr>
  </w:style>
  <w:style w:type="paragraph" w:styleId="7">
    <w:name w:val="toc 2"/>
    <w:basedOn w:val="1"/>
    <w:next w:val="1"/>
    <w:qFormat/>
    <w:uiPriority w:val="39"/>
    <w:pPr>
      <w:ind w:left="420" w:leftChars="200"/>
    </w:pPr>
    <w:rPr>
      <w:rFonts w:ascii="Times New Roman" w:hAnsi="Times New Roman" w:eastAsia="宋体" w:cs="Times New Roman"/>
      <w:szCs w:val="24"/>
    </w:rPr>
  </w:style>
  <w:style w:type="character" w:styleId="10">
    <w:name w:val="page number"/>
    <w:unhideWhenUsed/>
    <w:uiPriority w:val="99"/>
  </w:style>
  <w:style w:type="character" w:styleId="11">
    <w:name w:val="Hyperlink"/>
    <w:unhideWhenUsed/>
    <w:qFormat/>
    <w:uiPriority w:val="99"/>
    <w:rPr>
      <w:color w:val="0000FF"/>
      <w:u w:val="single"/>
    </w:rPr>
  </w:style>
  <w:style w:type="character" w:styleId="12">
    <w:name w:val="footnote reference"/>
    <w:unhideWhenUsed/>
    <w:uiPriority w:val="99"/>
    <w:rPr>
      <w:vertAlign w:val="superscript"/>
    </w:rPr>
  </w:style>
  <w:style w:type="character" w:customStyle="1" w:styleId="13">
    <w:name w:val="页眉 Char"/>
    <w:basedOn w:val="9"/>
    <w:link w:val="4"/>
    <w:uiPriority w:val="99"/>
    <w:rPr>
      <w:rFonts w:ascii="Times New Roman" w:hAnsi="Times New Roman" w:eastAsia="宋体" w:cs="Times New Roman"/>
      <w:sz w:val="18"/>
      <w:szCs w:val="18"/>
    </w:rPr>
  </w:style>
  <w:style w:type="character" w:customStyle="1" w:styleId="14">
    <w:name w:val="页脚 Char"/>
    <w:basedOn w:val="9"/>
    <w:link w:val="3"/>
    <w:uiPriority w:val="99"/>
    <w:rPr>
      <w:rFonts w:ascii="Times New Roman" w:hAnsi="Times New Roman" w:eastAsia="宋体" w:cs="Times New Roman"/>
      <w:sz w:val="18"/>
      <w:szCs w:val="18"/>
    </w:rPr>
  </w:style>
  <w:style w:type="character" w:customStyle="1" w:styleId="15">
    <w:name w:val="批注框文本 Char"/>
    <w:basedOn w:val="9"/>
    <w:link w:val="2"/>
    <w:semiHidden/>
    <w:uiPriority w:val="99"/>
    <w:rPr>
      <w:sz w:val="18"/>
      <w:szCs w:val="18"/>
    </w:rPr>
  </w:style>
  <w:style w:type="paragraph" w:customStyle="1" w:styleId="16">
    <w:name w:val="Default"/>
    <w:uiPriority w:val="0"/>
    <w:pPr>
      <w:widowControl w:val="0"/>
      <w:autoSpaceDE w:val="0"/>
      <w:autoSpaceDN w:val="0"/>
      <w:adjustRightInd w:val="0"/>
    </w:pPr>
    <w:rPr>
      <w:rFonts w:ascii="Times New Roman" w:hAnsi="Times New Roman" w:cs="Times New Roman" w:eastAsiaTheme="minorEastAsia"/>
      <w:color w:val="000000"/>
      <w:sz w:val="24"/>
      <w:szCs w:val="24"/>
      <w:lang w:val="en-US" w:eastAsia="zh-CN" w:bidi="ar-SA"/>
    </w:rPr>
  </w:style>
  <w:style w:type="character" w:customStyle="1" w:styleId="17">
    <w:name w:val="脚注文本 Char"/>
    <w:basedOn w:val="9"/>
    <w:link w:val="6"/>
    <w:semiHidden/>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34FA0A-4C98-49D9-A135-B77C26CA4976}">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23</Pages>
  <Words>9525</Words>
  <Characters>10108</Characters>
  <Lines>76</Lines>
  <Paragraphs>21</Paragraphs>
  <TotalTime>161</TotalTime>
  <ScaleCrop>false</ScaleCrop>
  <LinksUpToDate>false</LinksUpToDate>
  <CharactersWithSpaces>10154</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2019-01-15T00:52:00Z</dcterms:created>
  <dc:creator>guest</dc:creator>
  <cp:lastModifiedBy>Administrator</cp:lastModifiedBy>
  <cp:lastPrinted>2017-11-09T01:12:00Z</cp:lastPrinted>
  <dcterms:modified xsi:type="dcterms:W3CDTF">2024-07-04T01:18:34Z</dcterms:modified>
  <dc:title>河北省财政厅2019年部门预算信息公开情况说明</dc:title>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3A39D74ECC13499D8F67993C2D88B385</vt:lpwstr>
  </property>
</Properties>
</file>