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880" w:firstLineChars="200"/>
        <w:jc w:val="center"/>
        <w:rPr>
          <w:rFonts w:ascii="Times New Roman" w:hAnsi="Times New Roman" w:eastAsia="方正小标宋_GBK" w:cs="Times New Roman"/>
          <w:sz w:val="44"/>
          <w:szCs w:val="44"/>
        </w:rPr>
      </w:pPr>
      <w:r>
        <w:rPr>
          <w:rFonts w:hint="eastAsia" w:ascii="Times New Roman" w:hAnsi="Times New Roman" w:eastAsia="方正小标宋_GBK" w:cs="Times New Roman"/>
          <w:sz w:val="44"/>
          <w:szCs w:val="44"/>
          <w:lang w:eastAsia="zh-CN"/>
        </w:rPr>
        <w:t>石家庄市鹿泉区医疗保障局</w:t>
      </w:r>
      <w:r>
        <w:rPr>
          <w:rFonts w:ascii="Times New Roman" w:hAnsi="Times New Roman" w:eastAsia="方正小标宋_GBK" w:cs="Times New Roman"/>
          <w:sz w:val="44"/>
          <w:szCs w:val="44"/>
        </w:rPr>
        <w:t>201</w:t>
      </w:r>
      <w:r>
        <w:rPr>
          <w:rFonts w:hint="eastAsia" w:ascii="Times New Roman" w:hAnsi="Times New Roman" w:eastAsia="方正小标宋_GBK" w:cs="Times New Roman"/>
          <w:sz w:val="44"/>
          <w:szCs w:val="44"/>
        </w:rPr>
        <w:t>9</w:t>
      </w:r>
      <w:r>
        <w:rPr>
          <w:rFonts w:ascii="Times New Roman" w:hAnsi="Times New Roman" w:eastAsia="方正小标宋_GBK" w:cs="Times New Roman"/>
          <w:sz w:val="44"/>
          <w:szCs w:val="44"/>
        </w:rPr>
        <w:t>年部门预算信息公开</w:t>
      </w:r>
      <w:r>
        <w:rPr>
          <w:rFonts w:hint="eastAsia" w:ascii="Times New Roman" w:hAnsi="Times New Roman" w:eastAsia="方正小标宋_GBK" w:cs="Times New Roman"/>
          <w:sz w:val="44"/>
          <w:szCs w:val="44"/>
        </w:rPr>
        <w:t>情况说明</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按照</w:t>
      </w:r>
      <w:r>
        <w:rPr>
          <w:rFonts w:hint="eastAsia" w:ascii="仿宋" w:hAnsi="仿宋" w:eastAsia="仿宋" w:cs="仿宋"/>
          <w:sz w:val="32"/>
          <w:szCs w:val="32"/>
          <w:lang w:eastAsia="zh-CN"/>
        </w:rPr>
        <w:t>《中华人民共和国预算法》</w:t>
      </w:r>
      <w:r>
        <w:rPr>
          <w:rFonts w:hint="eastAsia" w:ascii="仿宋" w:hAnsi="仿宋" w:eastAsia="仿宋" w:cs="仿宋"/>
          <w:sz w:val="32"/>
          <w:szCs w:val="32"/>
        </w:rPr>
        <w:t>、《地方预决算公开操作规程》和《河北省省级预算公开办法》规定</w:t>
      </w:r>
      <w:r>
        <w:rPr>
          <w:rFonts w:hint="eastAsia" w:ascii="仿宋" w:hAnsi="仿宋" w:eastAsia="仿宋" w:cs="仿宋"/>
          <w:sz w:val="32"/>
          <w:szCs w:val="32"/>
          <w:lang w:eastAsia="zh-CN"/>
        </w:rPr>
        <w:t>，</w:t>
      </w:r>
      <w:r>
        <w:rPr>
          <w:rFonts w:hint="eastAsia" w:ascii="仿宋" w:hAnsi="仿宋" w:eastAsia="仿宋" w:cs="仿宋"/>
          <w:sz w:val="32"/>
          <w:szCs w:val="32"/>
        </w:rPr>
        <w:t>现将</w:t>
      </w:r>
      <w:r>
        <w:rPr>
          <w:rFonts w:hint="eastAsia" w:ascii="仿宋" w:hAnsi="仿宋" w:eastAsia="仿宋" w:cs="仿宋"/>
          <w:sz w:val="32"/>
          <w:szCs w:val="32"/>
          <w:lang w:eastAsia="zh-CN"/>
        </w:rPr>
        <w:t>石家庄市鹿泉区医疗保障局</w:t>
      </w:r>
      <w:r>
        <w:rPr>
          <w:rFonts w:hint="eastAsia" w:ascii="仿宋" w:hAnsi="仿宋" w:eastAsia="仿宋" w:cs="仿宋"/>
          <w:sz w:val="32"/>
          <w:szCs w:val="32"/>
        </w:rPr>
        <w:t>2019年部门预算公开如下：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3" w:firstLineChars="200"/>
        <w:rPr>
          <w:rFonts w:ascii="方正仿宋_GBK" w:eastAsia="方正仿宋_GBK"/>
          <w:sz w:val="28"/>
        </w:rPr>
      </w:pPr>
      <w:r>
        <w:rPr>
          <w:rFonts w:hint="eastAsia" w:ascii="Times New Roman" w:hAnsi="Times New Roman" w:eastAsia="方正仿宋_GBK" w:cs="Times New Roman"/>
          <w:b/>
          <w:sz w:val="32"/>
          <w:szCs w:val="32"/>
        </w:rPr>
        <w:t>部门</w:t>
      </w:r>
      <w:r>
        <w:rPr>
          <w:rFonts w:ascii="Times New Roman" w:hAnsi="Times New Roman" w:eastAsia="方正仿宋_GBK" w:cs="Times New Roman"/>
          <w:b/>
          <w:sz w:val="32"/>
          <w:szCs w:val="32"/>
        </w:rPr>
        <w:t>职责：</w:t>
      </w:r>
    </w:p>
    <w:p>
      <w:pPr>
        <w:spacing w:line="500" w:lineRule="exact"/>
        <w:ind w:firstLine="560"/>
        <w:rPr>
          <w:rFonts w:hint="eastAsia" w:ascii="仿宋" w:hAnsi="仿宋" w:eastAsia="仿宋" w:cs="仿宋"/>
          <w:b w:val="0"/>
          <w:bCs w:val="0"/>
          <w:sz w:val="32"/>
          <w:szCs w:val="32"/>
        </w:rPr>
      </w:pPr>
      <w:r>
        <w:rPr>
          <w:rFonts w:ascii="方正仿宋_GBK" w:eastAsia="方正仿宋_GBK"/>
          <w:sz w:val="28"/>
        </w:rPr>
        <w:t xml:space="preserve">  </w:t>
      </w:r>
      <w:r>
        <w:rPr>
          <w:rFonts w:hint="eastAsia" w:ascii="仿宋" w:hAnsi="仿宋" w:eastAsia="仿宋" w:cs="仿宋"/>
          <w:b w:val="0"/>
          <w:bCs w:val="0"/>
          <w:sz w:val="32"/>
          <w:szCs w:val="32"/>
        </w:rPr>
        <w:t xml:space="preserve">  （一）拟订全</w:t>
      </w:r>
      <w:r>
        <w:rPr>
          <w:rFonts w:hint="eastAsia" w:ascii="仿宋" w:hAnsi="仿宋" w:eastAsia="仿宋" w:cs="仿宋"/>
          <w:b w:val="0"/>
          <w:bCs w:val="0"/>
          <w:sz w:val="32"/>
          <w:szCs w:val="32"/>
          <w:lang w:eastAsia="zh-CN"/>
        </w:rPr>
        <w:t>区</w:t>
      </w:r>
      <w:r>
        <w:rPr>
          <w:rFonts w:hint="eastAsia" w:ascii="仿宋" w:hAnsi="仿宋" w:eastAsia="仿宋" w:cs="仿宋"/>
          <w:b w:val="0"/>
          <w:bCs w:val="0"/>
          <w:sz w:val="32"/>
          <w:szCs w:val="32"/>
        </w:rPr>
        <w:t>城镇职工和城乡居民医疗保险、生育保险、长期护理保险、医疗救助等医疗保障地方性法规、政府规章草案以及政策、制度、规划和标准。</w:t>
      </w:r>
    </w:p>
    <w:p>
      <w:pPr>
        <w:spacing w:line="500" w:lineRule="exact"/>
        <w:ind w:firstLine="560"/>
        <w:rPr>
          <w:rFonts w:hint="eastAsia" w:ascii="仿宋" w:hAnsi="仿宋" w:eastAsia="仿宋" w:cs="仿宋"/>
          <w:b w:val="0"/>
          <w:bCs w:val="0"/>
          <w:sz w:val="32"/>
          <w:szCs w:val="32"/>
        </w:rPr>
      </w:pPr>
      <w:r>
        <w:rPr>
          <w:rFonts w:hint="eastAsia" w:ascii="仿宋" w:hAnsi="仿宋" w:eastAsia="仿宋" w:cs="仿宋"/>
          <w:b w:val="0"/>
          <w:bCs w:val="0"/>
          <w:sz w:val="32"/>
          <w:szCs w:val="32"/>
        </w:rPr>
        <w:t xml:space="preserve">    （二）拟定完善全</w:t>
      </w:r>
      <w:r>
        <w:rPr>
          <w:rFonts w:hint="eastAsia" w:ascii="仿宋" w:hAnsi="仿宋" w:eastAsia="仿宋" w:cs="仿宋"/>
          <w:b w:val="0"/>
          <w:bCs w:val="0"/>
          <w:sz w:val="32"/>
          <w:szCs w:val="32"/>
          <w:lang w:eastAsia="zh-CN"/>
        </w:rPr>
        <w:t>区</w:t>
      </w:r>
      <w:r>
        <w:rPr>
          <w:rFonts w:hint="eastAsia" w:ascii="仿宋" w:hAnsi="仿宋" w:eastAsia="仿宋" w:cs="仿宋"/>
          <w:b w:val="0"/>
          <w:bCs w:val="0"/>
          <w:sz w:val="32"/>
          <w:szCs w:val="32"/>
        </w:rPr>
        <w:t>医疗保障基金监督管理办法，建立健全医疗保障基金安全防控机制，组织建设网络信息和智能监控平台，推进医疗保障基金支付方式改革，并组织实施。</w:t>
      </w:r>
    </w:p>
    <w:p>
      <w:pPr>
        <w:spacing w:line="500" w:lineRule="exact"/>
        <w:ind w:firstLine="560"/>
        <w:rPr>
          <w:rFonts w:hint="eastAsia" w:ascii="仿宋" w:hAnsi="仿宋" w:eastAsia="仿宋" w:cs="仿宋"/>
          <w:b w:val="0"/>
          <w:bCs w:val="0"/>
          <w:sz w:val="32"/>
          <w:szCs w:val="32"/>
        </w:rPr>
      </w:pPr>
      <w:r>
        <w:rPr>
          <w:rFonts w:hint="eastAsia" w:ascii="仿宋" w:hAnsi="仿宋" w:eastAsia="仿宋" w:cs="仿宋"/>
          <w:b w:val="0"/>
          <w:bCs w:val="0"/>
          <w:sz w:val="32"/>
          <w:szCs w:val="32"/>
        </w:rPr>
        <w:t xml:space="preserve">    （三）组织制定全</w:t>
      </w:r>
      <w:r>
        <w:rPr>
          <w:rFonts w:hint="eastAsia" w:ascii="仿宋" w:hAnsi="仿宋" w:eastAsia="仿宋" w:cs="仿宋"/>
          <w:b w:val="0"/>
          <w:bCs w:val="0"/>
          <w:sz w:val="32"/>
          <w:szCs w:val="32"/>
          <w:lang w:eastAsia="zh-CN"/>
        </w:rPr>
        <w:t>区</w:t>
      </w:r>
      <w:r>
        <w:rPr>
          <w:rFonts w:hint="eastAsia" w:ascii="仿宋" w:hAnsi="仿宋" w:eastAsia="仿宋" w:cs="仿宋"/>
          <w:b w:val="0"/>
          <w:bCs w:val="0"/>
          <w:sz w:val="32"/>
          <w:szCs w:val="32"/>
        </w:rPr>
        <w:t>城镇职工、城乡居民参保筹资和保障待遇政策，统筹城乡医疗保障政策标准，建立健全与筹资水平相适应的待遇调整机制。拟订长期护理保险制度方案及政策标准并组织实施。</w:t>
      </w:r>
    </w:p>
    <w:p>
      <w:pPr>
        <w:spacing w:line="500" w:lineRule="exact"/>
        <w:ind w:firstLine="560"/>
        <w:rPr>
          <w:rFonts w:hint="eastAsia" w:ascii="仿宋" w:hAnsi="仿宋" w:eastAsia="仿宋" w:cs="仿宋"/>
          <w:b w:val="0"/>
          <w:bCs w:val="0"/>
          <w:sz w:val="32"/>
          <w:szCs w:val="32"/>
        </w:rPr>
      </w:pPr>
      <w:r>
        <w:rPr>
          <w:rFonts w:hint="eastAsia" w:ascii="仿宋" w:hAnsi="仿宋" w:eastAsia="仿宋" w:cs="仿宋"/>
          <w:b w:val="0"/>
          <w:bCs w:val="0"/>
          <w:sz w:val="32"/>
          <w:szCs w:val="32"/>
        </w:rPr>
        <w:t xml:space="preserve">    （四）组织制定全</w:t>
      </w:r>
      <w:r>
        <w:rPr>
          <w:rFonts w:hint="eastAsia" w:ascii="仿宋" w:hAnsi="仿宋" w:eastAsia="仿宋" w:cs="仿宋"/>
          <w:b w:val="0"/>
          <w:bCs w:val="0"/>
          <w:sz w:val="32"/>
          <w:szCs w:val="32"/>
          <w:lang w:eastAsia="zh-CN"/>
        </w:rPr>
        <w:t>区</w:t>
      </w:r>
      <w:r>
        <w:rPr>
          <w:rFonts w:hint="eastAsia" w:ascii="仿宋" w:hAnsi="仿宋" w:eastAsia="仿宋" w:cs="仿宋"/>
          <w:b w:val="0"/>
          <w:bCs w:val="0"/>
          <w:sz w:val="32"/>
          <w:szCs w:val="32"/>
        </w:rPr>
        <w:t>城乡统一的药品、医用耗材、医疗服务项目、医疗服务设施等医保支付标准，建立动态调整机制，并组织实施。</w:t>
      </w:r>
    </w:p>
    <w:p>
      <w:pPr>
        <w:spacing w:line="500" w:lineRule="exact"/>
        <w:ind w:firstLine="560"/>
        <w:rPr>
          <w:rFonts w:hint="eastAsia" w:ascii="仿宋" w:hAnsi="仿宋" w:eastAsia="仿宋" w:cs="仿宋"/>
          <w:b w:val="0"/>
          <w:bCs w:val="0"/>
          <w:sz w:val="32"/>
          <w:szCs w:val="32"/>
        </w:rPr>
      </w:pPr>
      <w:r>
        <w:rPr>
          <w:rFonts w:hint="eastAsia" w:ascii="仿宋" w:hAnsi="仿宋" w:eastAsia="仿宋" w:cs="仿宋"/>
          <w:b w:val="0"/>
          <w:bCs w:val="0"/>
          <w:sz w:val="32"/>
          <w:szCs w:val="32"/>
        </w:rPr>
        <w:t xml:space="preserve">    （五）组织制定全</w:t>
      </w:r>
      <w:r>
        <w:rPr>
          <w:rFonts w:hint="eastAsia" w:ascii="仿宋" w:hAnsi="仿宋" w:eastAsia="仿宋" w:cs="仿宋"/>
          <w:b w:val="0"/>
          <w:bCs w:val="0"/>
          <w:sz w:val="32"/>
          <w:szCs w:val="32"/>
          <w:lang w:eastAsia="zh-CN"/>
        </w:rPr>
        <w:t>区</w:t>
      </w:r>
      <w:r>
        <w:rPr>
          <w:rFonts w:hint="eastAsia" w:ascii="仿宋" w:hAnsi="仿宋" w:eastAsia="仿宋" w:cs="仿宋"/>
          <w:b w:val="0"/>
          <w:bCs w:val="0"/>
          <w:sz w:val="32"/>
          <w:szCs w:val="32"/>
        </w:rPr>
        <w:t>药品、医用耗材价格和医疗服务项目、医疗服务设施收费等政策。建立医保支付医药服务价格合理确定和动态调整机制，依法管理药品、医用耗材、医疗服务价格政策执行情况。建立完善药品、医用耗材和医疗服务价格检测信息发布制度。</w:t>
      </w:r>
    </w:p>
    <w:p>
      <w:pPr>
        <w:spacing w:line="500" w:lineRule="exact"/>
        <w:ind w:firstLine="560"/>
        <w:rPr>
          <w:rFonts w:hint="eastAsia" w:ascii="仿宋" w:hAnsi="仿宋" w:eastAsia="仿宋" w:cs="仿宋"/>
          <w:b w:val="0"/>
          <w:bCs w:val="0"/>
          <w:sz w:val="32"/>
          <w:szCs w:val="32"/>
        </w:rPr>
      </w:pPr>
      <w:r>
        <w:rPr>
          <w:rFonts w:hint="eastAsia" w:ascii="仿宋" w:hAnsi="仿宋" w:eastAsia="仿宋" w:cs="仿宋"/>
          <w:b w:val="0"/>
          <w:bCs w:val="0"/>
          <w:sz w:val="32"/>
          <w:szCs w:val="32"/>
        </w:rPr>
        <w:t xml:space="preserve">    （六）制定全</w:t>
      </w:r>
      <w:r>
        <w:rPr>
          <w:rFonts w:hint="eastAsia" w:ascii="仿宋" w:hAnsi="仿宋" w:eastAsia="仿宋" w:cs="仿宋"/>
          <w:b w:val="0"/>
          <w:bCs w:val="0"/>
          <w:sz w:val="32"/>
          <w:szCs w:val="32"/>
          <w:lang w:eastAsia="zh-CN"/>
        </w:rPr>
        <w:t>区</w:t>
      </w:r>
      <w:r>
        <w:rPr>
          <w:rFonts w:hint="eastAsia" w:ascii="仿宋" w:hAnsi="仿宋" w:eastAsia="仿宋" w:cs="仿宋"/>
          <w:b w:val="0"/>
          <w:bCs w:val="0"/>
          <w:sz w:val="32"/>
          <w:szCs w:val="32"/>
        </w:rPr>
        <w:t>药品、医用耗材的招标采购政策并监督实施，指导药品、医用耗材招标采购平台建设。</w:t>
      </w:r>
    </w:p>
    <w:p>
      <w:pPr>
        <w:spacing w:line="500" w:lineRule="exact"/>
        <w:ind w:firstLine="560"/>
        <w:rPr>
          <w:rFonts w:hint="eastAsia" w:ascii="仿宋" w:hAnsi="仿宋" w:eastAsia="仿宋" w:cs="仿宋"/>
          <w:b w:val="0"/>
          <w:bCs w:val="0"/>
          <w:sz w:val="32"/>
          <w:szCs w:val="32"/>
        </w:rPr>
      </w:pPr>
      <w:r>
        <w:rPr>
          <w:rFonts w:hint="eastAsia" w:ascii="仿宋" w:hAnsi="仿宋" w:eastAsia="仿宋" w:cs="仿宋"/>
          <w:b w:val="0"/>
          <w:bCs w:val="0"/>
          <w:sz w:val="32"/>
          <w:szCs w:val="32"/>
        </w:rPr>
        <w:t xml:space="preserve">    （七）制定全</w:t>
      </w:r>
      <w:r>
        <w:rPr>
          <w:rFonts w:hint="eastAsia" w:ascii="仿宋" w:hAnsi="仿宋" w:eastAsia="仿宋" w:cs="仿宋"/>
          <w:b w:val="0"/>
          <w:bCs w:val="0"/>
          <w:sz w:val="32"/>
          <w:szCs w:val="32"/>
          <w:lang w:eastAsia="zh-CN"/>
        </w:rPr>
        <w:t>区</w:t>
      </w:r>
      <w:r>
        <w:rPr>
          <w:rFonts w:hint="eastAsia" w:ascii="仿宋" w:hAnsi="仿宋" w:eastAsia="仿宋" w:cs="仿宋"/>
          <w:b w:val="0"/>
          <w:bCs w:val="0"/>
          <w:sz w:val="32"/>
          <w:szCs w:val="32"/>
        </w:rPr>
        <w:t>定点医药机构协议和支付管理办法并组织实施。建立健全医疗保障信用评价体系和信息披露制度，监督管理定点医药机构的医疗服务行为、医疗费用和医药价格，依法查处医疗保障领域违法违规行为。</w:t>
      </w:r>
    </w:p>
    <w:p>
      <w:pPr>
        <w:spacing w:line="500" w:lineRule="exact"/>
        <w:ind w:firstLine="560"/>
        <w:rPr>
          <w:rFonts w:hint="eastAsia" w:ascii="仿宋" w:hAnsi="仿宋" w:eastAsia="仿宋" w:cs="仿宋"/>
          <w:b w:val="0"/>
          <w:bCs w:val="0"/>
          <w:sz w:val="32"/>
          <w:szCs w:val="32"/>
        </w:rPr>
      </w:pPr>
      <w:r>
        <w:rPr>
          <w:rFonts w:hint="eastAsia" w:ascii="仿宋" w:hAnsi="仿宋" w:eastAsia="仿宋" w:cs="仿宋"/>
          <w:b w:val="0"/>
          <w:bCs w:val="0"/>
          <w:sz w:val="32"/>
          <w:szCs w:val="32"/>
        </w:rPr>
        <w:t xml:space="preserve">    （八）负责医疗保障经办管理、公共服务体系和信息化建设。组织制定和完善异地就医管理和费用结算政策并组织实施。建立健全医疗保障关系转移接续制度。</w:t>
      </w:r>
    </w:p>
    <w:p>
      <w:pPr>
        <w:spacing w:line="500" w:lineRule="exact"/>
        <w:ind w:firstLine="560"/>
        <w:rPr>
          <w:rFonts w:hint="eastAsia" w:ascii="仿宋" w:hAnsi="仿宋" w:eastAsia="仿宋" w:cs="仿宋"/>
          <w:b w:val="0"/>
          <w:bCs w:val="0"/>
          <w:sz w:val="32"/>
          <w:szCs w:val="32"/>
        </w:rPr>
      </w:pPr>
      <w:r>
        <w:rPr>
          <w:rFonts w:hint="eastAsia" w:ascii="仿宋" w:hAnsi="仿宋" w:eastAsia="仿宋" w:cs="仿宋"/>
          <w:b w:val="0"/>
          <w:bCs w:val="0"/>
          <w:sz w:val="32"/>
          <w:szCs w:val="32"/>
        </w:rPr>
        <w:t xml:space="preserve">    （九）完成</w:t>
      </w:r>
      <w:r>
        <w:rPr>
          <w:rFonts w:hint="eastAsia" w:ascii="仿宋" w:hAnsi="仿宋" w:eastAsia="仿宋" w:cs="仿宋"/>
          <w:b w:val="0"/>
          <w:bCs w:val="0"/>
          <w:sz w:val="32"/>
          <w:szCs w:val="32"/>
          <w:lang w:eastAsia="zh-CN"/>
        </w:rPr>
        <w:t>区</w:t>
      </w:r>
      <w:r>
        <w:rPr>
          <w:rFonts w:hint="eastAsia" w:ascii="仿宋" w:hAnsi="仿宋" w:eastAsia="仿宋" w:cs="仿宋"/>
          <w:b w:val="0"/>
          <w:bCs w:val="0"/>
          <w:sz w:val="32"/>
          <w:szCs w:val="32"/>
        </w:rPr>
        <w:t>委、</w:t>
      </w:r>
      <w:r>
        <w:rPr>
          <w:rFonts w:hint="eastAsia" w:ascii="仿宋" w:hAnsi="仿宋" w:eastAsia="仿宋" w:cs="仿宋"/>
          <w:b w:val="0"/>
          <w:bCs w:val="0"/>
          <w:sz w:val="32"/>
          <w:szCs w:val="32"/>
          <w:lang w:eastAsia="zh-CN"/>
        </w:rPr>
        <w:t>区</w:t>
      </w:r>
      <w:r>
        <w:rPr>
          <w:rFonts w:hint="eastAsia" w:ascii="仿宋" w:hAnsi="仿宋" w:eastAsia="仿宋" w:cs="仿宋"/>
          <w:b w:val="0"/>
          <w:bCs w:val="0"/>
          <w:sz w:val="32"/>
          <w:szCs w:val="32"/>
        </w:rPr>
        <w:t>政府交办的其他任务。</w:t>
      </w:r>
    </w:p>
    <w:p>
      <w:pPr>
        <w:autoSpaceDE w:val="0"/>
        <w:autoSpaceDN w:val="0"/>
        <w:adjustRightInd w:val="0"/>
        <w:ind w:left="198" w:firstLine="643" w:firstLineChars="200"/>
        <w:jc w:val="left"/>
        <w:rPr>
          <w:rFonts w:ascii="方正仿宋_GBK" w:hAnsi="Times New Roman" w:eastAsia="方正仿宋_GBK" w:cs="Times New Roman"/>
          <w:b/>
          <w:sz w:val="32"/>
          <w:szCs w:val="32"/>
        </w:rPr>
      </w:pPr>
    </w:p>
    <w:p>
      <w:pPr>
        <w:ind w:firstLine="640" w:firstLineChars="200"/>
        <w:rPr>
          <w:rFonts w:ascii="仿宋" w:hAnsi="仿宋" w:eastAsia="仿宋" w:cs="Times New Roman"/>
          <w:sz w:val="32"/>
          <w:szCs w:val="32"/>
        </w:rPr>
      </w:pPr>
      <w:r>
        <w:rPr>
          <w:rFonts w:hint="eastAsia" w:ascii="仿宋" w:hAnsi="仿宋" w:eastAsia="仿宋" w:cs="Times New Roman"/>
          <w:sz w:val="32"/>
          <w:szCs w:val="32"/>
          <w:lang w:eastAsia="zh-CN"/>
        </w:rPr>
        <w:t>石家庄市鹿泉区医疗保障局</w:t>
      </w:r>
      <w:r>
        <w:rPr>
          <w:rFonts w:hint="eastAsia" w:ascii="仿宋" w:hAnsi="仿宋" w:eastAsia="仿宋" w:cs="Times New Roman"/>
          <w:sz w:val="32"/>
          <w:szCs w:val="32"/>
        </w:rPr>
        <w:t>根据工作需要，设有</w:t>
      </w:r>
      <w:r>
        <w:rPr>
          <w:rFonts w:hint="eastAsia" w:ascii="仿宋" w:hAnsi="仿宋" w:eastAsia="仿宋" w:cs="Times New Roman"/>
          <w:sz w:val="32"/>
          <w:szCs w:val="32"/>
          <w:lang w:eastAsia="zh-CN"/>
        </w:rPr>
        <w:t>石家庄市鹿泉区医疗保险管理中心</w:t>
      </w:r>
      <w:r>
        <w:rPr>
          <w:rFonts w:hint="eastAsia" w:ascii="仿宋" w:hAnsi="仿宋" w:eastAsia="仿宋" w:cs="Times New Roman"/>
          <w:sz w:val="32"/>
          <w:szCs w:val="32"/>
        </w:rPr>
        <w:t>等办事机构和工作机构。</w:t>
      </w:r>
    </w:p>
    <w:p>
      <w:pPr>
        <w:autoSpaceDE w:val="0"/>
        <w:autoSpaceDN w:val="0"/>
        <w:adjustRightInd w:val="0"/>
        <w:jc w:val="left"/>
        <w:rPr>
          <w:rFonts w:hint="eastAsia" w:ascii="方正仿宋_GBK" w:hAnsi="Times New Roman" w:eastAsia="方正仿宋_GBK" w:cs="Times New Roman"/>
          <w:b/>
          <w:sz w:val="32"/>
          <w:szCs w:val="32"/>
        </w:rPr>
      </w:pPr>
    </w:p>
    <w:p>
      <w:pPr>
        <w:autoSpaceDE w:val="0"/>
        <w:autoSpaceDN w:val="0"/>
        <w:adjustRightInd w:val="0"/>
        <w:ind w:left="198" w:firstLine="643" w:firstLineChars="200"/>
        <w:jc w:val="left"/>
        <w:rPr>
          <w:rFonts w:ascii="方正仿宋_GBK" w:hAnsi="Times New Roman" w:eastAsia="方正仿宋_GBK" w:cs="Times New Roman"/>
          <w:b/>
          <w:sz w:val="32"/>
          <w:szCs w:val="32"/>
        </w:rPr>
      </w:pPr>
      <w:r>
        <w:rPr>
          <w:rFonts w:hint="eastAsia" w:ascii="方正仿宋_GBK" w:hAnsi="Times New Roman" w:eastAsia="方正仿宋_GBK"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12"/>
        <w:tblW w:w="978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59"/>
        <w:gridCol w:w="1134"/>
        <w:gridCol w:w="1276"/>
        <w:gridCol w:w="30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tblHeader/>
          <w:jc w:val="center"/>
        </w:trPr>
        <w:tc>
          <w:tcPr>
            <w:tcW w:w="435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3013"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tblHeader/>
          <w:jc w:val="center"/>
        </w:trPr>
        <w:tc>
          <w:tcPr>
            <w:tcW w:w="4359" w:type="dxa"/>
            <w:vMerge w:val="continue"/>
            <w:shd w:val="clear" w:color="auto" w:fill="auto"/>
            <w:vAlign w:val="center"/>
          </w:tcPr>
          <w:p>
            <w:pPr>
              <w:spacing w:line="300" w:lineRule="exact"/>
              <w:jc w:val="left"/>
              <w:outlineLvl w:val="0"/>
            </w:pPr>
          </w:p>
        </w:tc>
        <w:tc>
          <w:tcPr>
            <w:tcW w:w="1134"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3013" w:type="dxa"/>
            <w:vMerge w:val="continue"/>
            <w:shd w:val="clear" w:color="auto" w:fill="auto"/>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435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shd w:val="clear" w:color="auto" w:fill="auto"/>
            <w:vAlign w:val="center"/>
          </w:tcPr>
          <w:p>
            <w:pPr>
              <w:spacing w:line="300" w:lineRule="exact"/>
              <w:jc w:val="center"/>
              <w:rPr>
                <w:rFonts w:ascii="方正书宋_GBK" w:eastAsia="方正书宋_GBK"/>
                <w:b/>
              </w:rPr>
            </w:pPr>
          </w:p>
        </w:tc>
        <w:tc>
          <w:tcPr>
            <w:tcW w:w="1276" w:type="dxa"/>
            <w:shd w:val="clear" w:color="auto" w:fill="auto"/>
            <w:vAlign w:val="center"/>
          </w:tcPr>
          <w:p>
            <w:pPr>
              <w:spacing w:line="300" w:lineRule="exact"/>
              <w:jc w:val="center"/>
              <w:rPr>
                <w:rFonts w:ascii="方正书宋_GBK" w:eastAsia="方正书宋_GBK"/>
                <w:b/>
              </w:rPr>
            </w:pPr>
          </w:p>
        </w:tc>
        <w:tc>
          <w:tcPr>
            <w:tcW w:w="3013" w:type="dxa"/>
            <w:shd w:val="clear" w:color="auto" w:fill="auto"/>
            <w:vAlign w:val="center"/>
          </w:tcPr>
          <w:p>
            <w:pPr>
              <w:spacing w:line="300" w:lineRule="exact"/>
              <w:jc w:val="center"/>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4359"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石家庄市鹿泉区医疗保障局</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行政</w:t>
            </w:r>
          </w:p>
        </w:tc>
        <w:tc>
          <w:tcPr>
            <w:tcW w:w="1276" w:type="dxa"/>
            <w:shd w:val="clear" w:color="auto" w:fill="auto"/>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正科级</w:t>
            </w:r>
          </w:p>
        </w:tc>
        <w:tc>
          <w:tcPr>
            <w:tcW w:w="301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4359"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石家庄市鹿泉区医疗保险管理中心</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事业</w:t>
            </w:r>
          </w:p>
        </w:tc>
        <w:tc>
          <w:tcPr>
            <w:tcW w:w="1276" w:type="dxa"/>
            <w:shd w:val="clear" w:color="auto" w:fill="auto"/>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副科级</w:t>
            </w:r>
          </w:p>
        </w:tc>
        <w:tc>
          <w:tcPr>
            <w:tcW w:w="301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r>
    </w:tbl>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按照预算管理有关规定，目前我省部门预算的编制实行综合预算管理，即全部收入和支出都反映在预算中。</w:t>
      </w:r>
      <w:r>
        <w:rPr>
          <w:rFonts w:hint="eastAsia" w:ascii="仿宋" w:hAnsi="仿宋" w:eastAsia="仿宋" w:cs="仿宋"/>
          <w:sz w:val="32"/>
          <w:szCs w:val="32"/>
          <w:lang w:eastAsia="zh-CN"/>
        </w:rPr>
        <w:t>石家庄市鹿泉区医疗保障局</w:t>
      </w:r>
      <w:r>
        <w:rPr>
          <w:rFonts w:hint="eastAsia" w:ascii="仿宋" w:hAnsi="仿宋" w:eastAsia="仿宋" w:cs="仿宋"/>
          <w:sz w:val="32"/>
          <w:szCs w:val="32"/>
        </w:rPr>
        <w:t>及所属事业单位的收支包含在部门预算中。</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1、收入说明</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反映本部门当年全部收入。2019年预算收入</w:t>
      </w:r>
      <w:r>
        <w:rPr>
          <w:rFonts w:hint="eastAsia" w:ascii="仿宋" w:hAnsi="仿宋" w:eastAsia="仿宋" w:cs="仿宋"/>
          <w:sz w:val="32"/>
          <w:szCs w:val="32"/>
          <w:lang w:val="en-US" w:eastAsia="zh-CN"/>
        </w:rPr>
        <w:t>6966.72</w:t>
      </w:r>
      <w:r>
        <w:rPr>
          <w:rFonts w:hint="eastAsia" w:ascii="仿宋" w:hAnsi="仿宋" w:eastAsia="仿宋" w:cs="仿宋"/>
          <w:sz w:val="32"/>
          <w:szCs w:val="32"/>
        </w:rPr>
        <w:t>万元，其中：一般公共预算收入</w:t>
      </w:r>
      <w:r>
        <w:rPr>
          <w:rFonts w:hint="eastAsia" w:ascii="仿宋" w:hAnsi="仿宋" w:eastAsia="仿宋" w:cs="仿宋"/>
          <w:sz w:val="32"/>
          <w:szCs w:val="32"/>
          <w:lang w:val="en-US" w:eastAsia="zh-CN"/>
        </w:rPr>
        <w:t>6966.72</w:t>
      </w:r>
      <w:r>
        <w:rPr>
          <w:rFonts w:hint="eastAsia" w:ascii="仿宋" w:hAnsi="仿宋" w:eastAsia="仿宋" w:cs="仿宋"/>
          <w:sz w:val="32"/>
          <w:szCs w:val="32"/>
        </w:rPr>
        <w:t>万元，基金预算收入</w:t>
      </w:r>
      <w:r>
        <w:rPr>
          <w:rFonts w:hint="eastAsia" w:ascii="仿宋" w:hAnsi="仿宋" w:eastAsia="仿宋" w:cs="仿宋"/>
          <w:sz w:val="32"/>
          <w:szCs w:val="32"/>
          <w:lang w:val="en-US" w:eastAsia="zh-CN"/>
        </w:rPr>
        <w:t>0</w:t>
      </w:r>
      <w:r>
        <w:rPr>
          <w:rFonts w:hint="eastAsia" w:ascii="仿宋" w:hAnsi="仿宋" w:eastAsia="仿宋" w:cs="仿宋"/>
          <w:sz w:val="32"/>
          <w:szCs w:val="32"/>
        </w:rPr>
        <w:t>万元，财政专户核拨收入0万元，其他来源收入</w:t>
      </w:r>
      <w:r>
        <w:rPr>
          <w:rFonts w:hint="eastAsia" w:ascii="仿宋" w:hAnsi="仿宋" w:eastAsia="仿宋" w:cs="仿宋"/>
          <w:sz w:val="32"/>
          <w:szCs w:val="32"/>
          <w:lang w:val="en-US" w:eastAsia="zh-CN"/>
        </w:rPr>
        <w:t>0</w:t>
      </w:r>
      <w:r>
        <w:rPr>
          <w:rFonts w:hint="eastAsia" w:ascii="仿宋" w:hAnsi="仿宋" w:eastAsia="仿宋" w:cs="仿宋"/>
          <w:sz w:val="32"/>
          <w:szCs w:val="32"/>
        </w:rPr>
        <w:t>万元。</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2、支出说明</w:t>
      </w:r>
    </w:p>
    <w:p>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rPr>
        <w:t>收支预算总表支出栏、基本支出表、项目支出表按经济分类和支出功能分类科目编制，反映</w:t>
      </w:r>
      <w:r>
        <w:rPr>
          <w:rFonts w:hint="eastAsia" w:ascii="仿宋" w:hAnsi="仿宋" w:eastAsia="仿宋" w:cs="仿宋"/>
          <w:sz w:val="32"/>
          <w:szCs w:val="32"/>
          <w:lang w:eastAsia="zh-CN"/>
        </w:rPr>
        <w:t>石家庄市鹿泉区医疗保障局</w:t>
      </w:r>
      <w:r>
        <w:rPr>
          <w:rFonts w:hint="eastAsia" w:ascii="仿宋" w:hAnsi="仿宋" w:eastAsia="仿宋" w:cs="仿宋"/>
          <w:sz w:val="32"/>
          <w:szCs w:val="32"/>
        </w:rPr>
        <w:t>年度部门预算中支出预算的总体情况。2019年支出预算</w:t>
      </w:r>
      <w:r>
        <w:rPr>
          <w:rFonts w:hint="eastAsia" w:ascii="仿宋" w:hAnsi="仿宋" w:eastAsia="仿宋" w:cs="仿宋"/>
          <w:sz w:val="32"/>
          <w:szCs w:val="32"/>
          <w:lang w:val="en-US" w:eastAsia="zh-CN"/>
        </w:rPr>
        <w:t>6966.72</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426.39</w:t>
      </w:r>
      <w:r>
        <w:rPr>
          <w:rFonts w:hint="eastAsia" w:ascii="仿宋" w:hAnsi="仿宋" w:eastAsia="仿宋" w:cs="仿宋"/>
          <w:sz w:val="32"/>
          <w:szCs w:val="32"/>
        </w:rPr>
        <w:t>万元，包括人员经费</w:t>
      </w:r>
      <w:r>
        <w:rPr>
          <w:rFonts w:hint="eastAsia" w:ascii="仿宋" w:hAnsi="仿宋" w:eastAsia="仿宋" w:cs="仿宋"/>
          <w:sz w:val="32"/>
          <w:szCs w:val="32"/>
          <w:lang w:val="en-US" w:eastAsia="zh-CN"/>
        </w:rPr>
        <w:t>354</w:t>
      </w:r>
      <w:r>
        <w:rPr>
          <w:rFonts w:hint="eastAsia" w:ascii="仿宋" w:hAnsi="仿宋" w:eastAsia="仿宋" w:cs="仿宋"/>
          <w:sz w:val="32"/>
          <w:szCs w:val="32"/>
        </w:rPr>
        <w:t>万元和日常公用经费</w:t>
      </w:r>
      <w:r>
        <w:rPr>
          <w:rFonts w:hint="eastAsia" w:ascii="仿宋" w:hAnsi="仿宋" w:eastAsia="仿宋" w:cs="仿宋"/>
          <w:sz w:val="32"/>
          <w:szCs w:val="32"/>
          <w:lang w:val="en-US" w:eastAsia="zh-CN"/>
        </w:rPr>
        <w:t>72.39</w:t>
      </w:r>
      <w:r>
        <w:rPr>
          <w:rFonts w:hint="eastAsia" w:ascii="仿宋" w:hAnsi="仿宋" w:eastAsia="仿宋" w:cs="仿宋"/>
          <w:sz w:val="32"/>
          <w:szCs w:val="32"/>
        </w:rPr>
        <w:t>万元；项目支出</w:t>
      </w:r>
      <w:r>
        <w:rPr>
          <w:rFonts w:hint="eastAsia" w:ascii="仿宋" w:hAnsi="仿宋" w:eastAsia="仿宋" w:cs="仿宋"/>
          <w:sz w:val="32"/>
          <w:szCs w:val="32"/>
          <w:lang w:val="en-US" w:eastAsia="zh-CN"/>
        </w:rPr>
        <w:t>6540.33</w:t>
      </w:r>
      <w:r>
        <w:rPr>
          <w:rFonts w:hint="eastAsia" w:ascii="仿宋" w:hAnsi="仿宋" w:eastAsia="仿宋" w:cs="仿宋"/>
          <w:sz w:val="32"/>
          <w:szCs w:val="32"/>
        </w:rPr>
        <w:t>万元</w:t>
      </w:r>
      <w:r>
        <w:rPr>
          <w:rFonts w:hint="eastAsia" w:ascii="仿宋" w:hAnsi="仿宋" w:eastAsia="仿宋" w:cs="仿宋"/>
          <w:sz w:val="32"/>
          <w:szCs w:val="32"/>
          <w:lang w:eastAsia="zh-CN"/>
        </w:rPr>
        <w:t>。</w:t>
      </w:r>
    </w:p>
    <w:p>
      <w:pPr>
        <w:numPr>
          <w:ilvl w:val="0"/>
          <w:numId w:val="1"/>
        </w:num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比上年增减情况</w:t>
      </w:r>
    </w:p>
    <w:p>
      <w:pPr>
        <w:numPr>
          <w:ilvl w:val="0"/>
          <w:numId w:val="0"/>
        </w:numPr>
        <w:ind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因石家庄市鹿泉区医疗保障局为机构改革完成后2019年新成立单位，故2018年无相关数据。</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2019年，</w:t>
      </w:r>
      <w:r>
        <w:rPr>
          <w:rFonts w:hint="eastAsia" w:ascii="仿宋" w:hAnsi="仿宋" w:eastAsia="仿宋" w:cs="仿宋"/>
          <w:sz w:val="32"/>
          <w:szCs w:val="32"/>
          <w:highlight w:val="none"/>
          <w:lang w:eastAsia="zh-CN"/>
        </w:rPr>
        <w:t>石家庄市鹿泉区医疗保障局</w:t>
      </w:r>
      <w:r>
        <w:rPr>
          <w:rFonts w:hint="eastAsia" w:ascii="仿宋" w:hAnsi="仿宋" w:eastAsia="仿宋" w:cs="仿宋"/>
          <w:sz w:val="32"/>
          <w:szCs w:val="32"/>
        </w:rPr>
        <w:t>运行经费共计安排</w:t>
      </w:r>
      <w:r>
        <w:rPr>
          <w:rFonts w:hint="eastAsia" w:ascii="仿宋" w:hAnsi="仿宋" w:eastAsia="仿宋" w:cs="仿宋"/>
          <w:sz w:val="32"/>
          <w:szCs w:val="32"/>
          <w:lang w:val="en-US" w:eastAsia="zh-CN"/>
        </w:rPr>
        <w:t>72.39</w:t>
      </w:r>
      <w:r>
        <w:rPr>
          <w:rFonts w:hint="eastAsia" w:ascii="仿宋" w:hAnsi="仿宋" w:eastAsia="仿宋" w:cs="仿宋"/>
          <w:sz w:val="32"/>
          <w:szCs w:val="32"/>
        </w:rPr>
        <w:t>万元，主要用于日常</w:t>
      </w:r>
      <w:r>
        <w:rPr>
          <w:rFonts w:hint="eastAsia" w:ascii="仿宋" w:hAnsi="仿宋" w:eastAsia="仿宋" w:cs="仿宋"/>
          <w:sz w:val="32"/>
          <w:szCs w:val="32"/>
          <w:lang w:eastAsia="zh-CN"/>
        </w:rPr>
        <w:t>办公</w:t>
      </w:r>
      <w:r>
        <w:rPr>
          <w:rFonts w:hint="eastAsia" w:ascii="仿宋" w:hAnsi="仿宋" w:eastAsia="仿宋" w:cs="仿宋"/>
          <w:sz w:val="32"/>
          <w:szCs w:val="32"/>
        </w:rPr>
        <w:t>、办公用房水电费、办公用房取暖费等日常运行支出。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2019年，</w:t>
      </w:r>
      <w:r>
        <w:rPr>
          <w:rFonts w:hint="eastAsia" w:ascii="仿宋" w:hAnsi="仿宋" w:eastAsia="仿宋" w:cs="仿宋"/>
          <w:sz w:val="32"/>
          <w:szCs w:val="32"/>
          <w:highlight w:val="none"/>
          <w:lang w:eastAsia="zh-CN"/>
        </w:rPr>
        <w:t>石家庄市鹿泉区医疗保障局财政</w:t>
      </w:r>
      <w:r>
        <w:rPr>
          <w:rFonts w:hint="eastAsia" w:ascii="仿宋" w:hAnsi="仿宋" w:eastAsia="仿宋" w:cs="仿宋"/>
          <w:sz w:val="32"/>
          <w:szCs w:val="32"/>
        </w:rPr>
        <w:t>拨款“三公”经费预算安排</w:t>
      </w:r>
      <w:r>
        <w:rPr>
          <w:rFonts w:hint="eastAsia" w:ascii="仿宋" w:hAnsi="仿宋" w:eastAsia="仿宋" w:cs="仿宋"/>
          <w:sz w:val="32"/>
          <w:szCs w:val="32"/>
          <w:lang w:val="en-US" w:eastAsia="zh-CN"/>
        </w:rPr>
        <w:t>2.7</w:t>
      </w:r>
      <w:r>
        <w:rPr>
          <w:rFonts w:hint="eastAsia" w:ascii="仿宋" w:hAnsi="仿宋" w:eastAsia="仿宋" w:cs="仿宋"/>
          <w:sz w:val="32"/>
          <w:szCs w:val="32"/>
        </w:rPr>
        <w:t>万元，其中因公出国（境）费</w:t>
      </w:r>
      <w:r>
        <w:rPr>
          <w:rFonts w:hint="eastAsia" w:ascii="仿宋" w:hAnsi="仿宋" w:eastAsia="仿宋" w:cs="仿宋"/>
          <w:sz w:val="32"/>
          <w:szCs w:val="32"/>
          <w:lang w:val="en-US" w:eastAsia="zh-CN"/>
        </w:rPr>
        <w:t>0</w:t>
      </w:r>
      <w:r>
        <w:rPr>
          <w:rFonts w:hint="eastAsia" w:ascii="仿宋" w:hAnsi="仿宋" w:eastAsia="仿宋" w:cs="仿宋"/>
          <w:sz w:val="32"/>
          <w:szCs w:val="32"/>
        </w:rPr>
        <w:t>万元；公务用车购置及运维费</w:t>
      </w:r>
      <w:r>
        <w:rPr>
          <w:rFonts w:hint="eastAsia" w:ascii="仿宋" w:hAnsi="仿宋" w:eastAsia="仿宋" w:cs="仿宋"/>
          <w:sz w:val="32"/>
          <w:szCs w:val="32"/>
          <w:lang w:val="en-US" w:eastAsia="zh-CN"/>
        </w:rPr>
        <w:t>2.7</w:t>
      </w:r>
      <w:r>
        <w:rPr>
          <w:rFonts w:hint="eastAsia" w:ascii="仿宋" w:hAnsi="仿宋" w:eastAsia="仿宋" w:cs="仿宋"/>
          <w:sz w:val="32"/>
          <w:szCs w:val="32"/>
        </w:rPr>
        <w:t>万元（其中：公务用车购置费为</w:t>
      </w:r>
      <w:r>
        <w:rPr>
          <w:rFonts w:hint="eastAsia" w:ascii="仿宋" w:hAnsi="仿宋" w:eastAsia="仿宋" w:cs="仿宋"/>
          <w:sz w:val="32"/>
          <w:szCs w:val="32"/>
          <w:lang w:val="en-US" w:eastAsia="zh-CN"/>
        </w:rPr>
        <w:t>0</w:t>
      </w:r>
      <w:r>
        <w:rPr>
          <w:rFonts w:hint="eastAsia" w:ascii="仿宋" w:hAnsi="仿宋" w:eastAsia="仿宋" w:cs="仿宋"/>
          <w:sz w:val="32"/>
          <w:szCs w:val="32"/>
        </w:rPr>
        <w:t>万元，公务用车运维费</w:t>
      </w:r>
      <w:r>
        <w:rPr>
          <w:rFonts w:hint="eastAsia" w:ascii="仿宋" w:hAnsi="仿宋" w:eastAsia="仿宋" w:cs="仿宋"/>
          <w:sz w:val="32"/>
          <w:szCs w:val="32"/>
          <w:lang w:val="en-US" w:eastAsia="zh-CN"/>
        </w:rPr>
        <w:t>2.7</w:t>
      </w:r>
      <w:r>
        <w:rPr>
          <w:rFonts w:hint="eastAsia" w:ascii="仿宋" w:hAnsi="仿宋" w:eastAsia="仿宋" w:cs="仿宋"/>
          <w:sz w:val="32"/>
          <w:szCs w:val="32"/>
        </w:rPr>
        <w:t>万元)；公务接待费</w:t>
      </w:r>
      <w:r>
        <w:rPr>
          <w:rFonts w:hint="eastAsia" w:ascii="仿宋" w:hAnsi="仿宋" w:eastAsia="仿宋" w:cs="仿宋"/>
          <w:sz w:val="32"/>
          <w:szCs w:val="32"/>
          <w:lang w:val="en-US" w:eastAsia="zh-CN"/>
        </w:rPr>
        <w:t>0</w:t>
      </w:r>
      <w:r>
        <w:rPr>
          <w:rFonts w:hint="eastAsia" w:ascii="仿宋" w:hAnsi="仿宋" w:eastAsia="仿宋" w:cs="仿宋"/>
          <w:sz w:val="32"/>
          <w:szCs w:val="32"/>
        </w:rPr>
        <w:t>万元。与20</w:t>
      </w:r>
      <w:r>
        <w:rPr>
          <w:rFonts w:hint="eastAsia" w:ascii="仿宋" w:hAnsi="仿宋" w:eastAsia="仿宋" w:cs="仿宋"/>
          <w:sz w:val="32"/>
          <w:szCs w:val="32"/>
          <w:lang w:val="en-US" w:eastAsia="zh-CN"/>
        </w:rPr>
        <w:t>18</w:t>
      </w:r>
      <w:r>
        <w:rPr>
          <w:rFonts w:hint="eastAsia" w:ascii="仿宋" w:hAnsi="仿宋" w:eastAsia="仿宋" w:cs="仿宋"/>
          <w:sz w:val="32"/>
          <w:szCs w:val="32"/>
        </w:rPr>
        <w:t>年相比</w:t>
      </w:r>
      <w:r>
        <w:rPr>
          <w:rFonts w:hint="eastAsia" w:ascii="仿宋" w:hAnsi="仿宋" w:eastAsia="仿宋" w:cs="仿宋"/>
          <w:sz w:val="32"/>
          <w:szCs w:val="32"/>
          <w:lang w:eastAsia="zh-CN"/>
        </w:rPr>
        <w:t>减少</w:t>
      </w:r>
      <w:r>
        <w:rPr>
          <w:rFonts w:hint="eastAsia" w:ascii="仿宋" w:hAnsi="仿宋" w:eastAsia="仿宋" w:cs="仿宋"/>
          <w:sz w:val="32"/>
          <w:szCs w:val="32"/>
          <w:lang w:val="en-US" w:eastAsia="zh-CN"/>
        </w:rPr>
        <w:t>0.2万元</w:t>
      </w:r>
      <w:r>
        <w:rPr>
          <w:rFonts w:hint="eastAsia" w:ascii="仿宋" w:hAnsi="仿宋" w:eastAsia="仿宋" w:cs="仿宋"/>
          <w:sz w:val="32"/>
          <w:szCs w:val="32"/>
        </w:rPr>
        <w:t>，</w:t>
      </w:r>
      <w:r>
        <w:rPr>
          <w:rFonts w:hint="eastAsia" w:ascii="仿宋" w:hAnsi="仿宋" w:eastAsia="仿宋" w:cs="仿宋"/>
          <w:sz w:val="32"/>
          <w:szCs w:val="32"/>
          <w:lang w:eastAsia="zh-CN"/>
        </w:rPr>
        <w:t>三公经费</w:t>
      </w:r>
      <w:r>
        <w:rPr>
          <w:rFonts w:hint="eastAsia" w:ascii="仿宋" w:hAnsi="仿宋" w:eastAsia="仿宋" w:cs="仿宋"/>
          <w:sz w:val="32"/>
          <w:szCs w:val="32"/>
        </w:rPr>
        <w:t>减少的主要原因是：</w:t>
      </w:r>
      <w:r>
        <w:rPr>
          <w:rFonts w:hint="eastAsia" w:ascii="仿宋" w:hAnsi="仿宋" w:eastAsia="仿宋" w:cs="仿宋"/>
          <w:sz w:val="32"/>
          <w:szCs w:val="32"/>
          <w:lang w:eastAsia="zh-CN"/>
        </w:rPr>
        <w:t>公务用车运行维护费减少，主要是认真贯彻落实市、区关于厉行节约的各项要求，进一步从严控制“三公”经费</w:t>
      </w:r>
      <w:bookmarkStart w:id="3" w:name="_GoBack"/>
      <w:bookmarkEnd w:id="3"/>
      <w:r>
        <w:rPr>
          <w:rFonts w:hint="eastAsia" w:ascii="仿宋" w:hAnsi="仿宋" w:eastAsia="仿宋" w:cs="仿宋"/>
          <w:sz w:val="32"/>
          <w:szCs w:val="32"/>
          <w:lang w:eastAsia="zh-CN"/>
        </w:rPr>
        <w:t>开支</w:t>
      </w:r>
      <w:r>
        <w:rPr>
          <w:rFonts w:hint="eastAsia" w:ascii="仿宋" w:hAnsi="仿宋" w:eastAsia="仿宋" w:cs="仿宋"/>
          <w:sz w:val="32"/>
          <w:szCs w:val="32"/>
        </w:rPr>
        <w:t>。</w:t>
      </w:r>
    </w:p>
    <w:p>
      <w:pPr>
        <w:ind w:firstLine="640"/>
        <w:rPr>
          <w:rFonts w:ascii="黑体" w:hAnsi="黑体" w:eastAsia="黑体" w:cs="Times New Roman"/>
          <w:sz w:val="32"/>
          <w:szCs w:val="32"/>
        </w:rPr>
      </w:pPr>
      <w:r>
        <w:rPr>
          <w:rFonts w:hint="eastAsia" w:ascii="黑体" w:hAnsi="黑体" w:eastAsia="黑体" w:cs="Times New Roman"/>
          <w:sz w:val="32"/>
          <w:szCs w:val="32"/>
        </w:rPr>
        <w:t>五、绩效预算信息</w:t>
      </w:r>
    </w:p>
    <w:p>
      <w:pPr>
        <w:ind w:firstLine="643" w:firstLineChars="200"/>
        <w:jc w:val="left"/>
        <w:rPr>
          <w:rFonts w:ascii="Times New Roman" w:hAnsi="Times New Roman" w:eastAsia="方正仿宋_GBK" w:cs="Times New Roman"/>
          <w:b/>
          <w:sz w:val="32"/>
          <w:szCs w:val="32"/>
        </w:rPr>
      </w:pPr>
      <w:bookmarkStart w:id="0" w:name="_Toc471398463"/>
      <w:r>
        <w:rPr>
          <w:rFonts w:ascii="Times New Roman" w:hAnsi="Times New Roman" w:eastAsia="方正仿宋_GBK" w:cs="Times New Roman"/>
          <w:b/>
          <w:sz w:val="32"/>
          <w:szCs w:val="32"/>
        </w:rPr>
        <w:t>总体绩效目标：</w:t>
      </w:r>
    </w:p>
    <w:p>
      <w:pPr>
        <w:ind w:firstLine="560"/>
        <w:rPr>
          <w:rFonts w:hint="eastAsia" w:ascii="Times New Roman" w:hAnsi="Times New Roman" w:eastAsia="方正仿宋_GBK" w:cs="Times New Roman"/>
          <w:sz w:val="32"/>
          <w:szCs w:val="32"/>
        </w:rPr>
      </w:pPr>
      <w:r>
        <w:rPr>
          <w:rFonts w:hint="eastAsia" w:ascii="仿宋" w:hAnsi="仿宋" w:eastAsia="仿宋" w:cs="仿宋"/>
          <w:sz w:val="32"/>
          <w:szCs w:val="32"/>
        </w:rPr>
        <w:t>2019年，坚持以习近平新时代中国特色社会主义思想为指导，认真落实中央和省委省政府决策部署，按照“3689”基本思路和“稳、进、好、准、度”要求，以全面建设高质量财政、更好服务全省高质量发展为主线，以“五个聚焦”为着力点（聚焦财力匹配、保障有力，狠抓财源建设；聚焦配置优化、绩效突出，实施绩效管理；聚焦规范透明、约束硬化，推进依法理财；聚焦权责清晰、体制顺畅，深化财税改革；聚焦基础扎实、运行稳健，防范化解风险），以加强党的建设为保证，奋力开创全</w:t>
      </w:r>
      <w:r>
        <w:rPr>
          <w:rFonts w:hint="eastAsia" w:ascii="仿宋" w:hAnsi="仿宋" w:eastAsia="仿宋" w:cs="仿宋"/>
          <w:sz w:val="32"/>
          <w:szCs w:val="32"/>
          <w:lang w:eastAsia="zh-CN"/>
        </w:rPr>
        <w:t>区医疗保障</w:t>
      </w:r>
      <w:r>
        <w:rPr>
          <w:rFonts w:hint="eastAsia" w:ascii="仿宋" w:hAnsi="仿宋" w:eastAsia="仿宋" w:cs="仿宋"/>
          <w:sz w:val="32"/>
          <w:szCs w:val="32"/>
        </w:rPr>
        <w:t>改革发展新局面，努力为新时代全面建设经济强</w:t>
      </w:r>
      <w:r>
        <w:rPr>
          <w:rFonts w:hint="eastAsia" w:ascii="仿宋" w:hAnsi="仿宋" w:eastAsia="仿宋" w:cs="仿宋"/>
          <w:sz w:val="32"/>
          <w:szCs w:val="32"/>
          <w:lang w:eastAsia="zh-CN"/>
        </w:rPr>
        <w:t>区</w:t>
      </w:r>
      <w:r>
        <w:rPr>
          <w:rFonts w:hint="eastAsia" w:ascii="仿宋" w:hAnsi="仿宋" w:eastAsia="仿宋" w:cs="仿宋"/>
          <w:sz w:val="32"/>
          <w:szCs w:val="32"/>
        </w:rPr>
        <w:t>、美丽</w:t>
      </w:r>
      <w:r>
        <w:rPr>
          <w:rFonts w:hint="eastAsia" w:ascii="仿宋" w:hAnsi="仿宋" w:eastAsia="仿宋" w:cs="仿宋"/>
          <w:sz w:val="32"/>
          <w:szCs w:val="32"/>
          <w:lang w:eastAsia="zh-CN"/>
        </w:rPr>
        <w:t>鹿泉</w:t>
      </w:r>
      <w:r>
        <w:rPr>
          <w:rFonts w:hint="eastAsia" w:ascii="仿宋" w:hAnsi="仿宋" w:eastAsia="仿宋" w:cs="仿宋"/>
          <w:sz w:val="32"/>
          <w:szCs w:val="32"/>
        </w:rPr>
        <w:t>提供更加有力的支撑。</w:t>
      </w:r>
    </w:p>
    <w:p>
      <w:pPr>
        <w:ind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职责分类绩效目标：</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lang w:eastAsia="zh-CN"/>
        </w:rPr>
        <w:t>一是</w:t>
      </w:r>
      <w:r>
        <w:rPr>
          <w:rFonts w:hint="eastAsia" w:ascii="仿宋" w:hAnsi="仿宋" w:eastAsia="仿宋" w:cs="仿宋"/>
          <w:sz w:val="32"/>
          <w:szCs w:val="32"/>
        </w:rPr>
        <w:t>拟订全</w:t>
      </w:r>
      <w:r>
        <w:rPr>
          <w:rFonts w:hint="eastAsia" w:ascii="仿宋" w:hAnsi="仿宋" w:eastAsia="仿宋" w:cs="仿宋"/>
          <w:b w:val="0"/>
          <w:bCs w:val="0"/>
          <w:sz w:val="32"/>
          <w:szCs w:val="32"/>
          <w:lang w:eastAsia="zh-CN"/>
        </w:rPr>
        <w:t>区</w:t>
      </w:r>
      <w:r>
        <w:rPr>
          <w:rFonts w:hint="eastAsia" w:ascii="仿宋" w:hAnsi="仿宋" w:eastAsia="仿宋" w:cs="仿宋"/>
          <w:sz w:val="32"/>
          <w:szCs w:val="32"/>
        </w:rPr>
        <w:t>城镇职工和城乡居民医疗保险、生育保险、长期护理保险、医疗救助等医疗保障地方性法规、政府规章草案以及政策、制度、规划和标准。</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lang w:eastAsia="zh-CN"/>
        </w:rPr>
        <w:t>二是</w:t>
      </w:r>
      <w:r>
        <w:rPr>
          <w:rFonts w:hint="eastAsia" w:ascii="仿宋" w:hAnsi="仿宋" w:eastAsia="仿宋" w:cs="仿宋"/>
          <w:sz w:val="32"/>
          <w:szCs w:val="32"/>
        </w:rPr>
        <w:t>拟定完善全</w:t>
      </w:r>
      <w:r>
        <w:rPr>
          <w:rFonts w:hint="eastAsia" w:ascii="仿宋" w:hAnsi="仿宋" w:eastAsia="仿宋" w:cs="仿宋"/>
          <w:b w:val="0"/>
          <w:bCs w:val="0"/>
          <w:sz w:val="32"/>
          <w:szCs w:val="32"/>
          <w:lang w:eastAsia="zh-CN"/>
        </w:rPr>
        <w:t>区</w:t>
      </w:r>
      <w:r>
        <w:rPr>
          <w:rFonts w:hint="eastAsia" w:ascii="仿宋" w:hAnsi="仿宋" w:eastAsia="仿宋" w:cs="仿宋"/>
          <w:sz w:val="32"/>
          <w:szCs w:val="32"/>
        </w:rPr>
        <w:t>医疗保障基金监督管理办法，建立健全医疗保障基金安全防控机制，组织建设网络信息和智能监控平台，推进医疗保障基金支付方式改革，并组织实施。</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lang w:eastAsia="zh-CN"/>
        </w:rPr>
        <w:t>三是</w:t>
      </w:r>
      <w:r>
        <w:rPr>
          <w:rFonts w:hint="eastAsia" w:ascii="仿宋" w:hAnsi="仿宋" w:eastAsia="仿宋" w:cs="仿宋"/>
          <w:sz w:val="32"/>
          <w:szCs w:val="32"/>
        </w:rPr>
        <w:t>组织制定全</w:t>
      </w:r>
      <w:r>
        <w:rPr>
          <w:rFonts w:hint="eastAsia" w:ascii="仿宋" w:hAnsi="仿宋" w:eastAsia="仿宋" w:cs="仿宋"/>
          <w:b w:val="0"/>
          <w:bCs w:val="0"/>
          <w:sz w:val="32"/>
          <w:szCs w:val="32"/>
          <w:lang w:eastAsia="zh-CN"/>
        </w:rPr>
        <w:t>区</w:t>
      </w:r>
      <w:r>
        <w:rPr>
          <w:rFonts w:hint="eastAsia" w:ascii="仿宋" w:hAnsi="仿宋" w:eastAsia="仿宋" w:cs="仿宋"/>
          <w:sz w:val="32"/>
          <w:szCs w:val="32"/>
        </w:rPr>
        <w:t>城镇职工、城乡居民参保筹资和保障待遇政策，统筹城乡医疗保障政策标准，建立健全与筹资水平相适应的待遇调整机制。拟订长期护理保险制度方案及政策标准并组织实施。</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lang w:eastAsia="zh-CN"/>
        </w:rPr>
        <w:t>四是</w:t>
      </w:r>
      <w:r>
        <w:rPr>
          <w:rFonts w:hint="eastAsia" w:ascii="仿宋" w:hAnsi="仿宋" w:eastAsia="仿宋" w:cs="仿宋"/>
          <w:sz w:val="32"/>
          <w:szCs w:val="32"/>
        </w:rPr>
        <w:t>组织制定全</w:t>
      </w:r>
      <w:r>
        <w:rPr>
          <w:rFonts w:hint="eastAsia" w:ascii="仿宋" w:hAnsi="仿宋" w:eastAsia="仿宋" w:cs="仿宋"/>
          <w:b w:val="0"/>
          <w:bCs w:val="0"/>
          <w:sz w:val="32"/>
          <w:szCs w:val="32"/>
          <w:lang w:eastAsia="zh-CN"/>
        </w:rPr>
        <w:t>区</w:t>
      </w:r>
      <w:r>
        <w:rPr>
          <w:rFonts w:hint="eastAsia" w:ascii="仿宋" w:hAnsi="仿宋" w:eastAsia="仿宋" w:cs="仿宋"/>
          <w:sz w:val="32"/>
          <w:szCs w:val="32"/>
        </w:rPr>
        <w:t>城乡统一的药品、医用耗材、医疗服务项目、医疗服务设施等医保支付标准，建立动态调整机制，并组织实施。</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lang w:eastAsia="zh-CN"/>
        </w:rPr>
        <w:t>五是</w:t>
      </w:r>
      <w:r>
        <w:rPr>
          <w:rFonts w:hint="eastAsia" w:ascii="仿宋" w:hAnsi="仿宋" w:eastAsia="仿宋" w:cs="仿宋"/>
          <w:sz w:val="32"/>
          <w:szCs w:val="32"/>
        </w:rPr>
        <w:t>组织制定全</w:t>
      </w:r>
      <w:r>
        <w:rPr>
          <w:rFonts w:hint="eastAsia" w:ascii="仿宋" w:hAnsi="仿宋" w:eastAsia="仿宋" w:cs="仿宋"/>
          <w:b w:val="0"/>
          <w:bCs w:val="0"/>
          <w:sz w:val="32"/>
          <w:szCs w:val="32"/>
          <w:lang w:eastAsia="zh-CN"/>
        </w:rPr>
        <w:t>区</w:t>
      </w:r>
      <w:r>
        <w:rPr>
          <w:rFonts w:hint="eastAsia" w:ascii="仿宋" w:hAnsi="仿宋" w:eastAsia="仿宋" w:cs="仿宋"/>
          <w:sz w:val="32"/>
          <w:szCs w:val="32"/>
        </w:rPr>
        <w:t>药品、医用耗材价格和医疗服务项目、医疗服务设施收费等政策。建立医保支付医药服务价格合理确定和动态调整机制，依法管理药品、医用耗材、医疗服务价格政策执行情况。建立完善药品、医用耗材和医疗服务价格检测信息发布制度。</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lang w:eastAsia="zh-CN"/>
        </w:rPr>
        <w:t>六是</w:t>
      </w:r>
      <w:r>
        <w:rPr>
          <w:rFonts w:hint="eastAsia" w:ascii="仿宋" w:hAnsi="仿宋" w:eastAsia="仿宋" w:cs="仿宋"/>
          <w:sz w:val="32"/>
          <w:szCs w:val="32"/>
        </w:rPr>
        <w:t>制定全</w:t>
      </w:r>
      <w:r>
        <w:rPr>
          <w:rFonts w:hint="eastAsia" w:ascii="仿宋" w:hAnsi="仿宋" w:eastAsia="仿宋" w:cs="仿宋"/>
          <w:b w:val="0"/>
          <w:bCs w:val="0"/>
          <w:sz w:val="32"/>
          <w:szCs w:val="32"/>
          <w:lang w:eastAsia="zh-CN"/>
        </w:rPr>
        <w:t>区</w:t>
      </w:r>
      <w:r>
        <w:rPr>
          <w:rFonts w:hint="eastAsia" w:ascii="仿宋" w:hAnsi="仿宋" w:eastAsia="仿宋" w:cs="仿宋"/>
          <w:sz w:val="32"/>
          <w:szCs w:val="32"/>
        </w:rPr>
        <w:t>药品、医用耗材的招标采购政策并监督实施，指导药品、医用耗材招标采购平台建设。</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lang w:eastAsia="zh-CN"/>
        </w:rPr>
        <w:t>七是</w:t>
      </w:r>
      <w:r>
        <w:rPr>
          <w:rFonts w:hint="eastAsia" w:ascii="仿宋" w:hAnsi="仿宋" w:eastAsia="仿宋" w:cs="仿宋"/>
          <w:sz w:val="32"/>
          <w:szCs w:val="32"/>
        </w:rPr>
        <w:t>制定全</w:t>
      </w:r>
      <w:r>
        <w:rPr>
          <w:rFonts w:hint="eastAsia" w:ascii="仿宋" w:hAnsi="仿宋" w:eastAsia="仿宋" w:cs="仿宋"/>
          <w:b w:val="0"/>
          <w:bCs w:val="0"/>
          <w:sz w:val="32"/>
          <w:szCs w:val="32"/>
          <w:lang w:eastAsia="zh-CN"/>
        </w:rPr>
        <w:t>区</w:t>
      </w:r>
      <w:r>
        <w:rPr>
          <w:rFonts w:hint="eastAsia" w:ascii="仿宋" w:hAnsi="仿宋" w:eastAsia="仿宋" w:cs="仿宋"/>
          <w:sz w:val="32"/>
          <w:szCs w:val="32"/>
        </w:rPr>
        <w:t>定点医药机构协议和支付管理办法并组织实施。建立健全医疗保障信用评价体系和信息披露制度，监督管理定点医药机构的医疗服务行为、医疗费用和医药价格，依法查处医疗保障领域违法违规行为。</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lang w:eastAsia="zh-CN"/>
        </w:rPr>
        <w:t>八是</w:t>
      </w:r>
      <w:r>
        <w:rPr>
          <w:rFonts w:hint="eastAsia" w:ascii="仿宋" w:hAnsi="仿宋" w:eastAsia="仿宋" w:cs="仿宋"/>
          <w:sz w:val="32"/>
          <w:szCs w:val="32"/>
        </w:rPr>
        <w:t>负责医疗保障经办管理、公共服务体系和信息化建设。组织制定和完善异地就医管理和费用结算政策并组织实施。建立健全医疗保障关系转移接续制度。</w:t>
      </w:r>
    </w:p>
    <w:p>
      <w:pPr>
        <w:ind w:firstLine="560"/>
        <w:rPr>
          <w:rFonts w:hint="eastAsia" w:ascii="楷体_GB2312" w:hAnsi="黑体" w:eastAsia="楷体_GB2312" w:cs="Times New Roman"/>
          <w:b/>
          <w:sz w:val="32"/>
          <w:szCs w:val="32"/>
        </w:rPr>
      </w:pPr>
    </w:p>
    <w:p>
      <w:pPr>
        <w:ind w:firstLine="560"/>
        <w:rPr>
          <w:rFonts w:hint="eastAsia" w:ascii="楷体_GB2312" w:hAnsi="黑体" w:eastAsia="楷体_GB2312" w:cs="Times New Roman"/>
          <w:b/>
          <w:sz w:val="32"/>
          <w:szCs w:val="32"/>
        </w:rPr>
      </w:pPr>
    </w:p>
    <w:p>
      <w:pPr>
        <w:rPr>
          <w:rFonts w:hint="eastAsia" w:ascii="楷体_GB2312" w:hAnsi="黑体" w:eastAsia="楷体_GB2312" w:cs="Times New Roman"/>
          <w:b/>
          <w:sz w:val="32"/>
          <w:szCs w:val="32"/>
        </w:rPr>
      </w:pPr>
    </w:p>
    <w:p>
      <w:pPr>
        <w:ind w:firstLine="560"/>
        <w:rPr>
          <w:rFonts w:ascii="楷体_GB2312" w:hAnsi="Times New Roman" w:eastAsia="楷体_GB2312" w:cs="Times New Roman"/>
          <w:b/>
          <w:sz w:val="32"/>
          <w:szCs w:val="24"/>
        </w:rPr>
      </w:pPr>
      <w:r>
        <w:rPr>
          <w:rFonts w:hint="eastAsia" w:ascii="楷体_GB2312" w:hAnsi="黑体" w:eastAsia="楷体_GB2312" w:cs="Times New Roman"/>
          <w:b/>
          <w:sz w:val="32"/>
          <w:szCs w:val="32"/>
        </w:rPr>
        <w:t>部门职责及工作活动绩效目标指标：</w:t>
      </w:r>
    </w:p>
    <w:p>
      <w:pPr>
        <w:jc w:val="center"/>
        <w:outlineLvl w:val="0"/>
        <w:rPr>
          <w:rFonts w:ascii="方正小标宋_GBK" w:hAnsi="Times New Roman" w:eastAsia="方正小标宋_GBK" w:cs="Times New Roman"/>
          <w:sz w:val="32"/>
          <w:szCs w:val="24"/>
        </w:rPr>
      </w:pPr>
      <w:r>
        <w:rPr>
          <w:rFonts w:hint="eastAsia" w:ascii="方正小标宋_GBK" w:hAnsi="Times New Roman" w:eastAsia="方正小标宋_GBK" w:cs="Times New Roman"/>
          <w:sz w:val="32"/>
          <w:szCs w:val="24"/>
        </w:rPr>
        <w:t>部门职责-工作活动绩效目标</w:t>
      </w:r>
      <w:bookmarkEnd w:id="0"/>
    </w:p>
    <w:tbl>
      <w:tblPr>
        <w:tblStyle w:val="12"/>
        <w:tblW w:w="1393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hint="eastAsia" w:ascii="方正小标宋_GBK" w:hAnsi="Calibri" w:eastAsia="方正小标宋_GBK" w:cs="Times New Roman"/>
                <w:sz w:val="24"/>
                <w:lang w:eastAsia="zh-CN"/>
              </w:rPr>
            </w:pPr>
            <w:r>
              <w:rPr>
                <w:rFonts w:hint="eastAsia" w:ascii="方正小标宋_GBK" w:hAnsi="Calibri" w:eastAsia="方正小标宋_GBK" w:cs="Times New Roman"/>
                <w:sz w:val="24"/>
                <w:lang w:val="en-US" w:eastAsia="zh-CN"/>
              </w:rPr>
              <w:t>365</w:t>
            </w:r>
            <w:r>
              <w:rPr>
                <w:rFonts w:hint="eastAsia" w:ascii="方正小标宋_GBK" w:hAnsi="Calibri" w:eastAsia="方正小标宋_GBK" w:cs="Times New Roman"/>
                <w:sz w:val="24"/>
                <w:lang w:eastAsia="zh-CN"/>
              </w:rPr>
              <w:t>石家庄市鹿泉区医疗保障局</w:t>
            </w:r>
          </w:p>
        </w:tc>
        <w:tc>
          <w:tcPr>
            <w:tcW w:w="2948"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hAnsi="Calibri" w:eastAsia="方正书宋_GBK" w:cs="Times New Roman"/>
                <w:sz w:val="24"/>
              </w:rPr>
            </w:pPr>
            <w:r>
              <w:rPr>
                <w:rFonts w:hint="eastAsia" w:ascii="方正书宋_GBK" w:hAnsi="Calibri" w:eastAsia="方正书宋_GBK" w:cs="Times New Roman"/>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tblHeader/>
          <w:jc w:val="center"/>
        </w:trPr>
        <w:tc>
          <w:tcPr>
            <w:tcW w:w="2341" w:type="dxa"/>
            <w:vMerge w:val="restart"/>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职责活动</w:t>
            </w:r>
          </w:p>
        </w:tc>
        <w:tc>
          <w:tcPr>
            <w:tcW w:w="1276" w:type="dxa"/>
            <w:vMerge w:val="restart"/>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年度预算数</w:t>
            </w:r>
          </w:p>
        </w:tc>
        <w:tc>
          <w:tcPr>
            <w:tcW w:w="2976" w:type="dxa"/>
            <w:vMerge w:val="restart"/>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内容描述</w:t>
            </w:r>
          </w:p>
        </w:tc>
        <w:tc>
          <w:tcPr>
            <w:tcW w:w="2976" w:type="dxa"/>
            <w:vMerge w:val="restart"/>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绩效目标</w:t>
            </w:r>
          </w:p>
        </w:tc>
        <w:tc>
          <w:tcPr>
            <w:tcW w:w="1417" w:type="dxa"/>
            <w:vMerge w:val="restart"/>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绩效指标</w:t>
            </w:r>
          </w:p>
        </w:tc>
        <w:tc>
          <w:tcPr>
            <w:tcW w:w="2948" w:type="dxa"/>
            <w:gridSpan w:val="4"/>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tblHeader/>
          <w:jc w:val="center"/>
        </w:trPr>
        <w:tc>
          <w:tcPr>
            <w:tcW w:w="2341" w:type="dxa"/>
            <w:vMerge w:val="continue"/>
            <w:shd w:val="clear" w:color="auto" w:fill="auto"/>
            <w:vAlign w:val="center"/>
          </w:tcPr>
          <w:p>
            <w:pPr>
              <w:spacing w:line="300" w:lineRule="exact"/>
              <w:jc w:val="left"/>
              <w:outlineLvl w:val="0"/>
              <w:rPr>
                <w:rFonts w:ascii="Calibri" w:hAnsi="Calibri" w:eastAsia="宋体" w:cs="Times New Roman"/>
              </w:rPr>
            </w:pPr>
          </w:p>
        </w:tc>
        <w:tc>
          <w:tcPr>
            <w:tcW w:w="1276" w:type="dxa"/>
            <w:vMerge w:val="continue"/>
            <w:shd w:val="clear" w:color="auto" w:fill="auto"/>
            <w:vAlign w:val="center"/>
          </w:tcPr>
          <w:p>
            <w:pPr>
              <w:spacing w:line="300" w:lineRule="exact"/>
              <w:jc w:val="left"/>
              <w:outlineLvl w:val="0"/>
              <w:rPr>
                <w:rFonts w:ascii="Calibri" w:hAnsi="Calibri" w:eastAsia="宋体" w:cs="Times New Roman"/>
              </w:rPr>
            </w:pPr>
          </w:p>
        </w:tc>
        <w:tc>
          <w:tcPr>
            <w:tcW w:w="2976" w:type="dxa"/>
            <w:vMerge w:val="continue"/>
            <w:shd w:val="clear" w:color="auto" w:fill="auto"/>
            <w:vAlign w:val="center"/>
          </w:tcPr>
          <w:p>
            <w:pPr>
              <w:spacing w:line="300" w:lineRule="exact"/>
              <w:jc w:val="left"/>
              <w:outlineLvl w:val="0"/>
              <w:rPr>
                <w:rFonts w:ascii="Calibri" w:hAnsi="Calibri" w:eastAsia="宋体" w:cs="Times New Roman"/>
              </w:rPr>
            </w:pPr>
          </w:p>
        </w:tc>
        <w:tc>
          <w:tcPr>
            <w:tcW w:w="2976" w:type="dxa"/>
            <w:vMerge w:val="continue"/>
            <w:shd w:val="clear" w:color="auto" w:fill="auto"/>
            <w:vAlign w:val="center"/>
          </w:tcPr>
          <w:p>
            <w:pPr>
              <w:spacing w:line="300" w:lineRule="exact"/>
              <w:jc w:val="left"/>
              <w:outlineLvl w:val="0"/>
              <w:rPr>
                <w:rFonts w:ascii="Calibri" w:hAnsi="Calibri" w:eastAsia="宋体" w:cs="Times New Roman"/>
              </w:rPr>
            </w:pPr>
          </w:p>
        </w:tc>
        <w:tc>
          <w:tcPr>
            <w:tcW w:w="1417" w:type="dxa"/>
            <w:vMerge w:val="continue"/>
            <w:shd w:val="clear" w:color="auto" w:fill="auto"/>
            <w:vAlign w:val="center"/>
          </w:tcPr>
          <w:p>
            <w:pPr>
              <w:spacing w:line="300" w:lineRule="exact"/>
              <w:jc w:val="left"/>
              <w:outlineLvl w:val="0"/>
              <w:rPr>
                <w:rFonts w:ascii="Calibri" w:hAnsi="Calibri" w:eastAsia="宋体" w:cs="Times New Roman"/>
              </w:rPr>
            </w:pPr>
          </w:p>
        </w:tc>
        <w:tc>
          <w:tcPr>
            <w:tcW w:w="737" w:type="dxa"/>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优</w:t>
            </w:r>
          </w:p>
        </w:tc>
        <w:tc>
          <w:tcPr>
            <w:tcW w:w="737" w:type="dxa"/>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良</w:t>
            </w:r>
          </w:p>
        </w:tc>
        <w:tc>
          <w:tcPr>
            <w:tcW w:w="737" w:type="dxa"/>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中</w:t>
            </w:r>
          </w:p>
        </w:tc>
        <w:tc>
          <w:tcPr>
            <w:tcW w:w="737" w:type="dxa"/>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hAnsi="Calibri" w:eastAsia="方正书宋_GBK" w:cs="Times New Roman"/>
                <w:b/>
              </w:rPr>
            </w:pPr>
            <w:r>
              <w:rPr>
                <w:rFonts w:hint="eastAsia" w:ascii="方正书宋_GBK" w:eastAsia="方正书宋_GBK"/>
                <w:b/>
              </w:rPr>
              <w:t>一、医疗保险等相关政策实施及管理</w:t>
            </w:r>
          </w:p>
        </w:tc>
        <w:tc>
          <w:tcPr>
            <w:tcW w:w="1276" w:type="dxa"/>
            <w:shd w:val="clear" w:color="auto" w:fill="auto"/>
            <w:vAlign w:val="center"/>
          </w:tcPr>
          <w:p>
            <w:pPr>
              <w:spacing w:line="300" w:lineRule="exact"/>
              <w:jc w:val="left"/>
              <w:rPr>
                <w:rFonts w:ascii="方正书宋_GBK" w:hAnsi="Calibri" w:eastAsia="方正书宋_GBK" w:cs="Times New Roman"/>
              </w:rPr>
            </w:pPr>
            <w:r>
              <w:rPr>
                <w:rFonts w:ascii="方正书宋_GBK" w:eastAsia="方正书宋_GBK"/>
              </w:rPr>
              <w:t>28.00</w:t>
            </w:r>
          </w:p>
        </w:tc>
        <w:tc>
          <w:tcPr>
            <w:tcW w:w="2976" w:type="dxa"/>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制定我区医疗保险实施措施并推动落实。同时，对全区医保保基金征缴、支付、管理进行监管。</w:t>
            </w:r>
          </w:p>
        </w:tc>
        <w:tc>
          <w:tcPr>
            <w:tcW w:w="2976" w:type="dxa"/>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全面开展参保登记，扩大各项保险的覆盖面，及时足额落实社会保险待遇。</w:t>
            </w:r>
          </w:p>
        </w:tc>
        <w:tc>
          <w:tcPr>
            <w:tcW w:w="1417" w:type="dxa"/>
            <w:shd w:val="clear" w:color="auto" w:fill="auto"/>
            <w:vAlign w:val="center"/>
          </w:tcPr>
          <w:p>
            <w:pPr>
              <w:spacing w:line="300" w:lineRule="exact"/>
              <w:jc w:val="left"/>
              <w:rPr>
                <w:rFonts w:ascii="方正书宋_GBK" w:hAnsi="Calibri" w:eastAsia="方正书宋_GBK" w:cs="Times New Roman"/>
              </w:rPr>
            </w:pPr>
          </w:p>
        </w:tc>
        <w:tc>
          <w:tcPr>
            <w:tcW w:w="737" w:type="dxa"/>
            <w:shd w:val="clear" w:color="auto" w:fill="auto"/>
            <w:vAlign w:val="center"/>
          </w:tcPr>
          <w:p>
            <w:pPr>
              <w:spacing w:line="300" w:lineRule="exact"/>
              <w:jc w:val="center"/>
              <w:rPr>
                <w:rFonts w:ascii="方正书宋_GBK" w:hAnsi="Calibri" w:eastAsia="方正书宋_GBK" w:cs="Times New Roman"/>
              </w:rPr>
            </w:pPr>
          </w:p>
        </w:tc>
        <w:tc>
          <w:tcPr>
            <w:tcW w:w="737" w:type="dxa"/>
            <w:shd w:val="clear" w:color="auto" w:fill="auto"/>
            <w:vAlign w:val="center"/>
          </w:tcPr>
          <w:p>
            <w:pPr>
              <w:spacing w:line="300" w:lineRule="exact"/>
              <w:jc w:val="center"/>
              <w:rPr>
                <w:rFonts w:ascii="方正书宋_GBK" w:hAnsi="Calibri" w:eastAsia="方正书宋_GBK" w:cs="Times New Roman"/>
              </w:rPr>
            </w:pPr>
          </w:p>
        </w:tc>
        <w:tc>
          <w:tcPr>
            <w:tcW w:w="737" w:type="dxa"/>
            <w:shd w:val="clear" w:color="auto" w:fill="auto"/>
            <w:vAlign w:val="center"/>
          </w:tcPr>
          <w:p>
            <w:pPr>
              <w:spacing w:line="300" w:lineRule="exact"/>
              <w:jc w:val="center"/>
              <w:rPr>
                <w:rFonts w:ascii="方正书宋_GBK" w:hAnsi="Calibri" w:eastAsia="方正书宋_GBK" w:cs="Times New Roman"/>
              </w:rPr>
            </w:pPr>
          </w:p>
        </w:tc>
        <w:tc>
          <w:tcPr>
            <w:tcW w:w="737" w:type="dxa"/>
            <w:shd w:val="clear" w:color="auto" w:fill="auto"/>
            <w:vAlign w:val="center"/>
          </w:tcPr>
          <w:p>
            <w:pPr>
              <w:spacing w:line="300" w:lineRule="exact"/>
              <w:jc w:val="center"/>
              <w:rPr>
                <w:rFonts w:ascii="方正书宋_GBK" w:hAnsi="Calibri" w:eastAsia="方正书宋_GBK"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042" w:hRule="atLeast"/>
          <w:jc w:val="center"/>
        </w:trPr>
        <w:tc>
          <w:tcPr>
            <w:tcW w:w="2341" w:type="dxa"/>
            <w:vMerge w:val="restart"/>
            <w:shd w:val="clear" w:color="auto" w:fill="auto"/>
            <w:vAlign w:val="center"/>
          </w:tcPr>
          <w:p>
            <w:pPr>
              <w:spacing w:line="300" w:lineRule="exact"/>
              <w:jc w:val="left"/>
              <w:rPr>
                <w:rFonts w:ascii="方正书宋_GBK" w:hAnsi="Calibri" w:eastAsia="方正书宋_GBK" w:cs="Times New Roman"/>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、城镇职工及城乡居民医疗保险</w:t>
            </w:r>
          </w:p>
        </w:tc>
        <w:tc>
          <w:tcPr>
            <w:tcW w:w="1276" w:type="dxa"/>
            <w:vMerge w:val="restart"/>
            <w:shd w:val="clear" w:color="auto" w:fill="auto"/>
            <w:vAlign w:val="center"/>
          </w:tcPr>
          <w:p>
            <w:pPr>
              <w:spacing w:line="300" w:lineRule="exact"/>
              <w:jc w:val="left"/>
              <w:rPr>
                <w:rFonts w:ascii="方正书宋_GBK" w:hAnsi="Calibri" w:eastAsia="方正书宋_GBK" w:cs="Times New Roman"/>
              </w:rPr>
            </w:pPr>
          </w:p>
        </w:tc>
        <w:tc>
          <w:tcPr>
            <w:tcW w:w="2976" w:type="dxa"/>
            <w:vMerge w:val="restart"/>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落实城镇职工、城乡居民医疗保险政策，稳步提高医疗保障水平。完善医疗服务实时监控系统，深入推进异地就医直接结算。完善离休干部医疗保障政策，确保离休干部医药费待遇按时足额落实到位。</w:t>
            </w:r>
          </w:p>
        </w:tc>
        <w:tc>
          <w:tcPr>
            <w:tcW w:w="2976" w:type="dxa"/>
            <w:vMerge w:val="restart"/>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稳步提高医疗保险参保率，提高医疗服务实时监控水平，逐步提高异地就医直接结算服务水平，确保医疗保险基金安全运行。夯实医疗保险和离休干部医疗保障基础管理，确保各项待遇落实到位。</w:t>
            </w:r>
          </w:p>
        </w:tc>
        <w:tc>
          <w:tcPr>
            <w:tcW w:w="1417" w:type="dxa"/>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离休干部医疗保障到位率</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042" w:hRule="atLeast"/>
          <w:jc w:val="center"/>
        </w:trPr>
        <w:tc>
          <w:tcPr>
            <w:tcW w:w="2341" w:type="dxa"/>
            <w:vMerge w:val="continue"/>
            <w:shd w:val="clear" w:color="auto" w:fill="auto"/>
            <w:vAlign w:val="center"/>
          </w:tcPr>
          <w:p>
            <w:pPr>
              <w:spacing w:line="300" w:lineRule="exact"/>
              <w:jc w:val="center"/>
            </w:pPr>
          </w:p>
        </w:tc>
        <w:tc>
          <w:tcPr>
            <w:tcW w:w="1276" w:type="dxa"/>
            <w:vMerge w:val="continue"/>
            <w:shd w:val="clear" w:color="auto" w:fill="auto"/>
            <w:vAlign w:val="center"/>
          </w:tcPr>
          <w:p>
            <w:pPr>
              <w:spacing w:line="300" w:lineRule="exact"/>
              <w:jc w:val="center"/>
            </w:pPr>
          </w:p>
        </w:tc>
        <w:tc>
          <w:tcPr>
            <w:tcW w:w="2976" w:type="dxa"/>
            <w:vMerge w:val="continue"/>
            <w:shd w:val="clear" w:color="auto" w:fill="auto"/>
            <w:vAlign w:val="center"/>
          </w:tcPr>
          <w:p>
            <w:pPr>
              <w:spacing w:line="300" w:lineRule="exact"/>
              <w:jc w:val="center"/>
            </w:pPr>
          </w:p>
        </w:tc>
        <w:tc>
          <w:tcPr>
            <w:tcW w:w="2976" w:type="dxa"/>
            <w:vMerge w:val="continue"/>
            <w:shd w:val="clear" w:color="auto" w:fill="auto"/>
            <w:vAlign w:val="center"/>
          </w:tcPr>
          <w:p>
            <w:pPr>
              <w:spacing w:line="300" w:lineRule="exact"/>
              <w:jc w:val="center"/>
            </w:pPr>
          </w:p>
        </w:tc>
        <w:tc>
          <w:tcPr>
            <w:tcW w:w="1417" w:type="dxa"/>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基本医疗保险参保率</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hAnsi="Calibri" w:eastAsia="方正书宋_GBK" w:cs="Times New Roman"/>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、长期护理保险</w:t>
            </w:r>
          </w:p>
        </w:tc>
        <w:tc>
          <w:tcPr>
            <w:tcW w:w="1276" w:type="dxa"/>
            <w:shd w:val="clear" w:color="auto" w:fill="auto"/>
            <w:vAlign w:val="center"/>
          </w:tcPr>
          <w:p>
            <w:pPr>
              <w:spacing w:line="300" w:lineRule="exact"/>
              <w:jc w:val="left"/>
              <w:rPr>
                <w:rFonts w:ascii="方正书宋_GBK" w:hAnsi="Calibri" w:eastAsia="方正书宋_GBK" w:cs="Times New Roman"/>
              </w:rPr>
            </w:pPr>
          </w:p>
        </w:tc>
        <w:tc>
          <w:tcPr>
            <w:tcW w:w="2976" w:type="dxa"/>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落实长期护理保险政策，稳步提高医疗保障水平。完善医疗服务实时监控系统。</w:t>
            </w:r>
          </w:p>
        </w:tc>
        <w:tc>
          <w:tcPr>
            <w:tcW w:w="2976" w:type="dxa"/>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长期护理保险待遇落实。</w:t>
            </w:r>
          </w:p>
        </w:tc>
        <w:tc>
          <w:tcPr>
            <w:tcW w:w="1417" w:type="dxa"/>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长期护理保险待遇到位率</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hAnsi="Calibri" w:eastAsia="方正书宋_GBK" w:cs="Times New Roman"/>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、生育保险政策实施及管理</w:t>
            </w:r>
          </w:p>
        </w:tc>
        <w:tc>
          <w:tcPr>
            <w:tcW w:w="1276" w:type="dxa"/>
            <w:shd w:val="clear" w:color="auto" w:fill="auto"/>
            <w:vAlign w:val="center"/>
          </w:tcPr>
          <w:p>
            <w:pPr>
              <w:spacing w:line="300" w:lineRule="exact"/>
              <w:jc w:val="left"/>
              <w:rPr>
                <w:rFonts w:ascii="方正书宋_GBK" w:hAnsi="Calibri" w:eastAsia="方正书宋_GBK" w:cs="Times New Roman"/>
              </w:rPr>
            </w:pPr>
          </w:p>
        </w:tc>
        <w:tc>
          <w:tcPr>
            <w:tcW w:w="2976" w:type="dxa"/>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生育保险政策实施</w:t>
            </w:r>
          </w:p>
        </w:tc>
        <w:tc>
          <w:tcPr>
            <w:tcW w:w="2976" w:type="dxa"/>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确保生育保险待遇落实。</w:t>
            </w:r>
          </w:p>
        </w:tc>
        <w:tc>
          <w:tcPr>
            <w:tcW w:w="1417" w:type="dxa"/>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生育保险待遇到位率</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hAnsi="Calibri" w:eastAsia="方正书宋_GBK" w:cs="Times New Roman"/>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、医疗救助</w:t>
            </w:r>
          </w:p>
        </w:tc>
        <w:tc>
          <w:tcPr>
            <w:tcW w:w="1276" w:type="dxa"/>
            <w:shd w:val="clear" w:color="auto" w:fill="auto"/>
            <w:vAlign w:val="center"/>
          </w:tcPr>
          <w:p>
            <w:pPr>
              <w:spacing w:line="300" w:lineRule="exact"/>
              <w:jc w:val="left"/>
              <w:rPr>
                <w:rFonts w:ascii="方正书宋_GBK" w:hAnsi="Calibri" w:eastAsia="方正书宋_GBK" w:cs="Times New Roman"/>
              </w:rPr>
            </w:pPr>
            <w:r>
              <w:rPr>
                <w:rFonts w:ascii="方正书宋_GBK" w:eastAsia="方正书宋_GBK"/>
              </w:rPr>
              <w:t>28.00</w:t>
            </w:r>
          </w:p>
        </w:tc>
        <w:tc>
          <w:tcPr>
            <w:tcW w:w="2976" w:type="dxa"/>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医疗救助政策实施</w:t>
            </w:r>
          </w:p>
        </w:tc>
        <w:tc>
          <w:tcPr>
            <w:tcW w:w="2976" w:type="dxa"/>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确保医疗救助待遇落实。</w:t>
            </w:r>
          </w:p>
        </w:tc>
        <w:tc>
          <w:tcPr>
            <w:tcW w:w="1417" w:type="dxa"/>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医疗救助待遇到位率</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75%</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hAnsi="Calibri" w:eastAsia="方正书宋_GBK" w:cs="Times New Roman"/>
                <w:b/>
              </w:rPr>
            </w:pPr>
            <w:r>
              <w:rPr>
                <w:rFonts w:hint="eastAsia" w:ascii="方正书宋_GBK" w:eastAsia="方正书宋_GBK"/>
                <w:b/>
              </w:rPr>
              <w:t>二、医保基金监督管理</w:t>
            </w:r>
          </w:p>
        </w:tc>
        <w:tc>
          <w:tcPr>
            <w:tcW w:w="1276" w:type="dxa"/>
            <w:shd w:val="clear" w:color="auto" w:fill="auto"/>
            <w:vAlign w:val="center"/>
          </w:tcPr>
          <w:p>
            <w:pPr>
              <w:spacing w:line="300" w:lineRule="exact"/>
              <w:jc w:val="left"/>
              <w:rPr>
                <w:rFonts w:ascii="方正书宋_GBK" w:hAnsi="Calibri" w:eastAsia="方正书宋_GBK" w:cs="Times New Roman"/>
              </w:rPr>
            </w:pPr>
            <w:r>
              <w:rPr>
                <w:rFonts w:ascii="方正书宋_GBK" w:eastAsia="方正书宋_GBK"/>
              </w:rPr>
              <w:t>109.00</w:t>
            </w:r>
          </w:p>
        </w:tc>
        <w:tc>
          <w:tcPr>
            <w:tcW w:w="2976" w:type="dxa"/>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贯彻落实党国家、省、市医疗保障基金监督管理规定，建立健全医疗保障基金安全防控机制，建设维护网络信息系统和职能监控平台。</w:t>
            </w:r>
          </w:p>
        </w:tc>
        <w:tc>
          <w:tcPr>
            <w:tcW w:w="2976" w:type="dxa"/>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落实党医疗保障基金监督管理规定，建立健全医疗保障基金安全防控机制，建设维护网络信息系统和职能监控平台。</w:t>
            </w:r>
          </w:p>
        </w:tc>
        <w:tc>
          <w:tcPr>
            <w:tcW w:w="1417" w:type="dxa"/>
            <w:shd w:val="clear" w:color="auto" w:fill="auto"/>
            <w:vAlign w:val="center"/>
          </w:tcPr>
          <w:p>
            <w:pPr>
              <w:spacing w:line="300" w:lineRule="exact"/>
              <w:jc w:val="left"/>
              <w:rPr>
                <w:rFonts w:ascii="方正书宋_GBK" w:hAnsi="Calibri" w:eastAsia="方正书宋_GBK" w:cs="Times New Roman"/>
              </w:rPr>
            </w:pPr>
          </w:p>
        </w:tc>
        <w:tc>
          <w:tcPr>
            <w:tcW w:w="737" w:type="dxa"/>
            <w:shd w:val="clear" w:color="auto" w:fill="auto"/>
            <w:vAlign w:val="center"/>
          </w:tcPr>
          <w:p>
            <w:pPr>
              <w:spacing w:line="300" w:lineRule="exact"/>
              <w:jc w:val="center"/>
              <w:rPr>
                <w:rFonts w:ascii="方正书宋_GBK" w:hAnsi="Calibri" w:eastAsia="方正书宋_GBK" w:cs="Times New Roman"/>
              </w:rPr>
            </w:pPr>
          </w:p>
        </w:tc>
        <w:tc>
          <w:tcPr>
            <w:tcW w:w="737" w:type="dxa"/>
            <w:shd w:val="clear" w:color="auto" w:fill="auto"/>
            <w:vAlign w:val="center"/>
          </w:tcPr>
          <w:p>
            <w:pPr>
              <w:spacing w:line="300" w:lineRule="exact"/>
              <w:jc w:val="center"/>
              <w:rPr>
                <w:rFonts w:ascii="方正书宋_GBK" w:hAnsi="Calibri" w:eastAsia="方正书宋_GBK" w:cs="Times New Roman"/>
              </w:rPr>
            </w:pPr>
          </w:p>
        </w:tc>
        <w:tc>
          <w:tcPr>
            <w:tcW w:w="737" w:type="dxa"/>
            <w:shd w:val="clear" w:color="auto" w:fill="auto"/>
            <w:vAlign w:val="center"/>
          </w:tcPr>
          <w:p>
            <w:pPr>
              <w:spacing w:line="300" w:lineRule="exact"/>
              <w:jc w:val="center"/>
              <w:rPr>
                <w:rFonts w:ascii="方正书宋_GBK" w:hAnsi="Calibri" w:eastAsia="方正书宋_GBK" w:cs="Times New Roman"/>
              </w:rPr>
            </w:pPr>
          </w:p>
        </w:tc>
        <w:tc>
          <w:tcPr>
            <w:tcW w:w="737" w:type="dxa"/>
            <w:shd w:val="clear" w:color="auto" w:fill="auto"/>
            <w:vAlign w:val="center"/>
          </w:tcPr>
          <w:p>
            <w:pPr>
              <w:spacing w:line="300" w:lineRule="exact"/>
              <w:jc w:val="center"/>
              <w:rPr>
                <w:rFonts w:ascii="方正书宋_GBK" w:hAnsi="Calibri" w:eastAsia="方正书宋_GBK"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hAnsi="Calibri" w:eastAsia="方正书宋_GBK" w:cs="Times New Roman"/>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、医疗保障基金监督管理</w:t>
            </w:r>
          </w:p>
        </w:tc>
        <w:tc>
          <w:tcPr>
            <w:tcW w:w="1276" w:type="dxa"/>
            <w:vMerge w:val="restart"/>
            <w:shd w:val="clear" w:color="auto" w:fill="auto"/>
            <w:vAlign w:val="center"/>
          </w:tcPr>
          <w:p>
            <w:pPr>
              <w:spacing w:line="300" w:lineRule="exact"/>
              <w:jc w:val="left"/>
              <w:rPr>
                <w:rFonts w:ascii="方正书宋_GBK" w:hAnsi="Calibri" w:eastAsia="方正书宋_GBK" w:cs="Times New Roman"/>
              </w:rPr>
            </w:pPr>
            <w:r>
              <w:rPr>
                <w:rFonts w:ascii="方正书宋_GBK" w:eastAsia="方正书宋_GBK"/>
              </w:rPr>
              <w:t>109.00</w:t>
            </w:r>
          </w:p>
        </w:tc>
        <w:tc>
          <w:tcPr>
            <w:tcW w:w="2976" w:type="dxa"/>
            <w:vMerge w:val="restart"/>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贯彻落实国家医疗保障基金监督管理规定</w:t>
            </w:r>
          </w:p>
        </w:tc>
        <w:tc>
          <w:tcPr>
            <w:tcW w:w="2976" w:type="dxa"/>
            <w:vMerge w:val="restart"/>
            <w:shd w:val="clear" w:color="auto" w:fill="auto"/>
            <w:vAlign w:val="center"/>
          </w:tcPr>
          <w:p>
            <w:pPr>
              <w:spacing w:line="300" w:lineRule="exact"/>
              <w:jc w:val="left"/>
              <w:rPr>
                <w:rFonts w:ascii="方正书宋_GBK" w:hAnsi="Calibri" w:eastAsia="方正书宋_GBK" w:cs="Times New Roman"/>
              </w:rPr>
            </w:pPr>
          </w:p>
        </w:tc>
        <w:tc>
          <w:tcPr>
            <w:tcW w:w="1417" w:type="dxa"/>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网络信息系统后台职能监控平台展开率。</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hAnsi="Calibri" w:eastAsia="方正书宋_GBK" w:cs="Times New Roman"/>
                <w:b/>
              </w:rPr>
            </w:pPr>
          </w:p>
        </w:tc>
        <w:tc>
          <w:tcPr>
            <w:tcW w:w="1276" w:type="dxa"/>
            <w:vMerge w:val="continue"/>
            <w:shd w:val="clear" w:color="auto" w:fill="auto"/>
            <w:vAlign w:val="center"/>
          </w:tcPr>
          <w:p>
            <w:pPr>
              <w:spacing w:line="300" w:lineRule="exact"/>
              <w:jc w:val="left"/>
              <w:rPr>
                <w:rFonts w:ascii="方正书宋_GBK" w:hAnsi="Calibri" w:eastAsia="方正书宋_GBK" w:cs="Times New Roman"/>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rPr>
            </w:pPr>
          </w:p>
        </w:tc>
        <w:tc>
          <w:tcPr>
            <w:tcW w:w="1417" w:type="dxa"/>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医疗保障基金支付方式改革完成度</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425" w:hRule="atLeast"/>
          <w:jc w:val="center"/>
        </w:trPr>
        <w:tc>
          <w:tcPr>
            <w:tcW w:w="2341" w:type="dxa"/>
            <w:shd w:val="clear" w:color="auto" w:fill="auto"/>
            <w:vAlign w:val="center"/>
          </w:tcPr>
          <w:p>
            <w:pPr>
              <w:spacing w:line="300" w:lineRule="exact"/>
              <w:jc w:val="left"/>
              <w:rPr>
                <w:rFonts w:ascii="方正书宋_GBK" w:hAnsi="Calibri" w:eastAsia="方正书宋_GBK" w:cs="Times New Roman"/>
                <w:b/>
              </w:rPr>
            </w:pPr>
            <w:r>
              <w:rPr>
                <w:rFonts w:hint="eastAsia" w:ascii="方正书宋_GBK" w:eastAsia="方正书宋_GBK"/>
                <w:b/>
              </w:rPr>
              <w:t>四、医保经办管理</w:t>
            </w:r>
          </w:p>
        </w:tc>
        <w:tc>
          <w:tcPr>
            <w:tcW w:w="1276" w:type="dxa"/>
            <w:shd w:val="clear" w:color="auto" w:fill="auto"/>
            <w:vAlign w:val="center"/>
          </w:tcPr>
          <w:p>
            <w:pPr>
              <w:spacing w:line="300" w:lineRule="exact"/>
              <w:jc w:val="left"/>
              <w:rPr>
                <w:rFonts w:ascii="方正书宋_GBK" w:hAnsi="Calibri" w:eastAsia="方正书宋_GBK" w:cs="Times New Roman"/>
              </w:rPr>
            </w:pPr>
            <w:r>
              <w:rPr>
                <w:rFonts w:ascii="方正书宋_GBK" w:eastAsia="方正书宋_GBK"/>
              </w:rPr>
              <w:t>60.00</w:t>
            </w:r>
          </w:p>
        </w:tc>
        <w:tc>
          <w:tcPr>
            <w:tcW w:w="2976" w:type="dxa"/>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负责医疗保障经办管理、公共服务体系和信息化建设。</w:t>
            </w:r>
          </w:p>
        </w:tc>
        <w:tc>
          <w:tcPr>
            <w:tcW w:w="2976" w:type="dxa"/>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负责医疗保障经办管理、公共服务体系和信息化建设。贯彻落实异地就医管理和费用结算政策、医疗保障关系转移接续制度。</w:t>
            </w:r>
          </w:p>
        </w:tc>
        <w:tc>
          <w:tcPr>
            <w:tcW w:w="1417" w:type="dxa"/>
            <w:shd w:val="clear" w:color="auto" w:fill="auto"/>
            <w:vAlign w:val="center"/>
          </w:tcPr>
          <w:p>
            <w:pPr>
              <w:spacing w:line="300" w:lineRule="exact"/>
              <w:jc w:val="left"/>
              <w:rPr>
                <w:rFonts w:ascii="方正书宋_GBK" w:hAnsi="Calibri" w:eastAsia="方正书宋_GBK" w:cs="Times New Roman"/>
              </w:rPr>
            </w:pPr>
          </w:p>
        </w:tc>
        <w:tc>
          <w:tcPr>
            <w:tcW w:w="737" w:type="dxa"/>
            <w:vMerge w:val="restart"/>
            <w:shd w:val="clear" w:color="auto" w:fill="auto"/>
            <w:vAlign w:val="center"/>
          </w:tcPr>
          <w:p>
            <w:pPr>
              <w:spacing w:line="300" w:lineRule="exact"/>
              <w:jc w:val="center"/>
              <w:rPr>
                <w:rFonts w:ascii="方正书宋_GBK" w:hAnsi="Calibri" w:eastAsia="方正书宋_GBK" w:cs="Times New Roman"/>
              </w:rPr>
            </w:pPr>
          </w:p>
        </w:tc>
        <w:tc>
          <w:tcPr>
            <w:tcW w:w="737" w:type="dxa"/>
            <w:shd w:val="clear" w:color="auto" w:fill="auto"/>
            <w:vAlign w:val="center"/>
          </w:tcPr>
          <w:p>
            <w:pPr>
              <w:spacing w:line="300" w:lineRule="exact"/>
              <w:jc w:val="center"/>
              <w:rPr>
                <w:rFonts w:ascii="方正书宋_GBK" w:hAnsi="Calibri" w:eastAsia="方正书宋_GBK" w:cs="Times New Roman"/>
              </w:rPr>
            </w:pPr>
          </w:p>
        </w:tc>
        <w:tc>
          <w:tcPr>
            <w:tcW w:w="737" w:type="dxa"/>
            <w:shd w:val="clear" w:color="auto" w:fill="auto"/>
            <w:vAlign w:val="center"/>
          </w:tcPr>
          <w:p>
            <w:pPr>
              <w:spacing w:line="300" w:lineRule="exact"/>
              <w:jc w:val="center"/>
              <w:rPr>
                <w:rFonts w:ascii="方正书宋_GBK" w:hAnsi="Calibri" w:eastAsia="方正书宋_GBK" w:cs="Times New Roman"/>
              </w:rPr>
            </w:pPr>
          </w:p>
        </w:tc>
        <w:tc>
          <w:tcPr>
            <w:tcW w:w="737" w:type="dxa"/>
            <w:shd w:val="clear" w:color="auto" w:fill="auto"/>
            <w:vAlign w:val="center"/>
          </w:tcPr>
          <w:p>
            <w:pPr>
              <w:spacing w:line="300" w:lineRule="exact"/>
              <w:jc w:val="center"/>
              <w:rPr>
                <w:rFonts w:ascii="方正书宋_GBK" w:hAnsi="Calibri" w:eastAsia="方正书宋_GBK"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hAnsi="Calibri" w:eastAsia="方正书宋_GBK" w:cs="Times New Roman"/>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shd w:val="clear" w:color="auto" w:fill="auto"/>
            <w:vAlign w:val="center"/>
          </w:tcPr>
          <w:p>
            <w:pPr>
              <w:spacing w:line="300" w:lineRule="exact"/>
              <w:jc w:val="left"/>
              <w:rPr>
                <w:rFonts w:ascii="方正书宋_GBK" w:hAnsi="Calibri" w:eastAsia="方正书宋_GBK" w:cs="Times New Roman"/>
              </w:rPr>
            </w:pPr>
          </w:p>
        </w:tc>
        <w:tc>
          <w:tcPr>
            <w:tcW w:w="2976" w:type="dxa"/>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负责医疗保障经办管理、公共服务体系和信息化建设。贯彻落实异地就医管理和费用结算政策、医疗保障关系转移接续制度。</w:t>
            </w:r>
          </w:p>
        </w:tc>
        <w:tc>
          <w:tcPr>
            <w:tcW w:w="2976" w:type="dxa"/>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保障机关正常运转</w:t>
            </w:r>
          </w:p>
        </w:tc>
        <w:tc>
          <w:tcPr>
            <w:tcW w:w="1417" w:type="dxa"/>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rPr>
              <w:t>医疗保障信息化保障支撑度</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100%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hAnsi="Calibri" w:eastAsia="方正书宋_GBK" w:cs="Times New Roman"/>
              </w:rPr>
            </w:pPr>
            <w:r>
              <w:rPr>
                <w:rFonts w:ascii="方正书宋_GBK" w:eastAsia="方正书宋_GBK"/>
              </w:rPr>
              <w:t>&lt;80%</w:t>
            </w:r>
          </w:p>
        </w:tc>
      </w:tr>
    </w:tbl>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outlineLvl w:val="0"/>
        <w:rPr>
          <w:rFonts w:hint="eastAsia" w:ascii="仿宋" w:hAnsi="仿宋" w:eastAsia="仿宋" w:cs="仿宋"/>
          <w:sz w:val="32"/>
          <w:szCs w:val="32"/>
        </w:rPr>
      </w:pPr>
      <w:bookmarkStart w:id="1" w:name="_Toc471398468"/>
      <w:r>
        <w:rPr>
          <w:rFonts w:ascii="Times New Roman" w:hAnsi="Times New Roman" w:eastAsia="方正仿宋_GBK" w:cs="Times New Roman"/>
          <w:sz w:val="32"/>
          <w:szCs w:val="24"/>
        </w:rPr>
        <w:t xml:space="preserve">   </w:t>
      </w:r>
      <w:r>
        <w:rPr>
          <w:rFonts w:hint="eastAsia" w:ascii="仿宋" w:hAnsi="仿宋" w:eastAsia="仿宋" w:cs="仿宋"/>
          <w:sz w:val="32"/>
          <w:szCs w:val="32"/>
        </w:rPr>
        <w:t>2019年，我</w:t>
      </w:r>
      <w:r>
        <w:rPr>
          <w:rFonts w:hint="eastAsia" w:ascii="仿宋" w:hAnsi="仿宋" w:eastAsia="仿宋" w:cs="仿宋"/>
          <w:sz w:val="32"/>
          <w:szCs w:val="32"/>
          <w:lang w:eastAsia="zh-CN"/>
        </w:rPr>
        <w:t>局</w:t>
      </w:r>
      <w:r>
        <w:rPr>
          <w:rFonts w:hint="eastAsia" w:ascii="仿宋" w:hAnsi="仿宋" w:eastAsia="仿宋" w:cs="仿宋"/>
          <w:sz w:val="32"/>
          <w:szCs w:val="32"/>
        </w:rPr>
        <w:t>安排政府采购预算</w:t>
      </w:r>
      <w:r>
        <w:rPr>
          <w:rFonts w:hint="eastAsia" w:ascii="仿宋" w:hAnsi="仿宋" w:eastAsia="仿宋" w:cs="仿宋"/>
          <w:sz w:val="32"/>
          <w:szCs w:val="32"/>
          <w:lang w:val="en-US" w:eastAsia="zh-CN"/>
        </w:rPr>
        <w:t>50</w:t>
      </w:r>
      <w:r>
        <w:rPr>
          <w:rFonts w:hint="eastAsia" w:ascii="仿宋" w:hAnsi="仿宋" w:eastAsia="仿宋" w:cs="仿宋"/>
          <w:sz w:val="32"/>
          <w:szCs w:val="32"/>
        </w:rPr>
        <w:t>万元。具体内容见下表。</w:t>
      </w:r>
    </w:p>
    <w:p>
      <w:pPr>
        <w:jc w:val="center"/>
        <w:outlineLvl w:val="0"/>
        <w:rPr>
          <w:rFonts w:ascii="方正小标宋_GBK" w:hAnsi="Times New Roman" w:eastAsia="方正小标宋_GBK" w:cs="Times New Roman"/>
          <w:sz w:val="32"/>
          <w:szCs w:val="24"/>
        </w:rPr>
      </w:pPr>
      <w:r>
        <w:rPr>
          <w:rFonts w:hint="eastAsia" w:ascii="方正小标宋_GBK" w:hAnsi="Times New Roman" w:eastAsia="方正小标宋_GBK" w:cs="Times New Roman"/>
          <w:sz w:val="32"/>
          <w:szCs w:val="24"/>
        </w:rPr>
        <w:t>部门政府采购预算</w:t>
      </w:r>
      <w:bookmarkEnd w:id="1"/>
    </w:p>
    <w:tbl>
      <w:tblPr>
        <w:tblStyle w:val="12"/>
        <w:tblW w:w="1375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55"/>
        <w:gridCol w:w="976"/>
        <w:gridCol w:w="672"/>
        <w:gridCol w:w="1524"/>
        <w:gridCol w:w="564"/>
        <w:gridCol w:w="976"/>
        <w:gridCol w:w="976"/>
        <w:gridCol w:w="976"/>
        <w:gridCol w:w="976"/>
        <w:gridCol w:w="976"/>
        <w:gridCol w:w="754"/>
        <w:gridCol w:w="756"/>
        <w:gridCol w:w="859"/>
        <w:gridCol w:w="6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843"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hint="eastAsia" w:ascii="方正小标宋_GBK" w:eastAsia="方正小标宋_GBK"/>
                <w:sz w:val="24"/>
                <w:lang w:eastAsia="zh-CN"/>
              </w:rPr>
            </w:pPr>
            <w:r>
              <w:rPr>
                <w:rFonts w:hint="eastAsia" w:ascii="方正小标宋_GBK" w:eastAsia="方正小标宋_GBK"/>
                <w:sz w:val="24"/>
                <w:lang w:val="en-US" w:eastAsia="zh-CN"/>
              </w:rPr>
              <w:t>365</w:t>
            </w:r>
            <w:r>
              <w:rPr>
                <w:rFonts w:hint="eastAsia" w:ascii="宋体" w:hAnsi="宋体" w:eastAsia="宋体" w:cs="宋体"/>
                <w:kern w:val="0"/>
                <w:sz w:val="22"/>
                <w:lang w:eastAsia="zh-CN"/>
              </w:rPr>
              <w:t>石家庄市鹿泉区医疗保障局</w:t>
            </w:r>
          </w:p>
        </w:tc>
        <w:tc>
          <w:tcPr>
            <w:tcW w:w="5909"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3131"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672"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2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56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  单位</w:t>
            </w:r>
          </w:p>
        </w:tc>
        <w:tc>
          <w:tcPr>
            <w:tcW w:w="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5909" w:type="dxa"/>
            <w:gridSpan w:val="7"/>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155"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672" w:type="dxa"/>
            <w:vMerge w:val="continue"/>
            <w:shd w:val="clear" w:color="auto" w:fill="auto"/>
            <w:vAlign w:val="center"/>
          </w:tcPr>
          <w:p>
            <w:pPr>
              <w:spacing w:line="300" w:lineRule="exact"/>
              <w:jc w:val="left"/>
              <w:outlineLvl w:val="0"/>
            </w:pPr>
          </w:p>
        </w:tc>
        <w:tc>
          <w:tcPr>
            <w:tcW w:w="1524" w:type="dxa"/>
            <w:vMerge w:val="continue"/>
            <w:shd w:val="clear" w:color="auto" w:fill="auto"/>
            <w:vAlign w:val="center"/>
          </w:tcPr>
          <w:p>
            <w:pPr>
              <w:spacing w:line="300" w:lineRule="exact"/>
              <w:jc w:val="left"/>
              <w:outlineLvl w:val="0"/>
            </w:pPr>
          </w:p>
        </w:tc>
        <w:tc>
          <w:tcPr>
            <w:tcW w:w="564" w:type="dxa"/>
            <w:vMerge w:val="continue"/>
            <w:shd w:val="clear" w:color="auto" w:fill="auto"/>
            <w:vAlign w:val="center"/>
          </w:tcPr>
          <w:p>
            <w:pPr>
              <w:spacing w:line="300" w:lineRule="exact"/>
              <w:jc w:val="left"/>
              <w:outlineLvl w:val="0"/>
            </w:pPr>
          </w:p>
        </w:tc>
        <w:tc>
          <w:tcPr>
            <w:tcW w:w="976" w:type="dxa"/>
            <w:vMerge w:val="continue"/>
            <w:shd w:val="clear" w:color="auto" w:fill="auto"/>
            <w:vAlign w:val="center"/>
          </w:tcPr>
          <w:p>
            <w:pPr>
              <w:spacing w:line="300" w:lineRule="exact"/>
              <w:jc w:val="left"/>
              <w:outlineLvl w:val="0"/>
            </w:pPr>
          </w:p>
        </w:tc>
        <w:tc>
          <w:tcPr>
            <w:tcW w:w="976" w:type="dxa"/>
            <w:vMerge w:val="continue"/>
            <w:shd w:val="clear" w:color="auto" w:fill="auto"/>
            <w:vAlign w:val="center"/>
          </w:tcPr>
          <w:p>
            <w:pPr>
              <w:spacing w:line="300" w:lineRule="exact"/>
              <w:jc w:val="left"/>
              <w:outlineLvl w:val="0"/>
            </w:pPr>
          </w:p>
        </w:tc>
        <w:tc>
          <w:tcPr>
            <w:tcW w:w="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总计</w:t>
            </w:r>
          </w:p>
        </w:tc>
        <w:tc>
          <w:tcPr>
            <w:tcW w:w="4321" w:type="dxa"/>
            <w:gridSpan w:val="5"/>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当年部门预算安排资金</w:t>
            </w:r>
          </w:p>
        </w:tc>
        <w:tc>
          <w:tcPr>
            <w:tcW w:w="612"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155" w:type="dxa"/>
            <w:vMerge w:val="continue"/>
            <w:shd w:val="clear" w:color="auto" w:fill="auto"/>
            <w:vAlign w:val="center"/>
          </w:tcPr>
          <w:p>
            <w:pPr>
              <w:spacing w:line="300" w:lineRule="exact"/>
              <w:jc w:val="left"/>
              <w:outlineLvl w:val="0"/>
            </w:pPr>
          </w:p>
        </w:tc>
        <w:tc>
          <w:tcPr>
            <w:tcW w:w="976" w:type="dxa"/>
            <w:vMerge w:val="continue"/>
            <w:shd w:val="clear" w:color="auto" w:fill="auto"/>
            <w:vAlign w:val="center"/>
          </w:tcPr>
          <w:p>
            <w:pPr>
              <w:spacing w:line="300" w:lineRule="exact"/>
              <w:jc w:val="left"/>
              <w:outlineLvl w:val="0"/>
            </w:pPr>
          </w:p>
        </w:tc>
        <w:tc>
          <w:tcPr>
            <w:tcW w:w="672" w:type="dxa"/>
            <w:vMerge w:val="continue"/>
            <w:shd w:val="clear" w:color="auto" w:fill="auto"/>
            <w:vAlign w:val="center"/>
          </w:tcPr>
          <w:p>
            <w:pPr>
              <w:spacing w:line="300" w:lineRule="exact"/>
              <w:jc w:val="left"/>
              <w:outlineLvl w:val="0"/>
            </w:pPr>
          </w:p>
        </w:tc>
        <w:tc>
          <w:tcPr>
            <w:tcW w:w="1524" w:type="dxa"/>
            <w:vMerge w:val="continue"/>
            <w:shd w:val="clear" w:color="auto" w:fill="auto"/>
            <w:vAlign w:val="center"/>
          </w:tcPr>
          <w:p>
            <w:pPr>
              <w:spacing w:line="300" w:lineRule="exact"/>
              <w:jc w:val="left"/>
              <w:outlineLvl w:val="0"/>
            </w:pPr>
          </w:p>
        </w:tc>
        <w:tc>
          <w:tcPr>
            <w:tcW w:w="564" w:type="dxa"/>
            <w:vMerge w:val="continue"/>
            <w:shd w:val="clear" w:color="auto" w:fill="auto"/>
            <w:vAlign w:val="center"/>
          </w:tcPr>
          <w:p>
            <w:pPr>
              <w:spacing w:line="300" w:lineRule="exact"/>
              <w:jc w:val="left"/>
              <w:outlineLvl w:val="0"/>
            </w:pPr>
          </w:p>
        </w:tc>
        <w:tc>
          <w:tcPr>
            <w:tcW w:w="976" w:type="dxa"/>
            <w:vMerge w:val="continue"/>
            <w:shd w:val="clear" w:color="auto" w:fill="auto"/>
            <w:vAlign w:val="center"/>
          </w:tcPr>
          <w:p>
            <w:pPr>
              <w:spacing w:line="300" w:lineRule="exact"/>
              <w:jc w:val="left"/>
              <w:outlineLvl w:val="0"/>
            </w:pPr>
          </w:p>
        </w:tc>
        <w:tc>
          <w:tcPr>
            <w:tcW w:w="976" w:type="dxa"/>
            <w:vMerge w:val="continue"/>
            <w:shd w:val="clear" w:color="auto" w:fill="auto"/>
            <w:vAlign w:val="center"/>
          </w:tcPr>
          <w:p>
            <w:pPr>
              <w:spacing w:line="300" w:lineRule="exact"/>
              <w:jc w:val="left"/>
              <w:outlineLvl w:val="0"/>
            </w:pPr>
          </w:p>
        </w:tc>
        <w:tc>
          <w:tcPr>
            <w:tcW w:w="976" w:type="dxa"/>
            <w:vMerge w:val="continue"/>
            <w:shd w:val="clear" w:color="auto" w:fill="auto"/>
            <w:vAlign w:val="center"/>
          </w:tcPr>
          <w:p>
            <w:pPr>
              <w:spacing w:line="300" w:lineRule="exact"/>
              <w:jc w:val="left"/>
              <w:outlineLvl w:val="0"/>
            </w:pPr>
          </w:p>
        </w:tc>
        <w:tc>
          <w:tcPr>
            <w:tcW w:w="9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75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75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5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其他来源收入</w:t>
            </w:r>
          </w:p>
        </w:tc>
        <w:tc>
          <w:tcPr>
            <w:tcW w:w="612" w:type="dxa"/>
            <w:vMerge w:val="continue"/>
            <w:shd w:val="clear" w:color="auto" w:fill="auto"/>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215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976" w:type="dxa"/>
            <w:shd w:val="clear" w:color="auto" w:fill="auto"/>
            <w:vAlign w:val="center"/>
          </w:tcPr>
          <w:p>
            <w:pPr>
              <w:spacing w:line="300" w:lineRule="exact"/>
              <w:jc w:val="right"/>
              <w:rPr>
                <w:rFonts w:ascii="方正书宋_GBK" w:eastAsia="方正书宋_GBK"/>
                <w:b/>
              </w:rPr>
            </w:pPr>
          </w:p>
        </w:tc>
        <w:tc>
          <w:tcPr>
            <w:tcW w:w="672" w:type="dxa"/>
            <w:shd w:val="clear" w:color="auto" w:fill="auto"/>
            <w:vAlign w:val="center"/>
          </w:tcPr>
          <w:p>
            <w:pPr>
              <w:spacing w:line="300" w:lineRule="exact"/>
              <w:jc w:val="left"/>
              <w:rPr>
                <w:rFonts w:ascii="方正书宋_GBK" w:eastAsia="方正书宋_GBK"/>
                <w:b/>
              </w:rPr>
            </w:pPr>
          </w:p>
        </w:tc>
        <w:tc>
          <w:tcPr>
            <w:tcW w:w="1524" w:type="dxa"/>
            <w:shd w:val="clear" w:color="auto" w:fill="auto"/>
            <w:vAlign w:val="center"/>
          </w:tcPr>
          <w:p>
            <w:pPr>
              <w:spacing w:line="300" w:lineRule="exact"/>
              <w:jc w:val="left"/>
              <w:rPr>
                <w:rFonts w:ascii="方正书宋_GBK" w:eastAsia="方正书宋_GBK"/>
                <w:b/>
              </w:rPr>
            </w:pPr>
          </w:p>
        </w:tc>
        <w:tc>
          <w:tcPr>
            <w:tcW w:w="564" w:type="dxa"/>
            <w:shd w:val="clear" w:color="auto" w:fill="auto"/>
            <w:vAlign w:val="center"/>
          </w:tcPr>
          <w:p>
            <w:pPr>
              <w:spacing w:line="300" w:lineRule="exact"/>
              <w:jc w:val="left"/>
              <w:rPr>
                <w:rFonts w:ascii="方正书宋_GBK" w:eastAsia="方正书宋_GBK"/>
                <w:b/>
              </w:rPr>
            </w:pPr>
          </w:p>
        </w:tc>
        <w:tc>
          <w:tcPr>
            <w:tcW w:w="976" w:type="dxa"/>
            <w:shd w:val="clear" w:color="auto" w:fill="auto"/>
            <w:vAlign w:val="center"/>
          </w:tcPr>
          <w:p>
            <w:pPr>
              <w:spacing w:line="300" w:lineRule="exact"/>
              <w:jc w:val="right"/>
              <w:rPr>
                <w:rFonts w:ascii="方正书宋_GBK" w:eastAsia="方正书宋_GBK"/>
                <w:b/>
              </w:rPr>
            </w:pPr>
          </w:p>
        </w:tc>
        <w:tc>
          <w:tcPr>
            <w:tcW w:w="976" w:type="dxa"/>
            <w:shd w:val="clear" w:color="auto" w:fill="auto"/>
            <w:vAlign w:val="center"/>
          </w:tcPr>
          <w:p>
            <w:pPr>
              <w:spacing w:line="300" w:lineRule="exact"/>
              <w:jc w:val="right"/>
              <w:rPr>
                <w:rFonts w:ascii="方正书宋_GBK" w:eastAsia="方正书宋_GBK"/>
                <w:b/>
              </w:rPr>
            </w:pPr>
          </w:p>
        </w:tc>
        <w:tc>
          <w:tcPr>
            <w:tcW w:w="976" w:type="dxa"/>
            <w:shd w:val="clear" w:color="auto" w:fill="auto"/>
            <w:vAlign w:val="center"/>
          </w:tcPr>
          <w:p>
            <w:pPr>
              <w:spacing w:line="300" w:lineRule="exact"/>
              <w:jc w:val="right"/>
              <w:rPr>
                <w:rFonts w:ascii="方正书宋_GBK" w:eastAsia="方正书宋_GBK"/>
                <w:b/>
              </w:rPr>
            </w:pPr>
            <w:r>
              <w:rPr>
                <w:rFonts w:ascii="方正书宋_GBK" w:eastAsia="方正书宋_GBK"/>
                <w:b/>
              </w:rPr>
              <w:t>50.00</w:t>
            </w:r>
          </w:p>
        </w:tc>
        <w:tc>
          <w:tcPr>
            <w:tcW w:w="976" w:type="dxa"/>
            <w:shd w:val="clear" w:color="auto" w:fill="auto"/>
            <w:vAlign w:val="center"/>
          </w:tcPr>
          <w:p>
            <w:pPr>
              <w:spacing w:line="300" w:lineRule="exact"/>
              <w:jc w:val="right"/>
              <w:rPr>
                <w:rFonts w:ascii="方正书宋_GBK" w:eastAsia="方正书宋_GBK"/>
                <w:b/>
              </w:rPr>
            </w:pPr>
            <w:r>
              <w:rPr>
                <w:rFonts w:ascii="方正书宋_GBK" w:eastAsia="方正书宋_GBK"/>
                <w:b/>
              </w:rPr>
              <w:t>50.00</w:t>
            </w:r>
          </w:p>
        </w:tc>
        <w:tc>
          <w:tcPr>
            <w:tcW w:w="976" w:type="dxa"/>
            <w:shd w:val="clear" w:color="auto" w:fill="auto"/>
            <w:vAlign w:val="center"/>
          </w:tcPr>
          <w:p>
            <w:pPr>
              <w:spacing w:line="300" w:lineRule="exact"/>
              <w:jc w:val="right"/>
              <w:rPr>
                <w:rFonts w:ascii="方正书宋_GBK" w:eastAsia="方正书宋_GBK"/>
                <w:b/>
              </w:rPr>
            </w:pPr>
            <w:r>
              <w:rPr>
                <w:rFonts w:ascii="方正书宋_GBK" w:eastAsia="方正书宋_GBK"/>
                <w:b/>
              </w:rPr>
              <w:t>50.00</w:t>
            </w:r>
          </w:p>
        </w:tc>
        <w:tc>
          <w:tcPr>
            <w:tcW w:w="754" w:type="dxa"/>
            <w:shd w:val="clear" w:color="auto" w:fill="auto"/>
            <w:vAlign w:val="center"/>
          </w:tcPr>
          <w:p>
            <w:pPr>
              <w:spacing w:line="300" w:lineRule="exact"/>
              <w:jc w:val="right"/>
              <w:rPr>
                <w:rFonts w:ascii="方正书宋_GBK" w:eastAsia="方正书宋_GBK"/>
                <w:b/>
              </w:rPr>
            </w:pPr>
          </w:p>
        </w:tc>
        <w:tc>
          <w:tcPr>
            <w:tcW w:w="756" w:type="dxa"/>
            <w:shd w:val="clear" w:color="auto" w:fill="auto"/>
            <w:vAlign w:val="center"/>
          </w:tcPr>
          <w:p>
            <w:pPr>
              <w:spacing w:line="300" w:lineRule="exact"/>
              <w:jc w:val="right"/>
              <w:rPr>
                <w:rFonts w:ascii="方正书宋_GBK" w:eastAsia="方正书宋_GBK"/>
                <w:b/>
              </w:rPr>
            </w:pPr>
          </w:p>
        </w:tc>
        <w:tc>
          <w:tcPr>
            <w:tcW w:w="859" w:type="dxa"/>
            <w:shd w:val="clear" w:color="auto" w:fill="auto"/>
            <w:vAlign w:val="center"/>
          </w:tcPr>
          <w:p>
            <w:pPr>
              <w:spacing w:line="300" w:lineRule="exact"/>
              <w:jc w:val="right"/>
              <w:rPr>
                <w:rFonts w:ascii="方正书宋_GBK" w:eastAsia="方正书宋_GBK"/>
                <w:b/>
              </w:rPr>
            </w:pPr>
          </w:p>
        </w:tc>
        <w:tc>
          <w:tcPr>
            <w:tcW w:w="612"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215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石家庄市鹿泉区医疗保障局小计</w:t>
            </w:r>
          </w:p>
        </w:tc>
        <w:tc>
          <w:tcPr>
            <w:tcW w:w="976" w:type="dxa"/>
            <w:shd w:val="clear" w:color="auto" w:fill="auto"/>
            <w:vAlign w:val="center"/>
          </w:tcPr>
          <w:p>
            <w:pPr>
              <w:spacing w:line="300" w:lineRule="exact"/>
              <w:jc w:val="right"/>
              <w:rPr>
                <w:rFonts w:ascii="方正书宋_GBK" w:eastAsia="方正书宋_GBK"/>
                <w:b/>
              </w:rPr>
            </w:pPr>
          </w:p>
        </w:tc>
        <w:tc>
          <w:tcPr>
            <w:tcW w:w="672" w:type="dxa"/>
            <w:shd w:val="clear" w:color="auto" w:fill="auto"/>
            <w:vAlign w:val="center"/>
          </w:tcPr>
          <w:p>
            <w:pPr>
              <w:spacing w:line="300" w:lineRule="exact"/>
              <w:jc w:val="left"/>
              <w:rPr>
                <w:rFonts w:ascii="方正书宋_GBK" w:eastAsia="方正书宋_GBK"/>
                <w:b/>
              </w:rPr>
            </w:pPr>
          </w:p>
        </w:tc>
        <w:tc>
          <w:tcPr>
            <w:tcW w:w="1524" w:type="dxa"/>
            <w:shd w:val="clear" w:color="auto" w:fill="auto"/>
            <w:vAlign w:val="center"/>
          </w:tcPr>
          <w:p>
            <w:pPr>
              <w:spacing w:line="300" w:lineRule="exact"/>
              <w:jc w:val="left"/>
              <w:rPr>
                <w:rFonts w:ascii="方正书宋_GBK" w:eastAsia="方正书宋_GBK"/>
                <w:b/>
              </w:rPr>
            </w:pPr>
          </w:p>
        </w:tc>
        <w:tc>
          <w:tcPr>
            <w:tcW w:w="564" w:type="dxa"/>
            <w:shd w:val="clear" w:color="auto" w:fill="auto"/>
            <w:vAlign w:val="center"/>
          </w:tcPr>
          <w:p>
            <w:pPr>
              <w:spacing w:line="300" w:lineRule="exact"/>
              <w:jc w:val="left"/>
              <w:rPr>
                <w:rFonts w:ascii="方正书宋_GBK" w:eastAsia="方正书宋_GBK"/>
                <w:b/>
              </w:rPr>
            </w:pPr>
          </w:p>
        </w:tc>
        <w:tc>
          <w:tcPr>
            <w:tcW w:w="976" w:type="dxa"/>
            <w:shd w:val="clear" w:color="auto" w:fill="auto"/>
            <w:vAlign w:val="center"/>
          </w:tcPr>
          <w:p>
            <w:pPr>
              <w:spacing w:line="300" w:lineRule="exact"/>
              <w:jc w:val="right"/>
              <w:rPr>
                <w:rFonts w:ascii="方正书宋_GBK" w:eastAsia="方正书宋_GBK"/>
                <w:b/>
              </w:rPr>
            </w:pPr>
          </w:p>
        </w:tc>
        <w:tc>
          <w:tcPr>
            <w:tcW w:w="976" w:type="dxa"/>
            <w:shd w:val="clear" w:color="auto" w:fill="auto"/>
            <w:vAlign w:val="center"/>
          </w:tcPr>
          <w:p>
            <w:pPr>
              <w:spacing w:line="300" w:lineRule="exact"/>
              <w:jc w:val="right"/>
              <w:rPr>
                <w:rFonts w:ascii="方正书宋_GBK" w:eastAsia="方正书宋_GBK"/>
                <w:b/>
              </w:rPr>
            </w:pPr>
          </w:p>
        </w:tc>
        <w:tc>
          <w:tcPr>
            <w:tcW w:w="976" w:type="dxa"/>
            <w:shd w:val="clear" w:color="auto" w:fill="auto"/>
            <w:vAlign w:val="center"/>
          </w:tcPr>
          <w:p>
            <w:pPr>
              <w:spacing w:line="300" w:lineRule="exact"/>
              <w:jc w:val="right"/>
              <w:rPr>
                <w:rFonts w:ascii="方正书宋_GBK" w:eastAsia="方正书宋_GBK"/>
                <w:b/>
              </w:rPr>
            </w:pPr>
            <w:r>
              <w:rPr>
                <w:rFonts w:ascii="方正书宋_GBK" w:eastAsia="方正书宋_GBK"/>
                <w:b/>
              </w:rPr>
              <w:t>50.00</w:t>
            </w:r>
          </w:p>
        </w:tc>
        <w:tc>
          <w:tcPr>
            <w:tcW w:w="976" w:type="dxa"/>
            <w:shd w:val="clear" w:color="auto" w:fill="auto"/>
            <w:vAlign w:val="center"/>
          </w:tcPr>
          <w:p>
            <w:pPr>
              <w:spacing w:line="300" w:lineRule="exact"/>
              <w:jc w:val="right"/>
              <w:rPr>
                <w:rFonts w:ascii="方正书宋_GBK" w:eastAsia="方正书宋_GBK"/>
                <w:b/>
              </w:rPr>
            </w:pPr>
            <w:r>
              <w:rPr>
                <w:rFonts w:ascii="方正书宋_GBK" w:eastAsia="方正书宋_GBK"/>
                <w:b/>
              </w:rPr>
              <w:t>50.00</w:t>
            </w:r>
          </w:p>
        </w:tc>
        <w:tc>
          <w:tcPr>
            <w:tcW w:w="976" w:type="dxa"/>
            <w:shd w:val="clear" w:color="auto" w:fill="auto"/>
            <w:vAlign w:val="center"/>
          </w:tcPr>
          <w:p>
            <w:pPr>
              <w:spacing w:line="300" w:lineRule="exact"/>
              <w:jc w:val="right"/>
              <w:rPr>
                <w:rFonts w:ascii="方正书宋_GBK" w:eastAsia="方正书宋_GBK"/>
                <w:b/>
              </w:rPr>
            </w:pPr>
            <w:r>
              <w:rPr>
                <w:rFonts w:ascii="方正书宋_GBK" w:eastAsia="方正书宋_GBK"/>
                <w:b/>
              </w:rPr>
              <w:t>50.00</w:t>
            </w:r>
          </w:p>
        </w:tc>
        <w:tc>
          <w:tcPr>
            <w:tcW w:w="754" w:type="dxa"/>
            <w:shd w:val="clear" w:color="auto" w:fill="auto"/>
            <w:vAlign w:val="center"/>
          </w:tcPr>
          <w:p>
            <w:pPr>
              <w:spacing w:line="300" w:lineRule="exact"/>
              <w:jc w:val="right"/>
              <w:rPr>
                <w:rFonts w:ascii="方正书宋_GBK" w:eastAsia="方正书宋_GBK"/>
                <w:b/>
              </w:rPr>
            </w:pPr>
          </w:p>
        </w:tc>
        <w:tc>
          <w:tcPr>
            <w:tcW w:w="756" w:type="dxa"/>
            <w:shd w:val="clear" w:color="auto" w:fill="auto"/>
            <w:vAlign w:val="center"/>
          </w:tcPr>
          <w:p>
            <w:pPr>
              <w:spacing w:line="300" w:lineRule="exact"/>
              <w:jc w:val="right"/>
              <w:rPr>
                <w:rFonts w:ascii="方正书宋_GBK" w:eastAsia="方正书宋_GBK"/>
                <w:b/>
              </w:rPr>
            </w:pPr>
          </w:p>
        </w:tc>
        <w:tc>
          <w:tcPr>
            <w:tcW w:w="859" w:type="dxa"/>
            <w:shd w:val="clear" w:color="auto" w:fill="auto"/>
            <w:vAlign w:val="center"/>
          </w:tcPr>
          <w:p>
            <w:pPr>
              <w:spacing w:line="300" w:lineRule="exact"/>
              <w:jc w:val="right"/>
              <w:rPr>
                <w:rFonts w:ascii="方正书宋_GBK" w:eastAsia="方正书宋_GBK"/>
                <w:b/>
              </w:rPr>
            </w:pPr>
          </w:p>
        </w:tc>
        <w:tc>
          <w:tcPr>
            <w:tcW w:w="612"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215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办公场所改造工程款项</w:t>
            </w:r>
          </w:p>
        </w:tc>
        <w:tc>
          <w:tcPr>
            <w:tcW w:w="976" w:type="dxa"/>
            <w:shd w:val="clear" w:color="auto" w:fill="auto"/>
            <w:vAlign w:val="center"/>
          </w:tcPr>
          <w:p>
            <w:pPr>
              <w:spacing w:line="300" w:lineRule="exact"/>
              <w:jc w:val="right"/>
              <w:rPr>
                <w:rFonts w:ascii="方正书宋_GBK" w:eastAsia="方正书宋_GBK"/>
              </w:rPr>
            </w:pPr>
            <w:r>
              <w:rPr>
                <w:rFonts w:ascii="方正书宋_GBK" w:eastAsia="方正书宋_GBK"/>
              </w:rPr>
              <w:t>50.00</w:t>
            </w:r>
          </w:p>
        </w:tc>
        <w:tc>
          <w:tcPr>
            <w:tcW w:w="67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装修工程</w:t>
            </w:r>
          </w:p>
        </w:tc>
        <w:tc>
          <w:tcPr>
            <w:tcW w:w="1524" w:type="dxa"/>
            <w:shd w:val="clear" w:color="auto" w:fill="auto"/>
            <w:vAlign w:val="center"/>
          </w:tcPr>
          <w:p>
            <w:pPr>
              <w:spacing w:line="300" w:lineRule="exact"/>
              <w:jc w:val="left"/>
              <w:rPr>
                <w:rFonts w:ascii="方正书宋_GBK" w:eastAsia="方正书宋_GBK"/>
              </w:rPr>
            </w:pPr>
            <w:r>
              <w:rPr>
                <w:rFonts w:ascii="方正书宋_GBK" w:eastAsia="方正书宋_GBK"/>
              </w:rPr>
              <w:t>B07</w:t>
            </w:r>
          </w:p>
        </w:tc>
        <w:tc>
          <w:tcPr>
            <w:tcW w:w="564" w:type="dxa"/>
            <w:shd w:val="clear" w:color="auto" w:fill="auto"/>
            <w:vAlign w:val="center"/>
          </w:tcPr>
          <w:p>
            <w:pPr>
              <w:spacing w:line="300" w:lineRule="exact"/>
              <w:jc w:val="left"/>
              <w:rPr>
                <w:rFonts w:ascii="方正书宋_GBK" w:eastAsia="方正书宋_GBK"/>
              </w:rPr>
            </w:pPr>
          </w:p>
        </w:tc>
        <w:tc>
          <w:tcPr>
            <w:tcW w:w="976"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76" w:type="dxa"/>
            <w:shd w:val="clear" w:color="auto" w:fill="auto"/>
            <w:vAlign w:val="center"/>
          </w:tcPr>
          <w:p>
            <w:pPr>
              <w:spacing w:line="300" w:lineRule="exact"/>
              <w:jc w:val="right"/>
              <w:rPr>
                <w:rFonts w:ascii="方正书宋_GBK" w:eastAsia="方正书宋_GBK"/>
              </w:rPr>
            </w:pPr>
            <w:r>
              <w:rPr>
                <w:rFonts w:ascii="方正书宋_GBK" w:eastAsia="方正书宋_GBK"/>
              </w:rPr>
              <w:t>50.00</w:t>
            </w:r>
          </w:p>
        </w:tc>
        <w:tc>
          <w:tcPr>
            <w:tcW w:w="976" w:type="dxa"/>
            <w:shd w:val="clear" w:color="auto" w:fill="auto"/>
            <w:vAlign w:val="center"/>
          </w:tcPr>
          <w:p>
            <w:pPr>
              <w:spacing w:line="300" w:lineRule="exact"/>
              <w:jc w:val="right"/>
              <w:rPr>
                <w:rFonts w:ascii="方正书宋_GBK" w:eastAsia="方正书宋_GBK"/>
              </w:rPr>
            </w:pPr>
            <w:r>
              <w:rPr>
                <w:rFonts w:ascii="方正书宋_GBK" w:eastAsia="方正书宋_GBK"/>
              </w:rPr>
              <w:t>50.00</w:t>
            </w:r>
          </w:p>
        </w:tc>
        <w:tc>
          <w:tcPr>
            <w:tcW w:w="976" w:type="dxa"/>
            <w:shd w:val="clear" w:color="auto" w:fill="auto"/>
            <w:vAlign w:val="center"/>
          </w:tcPr>
          <w:p>
            <w:pPr>
              <w:spacing w:line="300" w:lineRule="exact"/>
              <w:jc w:val="right"/>
              <w:rPr>
                <w:rFonts w:ascii="方正书宋_GBK" w:eastAsia="方正书宋_GBK"/>
              </w:rPr>
            </w:pPr>
            <w:r>
              <w:rPr>
                <w:rFonts w:ascii="方正书宋_GBK" w:eastAsia="方正书宋_GBK"/>
              </w:rPr>
              <w:t>50.00</w:t>
            </w:r>
          </w:p>
        </w:tc>
        <w:tc>
          <w:tcPr>
            <w:tcW w:w="976" w:type="dxa"/>
            <w:shd w:val="clear" w:color="auto" w:fill="auto"/>
            <w:vAlign w:val="center"/>
          </w:tcPr>
          <w:p>
            <w:pPr>
              <w:spacing w:line="300" w:lineRule="exact"/>
              <w:jc w:val="right"/>
              <w:rPr>
                <w:rFonts w:ascii="方正书宋_GBK" w:eastAsia="方正书宋_GBK"/>
              </w:rPr>
            </w:pPr>
            <w:r>
              <w:rPr>
                <w:rFonts w:ascii="方正书宋_GBK" w:eastAsia="方正书宋_GBK"/>
              </w:rPr>
              <w:t>50.00</w:t>
            </w:r>
          </w:p>
        </w:tc>
        <w:tc>
          <w:tcPr>
            <w:tcW w:w="754" w:type="dxa"/>
            <w:shd w:val="clear" w:color="auto" w:fill="auto"/>
            <w:vAlign w:val="center"/>
          </w:tcPr>
          <w:p>
            <w:pPr>
              <w:spacing w:line="300" w:lineRule="exact"/>
              <w:jc w:val="right"/>
              <w:rPr>
                <w:rFonts w:ascii="方正书宋_GBK" w:eastAsia="方正书宋_GBK"/>
              </w:rPr>
            </w:pPr>
          </w:p>
        </w:tc>
        <w:tc>
          <w:tcPr>
            <w:tcW w:w="756" w:type="dxa"/>
            <w:shd w:val="clear" w:color="auto" w:fill="auto"/>
            <w:vAlign w:val="center"/>
          </w:tcPr>
          <w:p>
            <w:pPr>
              <w:spacing w:line="300" w:lineRule="exact"/>
              <w:jc w:val="right"/>
              <w:rPr>
                <w:rFonts w:ascii="方正书宋_GBK" w:eastAsia="方正书宋_GBK"/>
              </w:rPr>
            </w:pPr>
          </w:p>
        </w:tc>
        <w:tc>
          <w:tcPr>
            <w:tcW w:w="859" w:type="dxa"/>
            <w:shd w:val="clear" w:color="auto" w:fill="auto"/>
            <w:vAlign w:val="center"/>
          </w:tcPr>
          <w:p>
            <w:pPr>
              <w:spacing w:line="300" w:lineRule="exact"/>
              <w:jc w:val="right"/>
              <w:rPr>
                <w:rFonts w:ascii="方正书宋_GBK" w:eastAsia="方正书宋_GBK"/>
              </w:rPr>
            </w:pPr>
          </w:p>
        </w:tc>
        <w:tc>
          <w:tcPr>
            <w:tcW w:w="612" w:type="dxa"/>
            <w:shd w:val="clear" w:color="auto" w:fill="auto"/>
            <w:vAlign w:val="center"/>
          </w:tcPr>
          <w:p>
            <w:pPr>
              <w:spacing w:line="300" w:lineRule="exact"/>
              <w:jc w:val="right"/>
              <w:rPr>
                <w:rFonts w:ascii="方正书宋_GBK" w:eastAsia="方正书宋_GBK"/>
              </w:rPr>
            </w:pPr>
          </w:p>
        </w:tc>
      </w:tr>
    </w:tbl>
    <w:p>
      <w:pPr>
        <w:autoSpaceDE w:val="0"/>
        <w:autoSpaceDN w:val="0"/>
        <w:adjustRightInd w:val="0"/>
        <w:ind w:left="198"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石家庄市鹿泉区医疗保障局</w:t>
      </w:r>
      <w:r>
        <w:rPr>
          <w:rFonts w:hint="eastAsia" w:ascii="仿宋" w:hAnsi="仿宋" w:eastAsia="仿宋" w:cs="仿宋"/>
          <w:sz w:val="32"/>
          <w:szCs w:val="32"/>
        </w:rPr>
        <w:t>（含所属单位）上年末固定资产金额为</w:t>
      </w:r>
      <w:r>
        <w:rPr>
          <w:rFonts w:hint="eastAsia" w:ascii="仿宋" w:hAnsi="仿宋" w:eastAsia="仿宋" w:cs="仿宋"/>
          <w:sz w:val="32"/>
          <w:szCs w:val="32"/>
          <w:lang w:val="en-US" w:eastAsia="zh-CN"/>
        </w:rPr>
        <w:t>74</w:t>
      </w:r>
      <w:r>
        <w:rPr>
          <w:rFonts w:hint="eastAsia" w:ascii="仿宋" w:hAnsi="仿宋" w:eastAsia="仿宋" w:cs="仿宋"/>
          <w:sz w:val="32"/>
          <w:szCs w:val="32"/>
        </w:rPr>
        <w:t>万元（详见下表），本年度拟购置固定资产总额为</w:t>
      </w:r>
      <w:r>
        <w:rPr>
          <w:rFonts w:hint="eastAsia" w:ascii="仿宋" w:hAnsi="仿宋" w:eastAsia="仿宋" w:cs="仿宋"/>
          <w:sz w:val="32"/>
          <w:szCs w:val="32"/>
          <w:lang w:val="en-US" w:eastAsia="zh-CN"/>
        </w:rPr>
        <w:t>10</w:t>
      </w:r>
      <w:r>
        <w:rPr>
          <w:rFonts w:hint="eastAsia" w:ascii="仿宋" w:hAnsi="仿宋" w:eastAsia="仿宋" w:cs="仿宋"/>
          <w:sz w:val="32"/>
          <w:szCs w:val="32"/>
        </w:rPr>
        <w:t>万元，主要为计算机设备、打印设备、空调、办公家具等，已列入政府采购预算，详见政府采购预算表。</w:t>
      </w:r>
    </w:p>
    <w:tbl>
      <w:tblPr>
        <w:tblStyle w:val="12"/>
        <w:tblW w:w="13482" w:type="dxa"/>
        <w:tblInd w:w="93" w:type="dxa"/>
        <w:tblLayout w:type="fixed"/>
        <w:tblCellMar>
          <w:top w:w="0" w:type="dxa"/>
          <w:left w:w="108" w:type="dxa"/>
          <w:bottom w:w="0" w:type="dxa"/>
          <w:right w:w="108" w:type="dxa"/>
        </w:tblCellMar>
      </w:tblPr>
      <w:tblGrid>
        <w:gridCol w:w="5224"/>
        <w:gridCol w:w="3155"/>
        <w:gridCol w:w="5103"/>
      </w:tblGrid>
      <w:tr>
        <w:tblPrEx>
          <w:tblLayout w:type="fixed"/>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shd w:val="clear" w:color="auto" w:fill="auto"/>
            <w:vAlign w:val="center"/>
          </w:tcPr>
          <w:p>
            <w:pPr>
              <w:ind w:firstLine="1115" w:firstLineChars="347"/>
              <w:jc w:val="center"/>
              <w:outlineLvl w:val="0"/>
              <w:rPr>
                <w:rFonts w:hint="eastAsia" w:ascii="仿宋_GB2312" w:hAnsi="仿宋" w:eastAsia="仿宋_GB2312"/>
                <w:b/>
                <w:sz w:val="32"/>
                <w:szCs w:val="32"/>
              </w:rPr>
            </w:pPr>
            <w:r>
              <w:rPr>
                <w:rFonts w:hint="eastAsia" w:ascii="仿宋_GB2312" w:hAnsi="仿宋" w:eastAsia="仿宋_GB2312"/>
                <w:b/>
                <w:sz w:val="32"/>
                <w:szCs w:val="32"/>
                <w:lang w:eastAsia="zh-CN"/>
              </w:rPr>
              <w:t>医保</w:t>
            </w:r>
            <w:r>
              <w:rPr>
                <w:rFonts w:hint="eastAsia" w:ascii="仿宋_GB2312" w:hAnsi="仿宋" w:eastAsia="仿宋_GB2312"/>
                <w:b/>
                <w:sz w:val="32"/>
                <w:szCs w:val="32"/>
              </w:rPr>
              <w:t>局固定资产占用情况表</w:t>
            </w:r>
          </w:p>
          <w:p>
            <w:pPr>
              <w:widowControl/>
              <w:jc w:val="center"/>
              <w:rPr>
                <w:rFonts w:ascii="宋体" w:hAnsi="宋体" w:eastAsia="宋体" w:cs="宋体"/>
                <w:b/>
                <w:bCs/>
                <w:kern w:val="0"/>
                <w:sz w:val="32"/>
                <w:szCs w:val="32"/>
              </w:rPr>
            </w:pPr>
          </w:p>
        </w:tc>
      </w:tr>
      <w:tr>
        <w:tblPrEx>
          <w:tblLayout w:type="fixed"/>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编制部门：</w:t>
            </w:r>
            <w:r>
              <w:rPr>
                <w:rFonts w:hint="eastAsia" w:ascii="宋体" w:hAnsi="宋体" w:eastAsia="宋体" w:cs="宋体"/>
                <w:kern w:val="0"/>
                <w:sz w:val="22"/>
                <w:lang w:eastAsia="zh-CN"/>
              </w:rPr>
              <w:t>石家庄市鹿泉区医疗保障局</w:t>
            </w:r>
          </w:p>
        </w:tc>
        <w:tc>
          <w:tcPr>
            <w:tcW w:w="5103" w:type="dxa"/>
            <w:tcBorders>
              <w:top w:val="nil"/>
              <w:left w:val="nil"/>
              <w:bottom w:val="nil"/>
              <w:right w:val="nil"/>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 xml:space="preserve">截止时间：2018年12月31日  </w:t>
            </w:r>
          </w:p>
        </w:tc>
      </w:tr>
      <w:tr>
        <w:tblPrEx>
          <w:tblLayout w:type="fixed"/>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b/>
                <w:bCs/>
                <w:kern w:val="0"/>
                <w:sz w:val="22"/>
              </w:rPr>
            </w:pPr>
            <w:r>
              <w:rPr>
                <w:rFonts w:hint="eastAsia" w:ascii="宋体" w:hAnsi="宋体" w:eastAsia="宋体" w:cs="宋体"/>
                <w:b/>
                <w:bCs/>
                <w:kern w:val="0"/>
                <w:sz w:val="22"/>
              </w:rPr>
              <w:t>项   目</w:t>
            </w:r>
          </w:p>
        </w:tc>
        <w:tc>
          <w:tcPr>
            <w:tcW w:w="3155"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eastAsia="宋体" w:cs="宋体"/>
                <w:b/>
                <w:bCs/>
                <w:kern w:val="0"/>
                <w:sz w:val="22"/>
              </w:rPr>
            </w:pPr>
            <w:r>
              <w:rPr>
                <w:rFonts w:hint="eastAsia" w:ascii="宋体" w:hAnsi="宋体" w:eastAsia="宋体" w:cs="宋体"/>
                <w:b/>
                <w:bCs/>
                <w:kern w:val="0"/>
                <w:sz w:val="22"/>
              </w:rPr>
              <w:t>数量</w:t>
            </w:r>
          </w:p>
        </w:tc>
        <w:tc>
          <w:tcPr>
            <w:tcW w:w="5103"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eastAsia="宋体" w:cs="宋体"/>
                <w:b/>
                <w:bCs/>
                <w:kern w:val="0"/>
                <w:sz w:val="22"/>
              </w:rPr>
            </w:pPr>
            <w:r>
              <w:rPr>
                <w:rFonts w:hint="eastAsia" w:ascii="宋体" w:hAnsi="宋体" w:eastAsia="宋体" w:cs="宋体"/>
                <w:b/>
                <w:bCs/>
                <w:kern w:val="0"/>
                <w:sz w:val="22"/>
              </w:rPr>
              <w:t>价值（金额单位：万元）</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22"/>
              </w:rPr>
            </w:pPr>
            <w:r>
              <w:rPr>
                <w:rFonts w:hint="eastAsia" w:ascii="宋体" w:hAnsi="宋体" w:eastAsia="宋体" w:cs="宋体"/>
                <w:kern w:val="0"/>
                <w:sz w:val="22"/>
              </w:rPr>
              <w:t>资产总额</w:t>
            </w:r>
          </w:p>
        </w:tc>
        <w:tc>
          <w:tcPr>
            <w:tcW w:w="3155"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宋体" w:cs="Times New Roman"/>
                <w:kern w:val="0"/>
                <w:sz w:val="22"/>
              </w:rPr>
            </w:pPr>
            <w:r>
              <w:rPr>
                <w:rFonts w:ascii="Times New Roman" w:hAnsi="Times New Roman" w:eastAsia="宋体" w:cs="Times New Roman"/>
                <w:kern w:val="0"/>
                <w:sz w:val="22"/>
              </w:rPr>
              <w:t>——</w:t>
            </w:r>
          </w:p>
        </w:tc>
        <w:tc>
          <w:tcPr>
            <w:tcW w:w="5103" w:type="dxa"/>
            <w:tcBorders>
              <w:top w:val="nil"/>
              <w:left w:val="nil"/>
              <w:bottom w:val="single" w:color="auto" w:sz="4" w:space="0"/>
              <w:right w:val="single" w:color="auto" w:sz="4" w:space="0"/>
            </w:tcBorders>
            <w:shd w:val="clear" w:color="auto" w:fill="auto"/>
            <w:vAlign w:val="center"/>
          </w:tcPr>
          <w:p>
            <w:pPr>
              <w:widowControl/>
              <w:jc w:val="center"/>
              <w:rPr>
                <w:rFonts w:hint="eastAsia" w:ascii="Times New Roman" w:hAnsi="Times New Roman" w:eastAsia="宋体" w:cs="Times New Roman"/>
                <w:kern w:val="0"/>
                <w:sz w:val="22"/>
                <w:lang w:val="en-US" w:eastAsia="zh-CN"/>
              </w:rPr>
            </w:pPr>
            <w:r>
              <w:rPr>
                <w:rFonts w:hint="eastAsia" w:ascii="Times New Roman" w:hAnsi="Times New Roman" w:eastAsia="宋体" w:cs="Times New Roman"/>
                <w:kern w:val="0"/>
                <w:sz w:val="22"/>
                <w:lang w:val="en-US" w:eastAsia="zh-CN"/>
              </w:rPr>
              <w:t>74</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1、房屋（平方米）</w:t>
            </w:r>
          </w:p>
        </w:tc>
        <w:tc>
          <w:tcPr>
            <w:tcW w:w="3155"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p>
        </w:tc>
        <w:tc>
          <w:tcPr>
            <w:tcW w:w="5103"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 xml:space="preserve">   其中：办公用房（平方米）</w:t>
            </w:r>
          </w:p>
        </w:tc>
        <w:tc>
          <w:tcPr>
            <w:tcW w:w="3155"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p>
        </w:tc>
        <w:tc>
          <w:tcPr>
            <w:tcW w:w="5103"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2、车辆（台、辆）</w:t>
            </w:r>
          </w:p>
        </w:tc>
        <w:tc>
          <w:tcPr>
            <w:tcW w:w="3155" w:type="dxa"/>
            <w:tcBorders>
              <w:top w:val="nil"/>
              <w:left w:val="nil"/>
              <w:bottom w:val="single" w:color="auto" w:sz="4" w:space="0"/>
              <w:right w:val="single" w:color="auto" w:sz="4" w:space="0"/>
            </w:tcBorders>
            <w:shd w:val="clear" w:color="auto" w:fill="auto"/>
            <w:vAlign w:val="center"/>
          </w:tcPr>
          <w:p>
            <w:pPr>
              <w:jc w:val="center"/>
              <w:rPr>
                <w:rFonts w:hint="eastAsia"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1</w:t>
            </w:r>
          </w:p>
        </w:tc>
        <w:tc>
          <w:tcPr>
            <w:tcW w:w="5103" w:type="dxa"/>
            <w:tcBorders>
              <w:top w:val="nil"/>
              <w:left w:val="nil"/>
              <w:bottom w:val="single" w:color="auto" w:sz="4" w:space="0"/>
              <w:right w:val="single" w:color="auto" w:sz="4" w:space="0"/>
            </w:tcBorders>
            <w:shd w:val="clear" w:color="auto" w:fill="auto"/>
            <w:vAlign w:val="center"/>
          </w:tcPr>
          <w:p>
            <w:pPr>
              <w:jc w:val="center"/>
              <w:rPr>
                <w:rFonts w:hint="eastAsia"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10</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3、单价在20万元以上的设备</w:t>
            </w:r>
          </w:p>
        </w:tc>
        <w:tc>
          <w:tcPr>
            <w:tcW w:w="3155"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p>
        </w:tc>
        <w:tc>
          <w:tcPr>
            <w:tcW w:w="5103"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4、其他固定资产</w:t>
            </w:r>
          </w:p>
        </w:tc>
        <w:tc>
          <w:tcPr>
            <w:tcW w:w="3155"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p>
        </w:tc>
        <w:tc>
          <w:tcPr>
            <w:tcW w:w="5103" w:type="dxa"/>
            <w:tcBorders>
              <w:top w:val="nil"/>
              <w:left w:val="nil"/>
              <w:bottom w:val="single" w:color="auto" w:sz="4" w:space="0"/>
              <w:right w:val="single" w:color="auto" w:sz="4" w:space="0"/>
            </w:tcBorders>
            <w:shd w:val="clear" w:color="auto" w:fill="auto"/>
            <w:vAlign w:val="center"/>
          </w:tcPr>
          <w:p>
            <w:pPr>
              <w:jc w:val="center"/>
              <w:rPr>
                <w:rFonts w:hint="eastAsia"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64</w:t>
            </w:r>
          </w:p>
        </w:tc>
      </w:tr>
    </w:tbl>
    <w:p>
      <w:pPr>
        <w:jc w:val="center"/>
        <w:outlineLvl w:val="1"/>
        <w:rPr>
          <w:rFonts w:hint="eastAsia" w:ascii="方正小标宋_GBK" w:eastAsia="方正小标宋_GBK"/>
          <w:sz w:val="44"/>
        </w:rPr>
      </w:pPr>
      <w:bookmarkStart w:id="2" w:name="_Toc2521141"/>
    </w:p>
    <w:p>
      <w:pPr>
        <w:jc w:val="center"/>
        <w:outlineLvl w:val="1"/>
        <w:rPr>
          <w:rFonts w:hint="eastAsia" w:ascii="方正小标宋_GBK" w:eastAsia="方正小标宋_GBK"/>
          <w:sz w:val="44"/>
        </w:rPr>
      </w:pPr>
    </w:p>
    <w:p>
      <w:pPr>
        <w:jc w:val="center"/>
        <w:outlineLvl w:val="1"/>
        <w:rPr>
          <w:rFonts w:hint="eastAsia" w:ascii="方正小标宋_GBK" w:eastAsia="方正小标宋_GBK"/>
          <w:sz w:val="44"/>
        </w:rPr>
      </w:pPr>
    </w:p>
    <w:p>
      <w:pPr>
        <w:jc w:val="center"/>
        <w:outlineLvl w:val="1"/>
        <w:rPr>
          <w:rFonts w:hint="eastAsia" w:ascii="方正小标宋_GBK" w:eastAsia="方正小标宋_GBK"/>
          <w:sz w:val="44"/>
        </w:rPr>
      </w:pPr>
    </w:p>
    <w:p>
      <w:pPr>
        <w:jc w:val="center"/>
        <w:outlineLvl w:val="1"/>
        <w:rPr>
          <w:rFonts w:hint="eastAsia" w:ascii="方正小标宋_GBK" w:eastAsia="方正小标宋_GBK"/>
          <w:sz w:val="44"/>
        </w:rPr>
      </w:pPr>
    </w:p>
    <w:bookmarkEnd w:id="2"/>
    <w:p>
      <w:pPr>
        <w:spacing w:line="300" w:lineRule="exact"/>
        <w:jc w:val="left"/>
        <w:sectPr>
          <w:pgSz w:w="16839" w:h="11907" w:orient="landscape"/>
          <w:pgMar w:top="1361" w:right="1020" w:bottom="1361" w:left="1020" w:header="851" w:footer="992" w:gutter="0"/>
          <w:cols w:space="425" w:num="1"/>
          <w:docGrid w:type="lines" w:linePitch="312" w:charSpace="0"/>
        </w:sect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1、一般公共预算拨款收入：指</w:t>
      </w:r>
      <w:r>
        <w:rPr>
          <w:rFonts w:hint="eastAsia" w:ascii="仿宋" w:hAnsi="仿宋" w:eastAsia="仿宋" w:cs="仿宋"/>
          <w:sz w:val="32"/>
          <w:szCs w:val="32"/>
          <w:lang w:eastAsia="zh-CN"/>
        </w:rPr>
        <w:t>区级</w:t>
      </w:r>
      <w:r>
        <w:rPr>
          <w:rFonts w:hint="eastAsia" w:ascii="仿宋" w:hAnsi="仿宋" w:eastAsia="仿宋" w:cs="仿宋"/>
          <w:sz w:val="32"/>
          <w:szCs w:val="32"/>
        </w:rPr>
        <w:t>财政当年拨付的资金。</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2、事业收入：指事业单位开展专业业务活动及辅助活动所取得的收入。</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3、其他收入：指除“一般公共预算拨款收入”、“事业收入”等以外的收入。主要是按规定动用的租房收入、存款利息收入等。</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4、基本支出：指为保障机构正常运转、完成日常工作任务而发生的人员支出和公用支出。</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5、项目支出：指在基本支出之外为完成特定行政任务和事业发展目标所发生的支出。</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6、上缴上级支出：指下级单位上缴上级的支出。</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7、“三公”经费：纳入</w:t>
      </w:r>
      <w:r>
        <w:rPr>
          <w:rFonts w:hint="eastAsia" w:ascii="仿宋" w:hAnsi="仿宋" w:eastAsia="仿宋" w:cs="仿宋"/>
          <w:sz w:val="32"/>
          <w:szCs w:val="32"/>
          <w:lang w:eastAsia="zh-CN"/>
        </w:rPr>
        <w:t>区级</w:t>
      </w:r>
      <w:r>
        <w:rPr>
          <w:rFonts w:hint="eastAsia" w:ascii="仿宋" w:hAnsi="仿宋" w:eastAsia="仿宋" w:cs="仿宋"/>
          <w:sz w:val="32"/>
          <w:szCs w:val="32"/>
        </w:rPr>
        <w:t>财政预算管理的“三公”经费，是指</w:t>
      </w:r>
      <w:r>
        <w:rPr>
          <w:rFonts w:hint="eastAsia" w:ascii="仿宋" w:hAnsi="仿宋" w:eastAsia="仿宋" w:cs="仿宋"/>
          <w:sz w:val="32"/>
          <w:szCs w:val="32"/>
          <w:lang w:eastAsia="zh-CN"/>
        </w:rPr>
        <w:t>区级</w:t>
      </w:r>
      <w:r>
        <w:rPr>
          <w:rFonts w:hint="eastAsia" w:ascii="仿宋" w:hAnsi="仿宋" w:eastAsia="仿宋" w:cs="仿宋"/>
          <w:sz w:val="32"/>
          <w:szCs w:val="32"/>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9、上年结转：指以前年度尚未完成、结转到本年仍按原规定用途继续使用的资金。</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10、事业单位经营支出：指事业单位在专业业务活动及其辅助活动之外开展非独立核算经营活动发生的支出。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九、其他需要说明的事项</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我部门无其他需要说明的事项。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_GBK">
    <w:altName w:val="宋体"/>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altName w:val="宋体"/>
    <w:panose1 w:val="00000000000000000000"/>
    <w:charset w:val="86"/>
    <w:family w:val="script"/>
    <w:pitch w:val="default"/>
    <w:sig w:usb0="00000000" w:usb1="00000000" w:usb2="0000001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CF3CA02"/>
    <w:multiLevelType w:val="singleLevel"/>
    <w:tmpl w:val="9CF3CA02"/>
    <w:lvl w:ilvl="0" w:tentative="0">
      <w:start w:val="3"/>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6032"/>
    <w:rsid w:val="00034786"/>
    <w:rsid w:val="00037AF6"/>
    <w:rsid w:val="00042F57"/>
    <w:rsid w:val="0006483E"/>
    <w:rsid w:val="00075D5F"/>
    <w:rsid w:val="0008102F"/>
    <w:rsid w:val="000B529B"/>
    <w:rsid w:val="000C3A19"/>
    <w:rsid w:val="001245BB"/>
    <w:rsid w:val="001251A3"/>
    <w:rsid w:val="00165294"/>
    <w:rsid w:val="001B4EF3"/>
    <w:rsid w:val="001F7873"/>
    <w:rsid w:val="00241FD4"/>
    <w:rsid w:val="00251B12"/>
    <w:rsid w:val="00296113"/>
    <w:rsid w:val="002A673A"/>
    <w:rsid w:val="002C07BE"/>
    <w:rsid w:val="002C5E13"/>
    <w:rsid w:val="002C62BC"/>
    <w:rsid w:val="002E0EB8"/>
    <w:rsid w:val="002F3E58"/>
    <w:rsid w:val="0030542C"/>
    <w:rsid w:val="00311B7A"/>
    <w:rsid w:val="00372FA3"/>
    <w:rsid w:val="003D417F"/>
    <w:rsid w:val="003F60E9"/>
    <w:rsid w:val="004248B8"/>
    <w:rsid w:val="00424943"/>
    <w:rsid w:val="0043175C"/>
    <w:rsid w:val="00437296"/>
    <w:rsid w:val="00451590"/>
    <w:rsid w:val="00451871"/>
    <w:rsid w:val="004631FC"/>
    <w:rsid w:val="004706DE"/>
    <w:rsid w:val="00472923"/>
    <w:rsid w:val="00496109"/>
    <w:rsid w:val="004B0C3A"/>
    <w:rsid w:val="004D5788"/>
    <w:rsid w:val="004E3066"/>
    <w:rsid w:val="004E74CD"/>
    <w:rsid w:val="00516E04"/>
    <w:rsid w:val="00565588"/>
    <w:rsid w:val="00572067"/>
    <w:rsid w:val="00573562"/>
    <w:rsid w:val="00590ECE"/>
    <w:rsid w:val="00592ADD"/>
    <w:rsid w:val="00614A29"/>
    <w:rsid w:val="00643AA7"/>
    <w:rsid w:val="00673D76"/>
    <w:rsid w:val="00674CD7"/>
    <w:rsid w:val="006854F0"/>
    <w:rsid w:val="006B1C4A"/>
    <w:rsid w:val="006B610D"/>
    <w:rsid w:val="006E49F5"/>
    <w:rsid w:val="007013C8"/>
    <w:rsid w:val="00717B1E"/>
    <w:rsid w:val="00753836"/>
    <w:rsid w:val="0075393C"/>
    <w:rsid w:val="00754592"/>
    <w:rsid w:val="00776C08"/>
    <w:rsid w:val="007C219A"/>
    <w:rsid w:val="007E1DA8"/>
    <w:rsid w:val="007F6C26"/>
    <w:rsid w:val="00813208"/>
    <w:rsid w:val="008334AE"/>
    <w:rsid w:val="00836FED"/>
    <w:rsid w:val="0083724E"/>
    <w:rsid w:val="00845CD2"/>
    <w:rsid w:val="00852B0D"/>
    <w:rsid w:val="00881692"/>
    <w:rsid w:val="00883D1A"/>
    <w:rsid w:val="008A25C2"/>
    <w:rsid w:val="008A6576"/>
    <w:rsid w:val="008B3CC5"/>
    <w:rsid w:val="008B52CD"/>
    <w:rsid w:val="008E4261"/>
    <w:rsid w:val="008F4662"/>
    <w:rsid w:val="00905D08"/>
    <w:rsid w:val="00922AEB"/>
    <w:rsid w:val="00925753"/>
    <w:rsid w:val="009425F4"/>
    <w:rsid w:val="00966C5C"/>
    <w:rsid w:val="00973104"/>
    <w:rsid w:val="00995BF0"/>
    <w:rsid w:val="009A16D5"/>
    <w:rsid w:val="009A353D"/>
    <w:rsid w:val="009B0B77"/>
    <w:rsid w:val="009B511E"/>
    <w:rsid w:val="00A44E3D"/>
    <w:rsid w:val="00A72D2E"/>
    <w:rsid w:val="00A74447"/>
    <w:rsid w:val="00A74CE5"/>
    <w:rsid w:val="00A911E7"/>
    <w:rsid w:val="00A939D9"/>
    <w:rsid w:val="00B07D9E"/>
    <w:rsid w:val="00B20712"/>
    <w:rsid w:val="00B43238"/>
    <w:rsid w:val="00B45DD3"/>
    <w:rsid w:val="00B52632"/>
    <w:rsid w:val="00B727A9"/>
    <w:rsid w:val="00B75216"/>
    <w:rsid w:val="00B91D52"/>
    <w:rsid w:val="00B9490F"/>
    <w:rsid w:val="00BA1ACD"/>
    <w:rsid w:val="00BD09F8"/>
    <w:rsid w:val="00CA7176"/>
    <w:rsid w:val="00CB3D48"/>
    <w:rsid w:val="00CB4665"/>
    <w:rsid w:val="00CC75B0"/>
    <w:rsid w:val="00CD2773"/>
    <w:rsid w:val="00CE143B"/>
    <w:rsid w:val="00D0024A"/>
    <w:rsid w:val="00D27003"/>
    <w:rsid w:val="00DB4A9B"/>
    <w:rsid w:val="00E167C7"/>
    <w:rsid w:val="00E2482E"/>
    <w:rsid w:val="00E73D47"/>
    <w:rsid w:val="00EC47F6"/>
    <w:rsid w:val="00EE156D"/>
    <w:rsid w:val="00EE65B8"/>
    <w:rsid w:val="00F149E2"/>
    <w:rsid w:val="00F66032"/>
    <w:rsid w:val="00F87C1E"/>
    <w:rsid w:val="00F958C2"/>
    <w:rsid w:val="01210AD7"/>
    <w:rsid w:val="037262D0"/>
    <w:rsid w:val="05D005B6"/>
    <w:rsid w:val="08A330C1"/>
    <w:rsid w:val="0A242DCE"/>
    <w:rsid w:val="0AFC4C76"/>
    <w:rsid w:val="0CDD48BD"/>
    <w:rsid w:val="0CFB64C5"/>
    <w:rsid w:val="0D883FD8"/>
    <w:rsid w:val="0F321949"/>
    <w:rsid w:val="0F5E41E5"/>
    <w:rsid w:val="10455723"/>
    <w:rsid w:val="12160D65"/>
    <w:rsid w:val="13513FE1"/>
    <w:rsid w:val="1381451A"/>
    <w:rsid w:val="15F3690F"/>
    <w:rsid w:val="16712F07"/>
    <w:rsid w:val="17FD0A16"/>
    <w:rsid w:val="18D44EDD"/>
    <w:rsid w:val="19545BA1"/>
    <w:rsid w:val="1B7C0301"/>
    <w:rsid w:val="1BB241CF"/>
    <w:rsid w:val="1BE165C3"/>
    <w:rsid w:val="1DAD3120"/>
    <w:rsid w:val="1DFD0A82"/>
    <w:rsid w:val="218E38AD"/>
    <w:rsid w:val="220A6758"/>
    <w:rsid w:val="26F1780C"/>
    <w:rsid w:val="28922BE8"/>
    <w:rsid w:val="29D10334"/>
    <w:rsid w:val="2A3B7081"/>
    <w:rsid w:val="2EAA57DE"/>
    <w:rsid w:val="2F29785D"/>
    <w:rsid w:val="31DD0A05"/>
    <w:rsid w:val="33326382"/>
    <w:rsid w:val="339F2B34"/>
    <w:rsid w:val="34C65BDB"/>
    <w:rsid w:val="36801CC7"/>
    <w:rsid w:val="3E207DC7"/>
    <w:rsid w:val="3E375B3B"/>
    <w:rsid w:val="3F9B220B"/>
    <w:rsid w:val="411533E9"/>
    <w:rsid w:val="42C56ABF"/>
    <w:rsid w:val="446A08D6"/>
    <w:rsid w:val="44E0637A"/>
    <w:rsid w:val="44F46BBC"/>
    <w:rsid w:val="45E3361B"/>
    <w:rsid w:val="475D67E8"/>
    <w:rsid w:val="48457128"/>
    <w:rsid w:val="49602411"/>
    <w:rsid w:val="49651392"/>
    <w:rsid w:val="49BC2866"/>
    <w:rsid w:val="4A2B739E"/>
    <w:rsid w:val="4A76466D"/>
    <w:rsid w:val="4A951198"/>
    <w:rsid w:val="4AAE5490"/>
    <w:rsid w:val="4B833311"/>
    <w:rsid w:val="4D5D3747"/>
    <w:rsid w:val="50CE4DA3"/>
    <w:rsid w:val="52042971"/>
    <w:rsid w:val="52096ADA"/>
    <w:rsid w:val="529B1910"/>
    <w:rsid w:val="53621820"/>
    <w:rsid w:val="574B39D3"/>
    <w:rsid w:val="597C3A72"/>
    <w:rsid w:val="59AA493D"/>
    <w:rsid w:val="5C4670E5"/>
    <w:rsid w:val="5C576276"/>
    <w:rsid w:val="5D7915F0"/>
    <w:rsid w:val="601043E5"/>
    <w:rsid w:val="644B4E08"/>
    <w:rsid w:val="65311F17"/>
    <w:rsid w:val="67DB01FC"/>
    <w:rsid w:val="682F2773"/>
    <w:rsid w:val="6B483445"/>
    <w:rsid w:val="6C833A12"/>
    <w:rsid w:val="6D997736"/>
    <w:rsid w:val="6DB33B09"/>
    <w:rsid w:val="706A2BB6"/>
    <w:rsid w:val="72BB6F7E"/>
    <w:rsid w:val="75177B3E"/>
    <w:rsid w:val="75AF5457"/>
    <w:rsid w:val="76806036"/>
    <w:rsid w:val="76F31CEF"/>
    <w:rsid w:val="770E324C"/>
    <w:rsid w:val="78072F3F"/>
    <w:rsid w:val="783F79AA"/>
    <w:rsid w:val="787A120F"/>
    <w:rsid w:val="79235E4F"/>
    <w:rsid w:val="79322E00"/>
    <w:rsid w:val="79673FB9"/>
    <w:rsid w:val="7B034157"/>
    <w:rsid w:val="7DF71496"/>
    <w:rsid w:val="7E5B18A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semiHidden="0" w:name="footnote reference"/>
    <w:lsdException w:uiPriority="99"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unhideWhenUsed/>
    <w:qFormat/>
    <w:uiPriority w:val="1"/>
  </w:style>
  <w:style w:type="table" w:default="1" w:styleId="12">
    <w:name w:val="Normal Table"/>
    <w:unhideWhenUsed/>
    <w:qFormat/>
    <w:uiPriority w:val="99"/>
    <w:tblPr>
      <w:tblLayout w:type="fixed"/>
      <w:tblCellMar>
        <w:top w:w="0" w:type="dxa"/>
        <w:left w:w="108" w:type="dxa"/>
        <w:bottom w:w="0" w:type="dxa"/>
        <w:right w:w="108" w:type="dxa"/>
      </w:tblCellMar>
    </w:tblPr>
  </w:style>
  <w:style w:type="paragraph" w:styleId="2">
    <w:name w:val="Balloon Text"/>
    <w:basedOn w:val="1"/>
    <w:link w:val="15"/>
    <w:unhideWhenUsed/>
    <w:qFormat/>
    <w:uiPriority w:val="99"/>
    <w:rPr>
      <w:sz w:val="18"/>
      <w:szCs w:val="18"/>
    </w:rPr>
  </w:style>
  <w:style w:type="paragraph" w:styleId="3">
    <w:name w:val="footer"/>
    <w:basedOn w:val="1"/>
    <w:link w:val="14"/>
    <w:qFormat/>
    <w:uiPriority w:val="99"/>
    <w:pPr>
      <w:tabs>
        <w:tab w:val="center" w:pos="4153"/>
        <w:tab w:val="right" w:pos="8306"/>
      </w:tabs>
      <w:snapToGrid w:val="0"/>
      <w:jc w:val="left"/>
    </w:pPr>
    <w:rPr>
      <w:rFonts w:ascii="Times New Roman" w:hAnsi="Times New Roman" w:eastAsia="宋体" w:cs="Times New Roman"/>
      <w:sz w:val="18"/>
      <w:szCs w:val="18"/>
    </w:rPr>
  </w:style>
  <w:style w:type="paragraph" w:styleId="4">
    <w:name w:val="header"/>
    <w:basedOn w:val="1"/>
    <w:link w:val="13"/>
    <w:qFormat/>
    <w:uiPriority w:val="99"/>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5">
    <w:name w:val="toc 1"/>
    <w:basedOn w:val="1"/>
    <w:next w:val="1"/>
    <w:qFormat/>
    <w:uiPriority w:val="39"/>
    <w:rPr>
      <w:rFonts w:ascii="Times New Roman" w:hAnsi="Times New Roman" w:eastAsia="宋体" w:cs="Times New Roman"/>
      <w:szCs w:val="24"/>
    </w:rPr>
  </w:style>
  <w:style w:type="paragraph" w:styleId="6">
    <w:name w:val="footnote text"/>
    <w:basedOn w:val="1"/>
    <w:link w:val="17"/>
    <w:unhideWhenUsed/>
    <w:qFormat/>
    <w:uiPriority w:val="99"/>
    <w:pPr>
      <w:snapToGrid w:val="0"/>
      <w:jc w:val="left"/>
    </w:pPr>
    <w:rPr>
      <w:rFonts w:ascii="Calibri" w:hAnsi="Calibri" w:eastAsia="宋体" w:cs="Times New Roman"/>
      <w:sz w:val="18"/>
      <w:szCs w:val="18"/>
    </w:rPr>
  </w:style>
  <w:style w:type="paragraph" w:styleId="7">
    <w:name w:val="toc 2"/>
    <w:basedOn w:val="1"/>
    <w:next w:val="1"/>
    <w:qFormat/>
    <w:uiPriority w:val="39"/>
    <w:pPr>
      <w:ind w:left="420" w:leftChars="200"/>
    </w:pPr>
    <w:rPr>
      <w:rFonts w:ascii="Times New Roman" w:hAnsi="Times New Roman" w:eastAsia="宋体" w:cs="Times New Roman"/>
      <w:szCs w:val="24"/>
    </w:rPr>
  </w:style>
  <w:style w:type="character" w:styleId="9">
    <w:name w:val="page number"/>
    <w:unhideWhenUsed/>
    <w:qFormat/>
    <w:uiPriority w:val="99"/>
  </w:style>
  <w:style w:type="character" w:styleId="10">
    <w:name w:val="Hyperlink"/>
    <w:unhideWhenUsed/>
    <w:qFormat/>
    <w:uiPriority w:val="99"/>
    <w:rPr>
      <w:color w:val="0000FF"/>
      <w:u w:val="single"/>
    </w:rPr>
  </w:style>
  <w:style w:type="character" w:styleId="11">
    <w:name w:val="footnote reference"/>
    <w:unhideWhenUsed/>
    <w:qFormat/>
    <w:uiPriority w:val="99"/>
    <w:rPr>
      <w:vertAlign w:val="superscript"/>
    </w:rPr>
  </w:style>
  <w:style w:type="character" w:customStyle="1" w:styleId="13">
    <w:name w:val="页眉 Char"/>
    <w:basedOn w:val="8"/>
    <w:link w:val="4"/>
    <w:qFormat/>
    <w:uiPriority w:val="99"/>
    <w:rPr>
      <w:rFonts w:ascii="Times New Roman" w:hAnsi="Times New Roman" w:eastAsia="宋体" w:cs="Times New Roman"/>
      <w:sz w:val="18"/>
      <w:szCs w:val="18"/>
    </w:rPr>
  </w:style>
  <w:style w:type="character" w:customStyle="1" w:styleId="14">
    <w:name w:val="页脚 Char"/>
    <w:basedOn w:val="8"/>
    <w:link w:val="3"/>
    <w:qFormat/>
    <w:uiPriority w:val="99"/>
    <w:rPr>
      <w:rFonts w:ascii="Times New Roman" w:hAnsi="Times New Roman" w:eastAsia="宋体" w:cs="Times New Roman"/>
      <w:sz w:val="18"/>
      <w:szCs w:val="18"/>
    </w:rPr>
  </w:style>
  <w:style w:type="character" w:customStyle="1" w:styleId="15">
    <w:name w:val="批注框文本 Char"/>
    <w:basedOn w:val="8"/>
    <w:link w:val="2"/>
    <w:semiHidden/>
    <w:qFormat/>
    <w:uiPriority w:val="99"/>
    <w:rPr>
      <w:sz w:val="18"/>
      <w:szCs w:val="18"/>
    </w:rPr>
  </w:style>
  <w:style w:type="paragraph" w:customStyle="1" w:styleId="16">
    <w:name w:val="Default"/>
    <w:qFormat/>
    <w:uiPriority w:val="0"/>
    <w:pPr>
      <w:widowControl w:val="0"/>
      <w:autoSpaceDE w:val="0"/>
      <w:autoSpaceDN w:val="0"/>
      <w:adjustRightInd w:val="0"/>
    </w:pPr>
    <w:rPr>
      <w:rFonts w:ascii="Times New Roman" w:hAnsi="Times New Roman" w:cs="Times New Roman" w:eastAsiaTheme="minorEastAsia"/>
      <w:color w:val="000000"/>
      <w:kern w:val="0"/>
      <w:sz w:val="24"/>
      <w:szCs w:val="24"/>
      <w:lang w:val="en-US" w:eastAsia="zh-CN" w:bidi="ar-SA"/>
    </w:rPr>
  </w:style>
  <w:style w:type="character" w:customStyle="1" w:styleId="17">
    <w:name w:val="脚注文本 Char"/>
    <w:basedOn w:val="8"/>
    <w:link w:val="6"/>
    <w:semiHidden/>
    <w:qFormat/>
    <w:uiPriority w:val="99"/>
    <w:rPr>
      <w:rFonts w:ascii="Calibri" w:hAnsi="Calibri" w:eastAsia="宋体" w:cs="Times New Roman"/>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4425098-CEB7-4813-B90D-AE258FE74940}">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44</Pages>
  <Words>3066</Words>
  <Characters>17480</Characters>
  <Lines>145</Lines>
  <Paragraphs>41</Paragraphs>
  <TotalTime>8</TotalTime>
  <ScaleCrop>false</ScaleCrop>
  <LinksUpToDate>false</LinksUpToDate>
  <CharactersWithSpaces>20505</CharactersWithSpaces>
  <Application>WPS Office_10.8.2.7119_F1E327BC-269C-435d-A152-05C5408002CA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2019-01-15T00:52:00Z</dcterms:created>
  <dc:creator>guest</dc:creator>
  <cp:lastModifiedBy>123</cp:lastModifiedBy>
  <cp:lastPrinted>2017-11-09T01:12:00Z</cp:lastPrinted>
  <dcterms:modified xsi:type="dcterms:W3CDTF">2025-01-02T02:28:31Z</dcterms:modified>
  <dc:title>河北省财政厅2019年部门预算信息公开情况说明</dc:title>
  <cp:revision>27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y fmtid="{D5CDD505-2E9C-101B-9397-08002B2CF9AE}" pid="3" name="ICV">
    <vt:lpwstr>25C47CBA9A0F410D894B3D7E034C0E9A</vt:lpwstr>
  </property>
</Properties>
</file>