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lang w:eastAsia="zh-CN"/>
        </w:rPr>
        <w:t>中国共产党石家庄市鹿泉区委员会党校</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keepNext w:val="0"/>
        <w:keepLines w:val="0"/>
        <w:pageBreakBefore w:val="0"/>
        <w:kinsoku/>
        <w:wordWrap/>
        <w:overflowPunct/>
        <w:topLinePunct w:val="0"/>
        <w:autoSpaceDE/>
        <w:autoSpaceDN/>
        <w:bidi w:val="0"/>
        <w:adjustRightInd/>
        <w:snapToGrid/>
        <w:spacing w:line="560" w:lineRule="exact"/>
        <w:ind w:firstLine="64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w:t>
      </w:r>
      <w:bookmarkStart w:id="7" w:name="_GoBack"/>
      <w:bookmarkEnd w:id="7"/>
      <w:r>
        <w:rPr>
          <w:rFonts w:hint="eastAsia" w:ascii="Times New Roman" w:hAnsi="Times New Roman" w:eastAsia="仿宋" w:cs="Times New Roman"/>
          <w:sz w:val="32"/>
          <w:szCs w:val="32"/>
        </w:rPr>
        <w:t>预算法》、《地方预决算公开操作规程》和《河北省</w:t>
      </w:r>
      <w:r>
        <w:rPr>
          <w:rFonts w:hint="eastAsia" w:ascii="Times New Roman" w:hAnsi="Times New Roman" w:eastAsia="仿宋" w:cs="Times New Roman"/>
          <w:sz w:val="32"/>
          <w:szCs w:val="32"/>
          <w:lang w:eastAsia="zh-CN"/>
        </w:rPr>
        <w:t>省</w:t>
      </w:r>
      <w:r>
        <w:rPr>
          <w:rFonts w:hint="eastAsia" w:ascii="Times New Roman" w:hAnsi="Times New Roman" w:eastAsia="仿宋" w:cs="Times New Roman"/>
          <w:sz w:val="32"/>
          <w:szCs w:val="32"/>
        </w:rPr>
        <w:t>级预算公开办法》规定，现将</w:t>
      </w:r>
      <w:r>
        <w:rPr>
          <w:rFonts w:hint="eastAsia" w:ascii="Times New Roman" w:hAnsi="Times New Roman" w:eastAsia="仿宋" w:cs="Times New Roman"/>
          <w:sz w:val="32"/>
          <w:szCs w:val="32"/>
          <w:lang w:eastAsia="zh-CN"/>
        </w:rPr>
        <w:t>中国共产党石家庄市鹿泉区委员会党校</w:t>
      </w:r>
      <w:r>
        <w:rPr>
          <w:rFonts w:hint="eastAsia" w:ascii="Times New Roman" w:hAnsi="Times New Roman" w:eastAsia="仿宋" w:cs="Times New Roman"/>
          <w:sz w:val="32"/>
          <w:szCs w:val="32"/>
        </w:rPr>
        <w:t>2020年部门预算公开如下：</w:t>
      </w:r>
    </w:p>
    <w:p>
      <w:pPr>
        <w:keepNext w:val="0"/>
        <w:keepLines w:val="0"/>
        <w:pageBreakBefore w:val="0"/>
        <w:kinsoku/>
        <w:wordWrap/>
        <w:overflowPunct/>
        <w:topLinePunct w:val="0"/>
        <w:autoSpaceDE/>
        <w:autoSpaceDN/>
        <w:bidi w:val="0"/>
        <w:adjustRightInd/>
        <w:snapToGrid/>
        <w:spacing w:line="560" w:lineRule="exact"/>
        <w:ind w:firstLine="640"/>
        <w:textAlignment w:val="auto"/>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left="0" w:leftChars="0" w:right="0" w:rightChars="0" w:firstLine="643" w:firstLineChars="200"/>
        <w:jc w:val="left"/>
        <w:textAlignment w:val="auto"/>
        <w:outlineLvl w:val="9"/>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left="0" w:leftChars="0" w:right="0" w:rightChars="0" w:firstLine="640" w:firstLineChars="200"/>
        <w:jc w:val="left"/>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1、</w:t>
      </w:r>
      <w:r>
        <w:rPr>
          <w:rFonts w:hint="eastAsia" w:ascii="仿宋" w:hAnsi="仿宋" w:eastAsia="仿宋" w:cs="仿宋"/>
          <w:kern w:val="0"/>
          <w:sz w:val="32"/>
          <w:szCs w:val="32"/>
        </w:rPr>
        <w:t>根据党中央、省市和区委关于建设高素质干部队伍的要求，有计划地培训、轮训党员领导干部和宣传骨干；</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left="0" w:leftChars="0" w:right="0" w:rightChars="0" w:firstLine="640" w:firstLineChars="200"/>
        <w:jc w:val="left"/>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2、</w:t>
      </w:r>
      <w:r>
        <w:rPr>
          <w:rFonts w:hint="eastAsia" w:ascii="仿宋" w:hAnsi="仿宋" w:eastAsia="仿宋" w:cs="仿宋"/>
          <w:kern w:val="0"/>
          <w:sz w:val="32"/>
          <w:szCs w:val="32"/>
        </w:rPr>
        <w:t>结合全区经济社会发展实际，以研讨中央重大理论和方针、政策问题为目的，举办各种专题研讨班；</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left="0" w:leftChars="0" w:right="0" w:rightChars="0" w:firstLine="640" w:firstLineChars="200"/>
        <w:jc w:val="left"/>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3、</w:t>
      </w:r>
      <w:r>
        <w:rPr>
          <w:rFonts w:hint="eastAsia" w:ascii="仿宋" w:hAnsi="仿宋" w:eastAsia="仿宋" w:cs="仿宋"/>
          <w:kern w:val="0"/>
          <w:sz w:val="32"/>
          <w:szCs w:val="32"/>
        </w:rPr>
        <w:t>利用教学资源进行干部短期培训；</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left="0" w:leftChars="0" w:right="0" w:rightChars="0" w:firstLine="640" w:firstLineChars="200"/>
        <w:jc w:val="left"/>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4、</w:t>
      </w:r>
      <w:r>
        <w:rPr>
          <w:rFonts w:hint="eastAsia" w:ascii="仿宋" w:hAnsi="仿宋" w:eastAsia="仿宋" w:cs="仿宋"/>
          <w:kern w:val="0"/>
          <w:sz w:val="32"/>
          <w:szCs w:val="32"/>
        </w:rPr>
        <w:t>开展对全区重大现实问题及战略问题的研究，为推进党的理论创新服务，为区委、区政府及有关部门决策咨询服务；</w:t>
      </w:r>
    </w:p>
    <w:p>
      <w:pPr>
        <w:keepNext w:val="0"/>
        <w:keepLines w:val="0"/>
        <w:pageBreakBefore w:val="0"/>
        <w:widowControl/>
        <w:kinsoku/>
        <w:wordWrap/>
        <w:overflowPunct/>
        <w:topLinePunct w:val="0"/>
        <w:autoSpaceDE/>
        <w:autoSpaceDN/>
        <w:bidi w:val="0"/>
        <w:adjustRightInd/>
        <w:snapToGrid/>
        <w:spacing w:beforeAutospacing="0" w:afterAutospacing="0" w:line="560" w:lineRule="exact"/>
        <w:ind w:left="0" w:leftChars="0" w:right="0" w:rightChars="0" w:firstLine="640" w:firstLineChars="200"/>
        <w:jc w:val="left"/>
        <w:textAlignment w:val="auto"/>
        <w:outlineLvl w:val="9"/>
        <w:sectPr>
          <w:pgSz w:w="11907" w:h="16839"/>
          <w:pgMar w:top="1531" w:right="1134" w:bottom="1474" w:left="1134" w:header="851" w:footer="992" w:gutter="0"/>
          <w:cols w:space="720" w:num="1"/>
          <w:docGrid w:type="lines" w:linePitch="312" w:charSpace="0"/>
        </w:sectPr>
      </w:pPr>
      <w:r>
        <w:rPr>
          <w:rFonts w:hint="eastAsia" w:ascii="仿宋" w:hAnsi="仿宋" w:eastAsia="仿宋" w:cs="仿宋"/>
          <w:kern w:val="0"/>
          <w:sz w:val="32"/>
          <w:szCs w:val="32"/>
          <w:lang w:val="en-US" w:eastAsia="zh-CN"/>
        </w:rPr>
        <w:t>5、</w:t>
      </w:r>
      <w:r>
        <w:rPr>
          <w:rFonts w:hint="eastAsia" w:ascii="仿宋" w:hAnsi="仿宋" w:eastAsia="仿宋" w:cs="仿宋"/>
          <w:kern w:val="0"/>
          <w:sz w:val="32"/>
          <w:szCs w:val="32"/>
        </w:rPr>
        <w:t>承办区委、区政府交办的其</w:t>
      </w:r>
      <w:r>
        <w:rPr>
          <w:rFonts w:hint="eastAsia" w:ascii="仿宋" w:hAnsi="仿宋" w:eastAsia="仿宋" w:cs="仿宋"/>
          <w:kern w:val="0"/>
          <w:sz w:val="32"/>
          <w:szCs w:val="32"/>
          <w:lang w:eastAsia="zh-CN"/>
        </w:rPr>
        <w:t>它事项。</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Times New Roman"/>
          <w:b/>
          <w:sz w:val="32"/>
          <w:szCs w:val="32"/>
        </w:rPr>
      </w:pPr>
      <w:r>
        <w:rPr>
          <w:rFonts w:hint="eastAsia" w:ascii="仿宋" w:hAnsi="仿宋" w:eastAsia="仿宋" w:cs="Times New Roman"/>
          <w:b/>
          <w:sz w:val="32"/>
          <w:szCs w:val="32"/>
        </w:rPr>
        <w:t>机构设置：</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根据上述职责，</w:t>
      </w:r>
      <w:r>
        <w:rPr>
          <w:rFonts w:hint="eastAsia" w:ascii="仿宋_GB2312" w:eastAsia="仿宋_GB2312"/>
          <w:sz w:val="32"/>
          <w:szCs w:val="32"/>
          <w:lang w:eastAsia="zh-CN"/>
        </w:rPr>
        <w:t>党校</w:t>
      </w:r>
      <w:r>
        <w:rPr>
          <w:rFonts w:hint="eastAsia" w:ascii="仿宋_GB2312" w:eastAsia="仿宋_GB2312"/>
          <w:sz w:val="32"/>
          <w:szCs w:val="32"/>
        </w:rPr>
        <w:t>设办公室、</w:t>
      </w:r>
      <w:r>
        <w:rPr>
          <w:rFonts w:hint="eastAsia" w:ascii="仿宋_GB2312" w:eastAsia="仿宋_GB2312"/>
          <w:sz w:val="32"/>
          <w:szCs w:val="32"/>
          <w:lang w:eastAsia="zh-CN"/>
        </w:rPr>
        <w:t>行政科、教研室、学管科四个</w:t>
      </w:r>
      <w:r>
        <w:rPr>
          <w:rFonts w:hint="eastAsia" w:ascii="仿宋_GB2312" w:eastAsia="仿宋_GB2312"/>
          <w:sz w:val="32"/>
          <w:szCs w:val="32"/>
        </w:rPr>
        <w:t>内设机构。办公室负责文秘、机构编制、</w:t>
      </w:r>
      <w:r>
        <w:rPr>
          <w:rFonts w:hint="eastAsia" w:ascii="仿宋_GB2312" w:eastAsia="仿宋_GB2312"/>
          <w:sz w:val="32"/>
          <w:szCs w:val="32"/>
          <w:lang w:eastAsia="zh-CN"/>
        </w:rPr>
        <w:t>人事、</w:t>
      </w:r>
      <w:r>
        <w:rPr>
          <w:rFonts w:hint="eastAsia" w:ascii="仿宋_GB2312" w:eastAsia="仿宋_GB2312"/>
          <w:sz w:val="32"/>
          <w:szCs w:val="32"/>
        </w:rPr>
        <w:t>宣传等工作；</w:t>
      </w:r>
      <w:r>
        <w:rPr>
          <w:rFonts w:hint="eastAsia" w:ascii="仿宋_GB2312" w:eastAsia="仿宋_GB2312"/>
          <w:sz w:val="32"/>
          <w:szCs w:val="32"/>
          <w:lang w:eastAsia="zh-CN"/>
        </w:rPr>
        <w:t>行政</w:t>
      </w:r>
      <w:r>
        <w:rPr>
          <w:rFonts w:hint="eastAsia" w:ascii="仿宋_GB2312" w:eastAsia="仿宋_GB2312"/>
          <w:sz w:val="32"/>
          <w:szCs w:val="32"/>
        </w:rPr>
        <w:t>科</w:t>
      </w:r>
      <w:r>
        <w:rPr>
          <w:rFonts w:hint="eastAsia" w:ascii="仿宋_GB2312" w:eastAsia="仿宋_GB2312"/>
          <w:sz w:val="32"/>
          <w:szCs w:val="32"/>
          <w:lang w:eastAsia="zh-CN"/>
        </w:rPr>
        <w:t>负责劳资、财务、综合治理</w:t>
      </w:r>
      <w:r>
        <w:rPr>
          <w:rFonts w:hint="eastAsia" w:ascii="仿宋_GB2312" w:eastAsia="仿宋_GB2312"/>
          <w:sz w:val="32"/>
          <w:szCs w:val="32"/>
        </w:rPr>
        <w:t>等工作；</w:t>
      </w:r>
      <w:r>
        <w:rPr>
          <w:rFonts w:hint="eastAsia" w:ascii="仿宋_GB2312" w:eastAsia="仿宋_GB2312"/>
          <w:sz w:val="32"/>
          <w:szCs w:val="32"/>
          <w:lang w:eastAsia="zh-CN"/>
        </w:rPr>
        <w:t>教研室</w:t>
      </w:r>
      <w:r>
        <w:rPr>
          <w:rFonts w:hint="eastAsia" w:ascii="仿宋_GB2312" w:eastAsia="仿宋_GB2312"/>
          <w:sz w:val="32"/>
          <w:szCs w:val="32"/>
        </w:rPr>
        <w:t>负责</w:t>
      </w:r>
      <w:r>
        <w:rPr>
          <w:rFonts w:hint="eastAsia" w:ascii="仿宋_GB2312" w:eastAsia="仿宋_GB2312"/>
          <w:sz w:val="32"/>
          <w:szCs w:val="32"/>
          <w:lang w:eastAsia="zh-CN"/>
        </w:rPr>
        <w:t>授课、调研</w:t>
      </w:r>
      <w:r>
        <w:rPr>
          <w:rFonts w:hint="eastAsia" w:ascii="仿宋_GB2312" w:eastAsia="仿宋_GB2312"/>
          <w:sz w:val="32"/>
          <w:szCs w:val="32"/>
        </w:rPr>
        <w:t>等工作</w:t>
      </w:r>
      <w:r>
        <w:rPr>
          <w:rFonts w:hint="eastAsia" w:ascii="仿宋_GB2312" w:eastAsia="仿宋_GB2312"/>
          <w:sz w:val="32"/>
          <w:szCs w:val="32"/>
          <w:lang w:eastAsia="zh-CN"/>
        </w:rPr>
        <w:t>；学管科负责培训班的管理等工作</w:t>
      </w:r>
      <w:r>
        <w:rPr>
          <w:rFonts w:hint="eastAsia" w:ascii="仿宋_GB2312" w:eastAsia="仿宋_GB2312"/>
          <w:sz w:val="32"/>
          <w:szCs w:val="32"/>
        </w:rPr>
        <w:t>。</w:t>
      </w:r>
    </w:p>
    <w:tbl>
      <w:tblPr>
        <w:tblStyle w:val="7"/>
        <w:tblpPr w:leftFromText="180" w:rightFromText="180" w:vertAnchor="text" w:horzAnchor="page" w:tblpX="1156" w:tblpY="147"/>
        <w:tblOverlap w:val="never"/>
        <w:tblW w:w="993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77"/>
        <w:gridCol w:w="636"/>
        <w:gridCol w:w="1020"/>
        <w:gridCol w:w="1536"/>
        <w:gridCol w:w="744"/>
        <w:gridCol w:w="528"/>
        <w:gridCol w:w="492"/>
        <w:gridCol w:w="576"/>
        <w:gridCol w:w="564"/>
        <w:gridCol w:w="635"/>
        <w:gridCol w:w="512"/>
        <w:gridCol w:w="5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blHeader/>
        </w:trPr>
        <w:tc>
          <w:tcPr>
            <w:tcW w:w="664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281</w:t>
            </w:r>
            <w:r>
              <w:rPr>
                <w:rFonts w:hint="eastAsia" w:ascii="方正小标宋_GBK" w:eastAsia="方正小标宋_GBK"/>
                <w:sz w:val="24"/>
              </w:rPr>
              <w:t>中国共产党石家庄市鹿泉区委员会党校</w:t>
            </w:r>
          </w:p>
        </w:tc>
        <w:tc>
          <w:tcPr>
            <w:tcW w:w="3298"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blHeader/>
        </w:trPr>
        <w:tc>
          <w:tcPr>
            <w:tcW w:w="217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636"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02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1536"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4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020"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140"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1666" w:type="dxa"/>
            <w:gridSpan w:val="3"/>
            <w:noWrap w:val="0"/>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2" w:hRule="atLeast"/>
          <w:tblHeader/>
        </w:trPr>
        <w:tc>
          <w:tcPr>
            <w:tcW w:w="2177" w:type="dxa"/>
            <w:vMerge w:val="continue"/>
            <w:noWrap w:val="0"/>
            <w:vAlign w:val="center"/>
          </w:tcPr>
          <w:p>
            <w:pPr>
              <w:spacing w:line="300" w:lineRule="exact"/>
              <w:jc w:val="left"/>
              <w:outlineLvl w:val="0"/>
            </w:pPr>
          </w:p>
        </w:tc>
        <w:tc>
          <w:tcPr>
            <w:tcW w:w="636" w:type="dxa"/>
            <w:vMerge w:val="continue"/>
            <w:noWrap w:val="0"/>
            <w:vAlign w:val="center"/>
          </w:tcPr>
          <w:p>
            <w:pPr>
              <w:spacing w:line="300" w:lineRule="exact"/>
              <w:jc w:val="left"/>
              <w:outlineLvl w:val="0"/>
            </w:pPr>
          </w:p>
        </w:tc>
        <w:tc>
          <w:tcPr>
            <w:tcW w:w="1020" w:type="dxa"/>
            <w:vMerge w:val="continue"/>
            <w:noWrap w:val="0"/>
            <w:vAlign w:val="center"/>
          </w:tcPr>
          <w:p>
            <w:pPr>
              <w:spacing w:line="300" w:lineRule="exact"/>
              <w:jc w:val="left"/>
              <w:outlineLvl w:val="0"/>
            </w:pPr>
          </w:p>
        </w:tc>
        <w:tc>
          <w:tcPr>
            <w:tcW w:w="1536" w:type="dxa"/>
            <w:vMerge w:val="continue"/>
            <w:noWrap w:val="0"/>
            <w:vAlign w:val="center"/>
          </w:tcPr>
          <w:p>
            <w:pPr>
              <w:spacing w:line="300" w:lineRule="exact"/>
              <w:jc w:val="left"/>
              <w:outlineLvl w:val="0"/>
            </w:pPr>
          </w:p>
        </w:tc>
        <w:tc>
          <w:tcPr>
            <w:tcW w:w="744" w:type="dxa"/>
            <w:vMerge w:val="continue"/>
            <w:noWrap w:val="0"/>
            <w:vAlign w:val="center"/>
          </w:tcPr>
          <w:p>
            <w:pPr>
              <w:spacing w:line="300" w:lineRule="exact"/>
              <w:jc w:val="left"/>
              <w:outlineLvl w:val="0"/>
            </w:pPr>
          </w:p>
        </w:tc>
        <w:tc>
          <w:tcPr>
            <w:tcW w:w="528" w:type="dxa"/>
            <w:noWrap w:val="0"/>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492" w:type="dxa"/>
            <w:noWrap w:val="0"/>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576" w:type="dxa"/>
            <w:noWrap w:val="0"/>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564" w:type="dxa"/>
            <w:noWrap w:val="0"/>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635" w:type="dxa"/>
            <w:noWrap w:val="0"/>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512" w:type="dxa"/>
            <w:noWrap w:val="0"/>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519" w:type="dxa"/>
            <w:noWrap w:val="0"/>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rPr>
        <w:tc>
          <w:tcPr>
            <w:tcW w:w="2177" w:type="dxa"/>
            <w:noWrap w:val="0"/>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636" w:type="dxa"/>
            <w:noWrap w:val="0"/>
            <w:vAlign w:val="center"/>
          </w:tcPr>
          <w:p>
            <w:pPr>
              <w:spacing w:line="300" w:lineRule="exact"/>
              <w:jc w:val="center"/>
              <w:rPr>
                <w:rFonts w:ascii="方正书宋_GBK" w:eastAsia="方正书宋_GBK"/>
                <w:b/>
              </w:rPr>
            </w:pPr>
          </w:p>
        </w:tc>
        <w:tc>
          <w:tcPr>
            <w:tcW w:w="1020" w:type="dxa"/>
            <w:noWrap w:val="0"/>
            <w:vAlign w:val="center"/>
          </w:tcPr>
          <w:p>
            <w:pPr>
              <w:spacing w:line="300" w:lineRule="exact"/>
              <w:jc w:val="center"/>
              <w:rPr>
                <w:rFonts w:ascii="方正书宋_GBK" w:eastAsia="方正书宋_GBK"/>
                <w:b/>
              </w:rPr>
            </w:pPr>
          </w:p>
        </w:tc>
        <w:tc>
          <w:tcPr>
            <w:tcW w:w="1536" w:type="dxa"/>
            <w:noWrap w:val="0"/>
            <w:vAlign w:val="center"/>
          </w:tcPr>
          <w:p>
            <w:pPr>
              <w:spacing w:line="300" w:lineRule="exact"/>
              <w:jc w:val="center"/>
              <w:rPr>
                <w:rFonts w:ascii="方正书宋_GBK" w:eastAsia="方正书宋_GBK"/>
                <w:b/>
              </w:rPr>
            </w:pPr>
          </w:p>
        </w:tc>
        <w:tc>
          <w:tcPr>
            <w:tcW w:w="744" w:type="dxa"/>
            <w:noWrap w:val="0"/>
            <w:vAlign w:val="center"/>
          </w:tcPr>
          <w:p>
            <w:pPr>
              <w:spacing w:line="300" w:lineRule="exact"/>
              <w:jc w:val="center"/>
              <w:rPr>
                <w:rFonts w:hint="eastAsia" w:ascii="方正书宋_GBK" w:eastAsia="方正书宋_GBK"/>
                <w:b/>
                <w:lang w:val="en-US" w:eastAsia="zh-CN"/>
              </w:rPr>
            </w:pPr>
            <w:r>
              <w:rPr>
                <w:rFonts w:hint="eastAsia" w:ascii="方正书宋_GBK" w:eastAsia="方正书宋_GBK"/>
                <w:b/>
                <w:lang w:val="en-US" w:eastAsia="zh-CN"/>
              </w:rPr>
              <w:t>1</w:t>
            </w:r>
          </w:p>
        </w:tc>
        <w:tc>
          <w:tcPr>
            <w:tcW w:w="528" w:type="dxa"/>
            <w:noWrap w:val="0"/>
            <w:vAlign w:val="center"/>
          </w:tcPr>
          <w:p>
            <w:pPr>
              <w:spacing w:line="300" w:lineRule="exact"/>
              <w:jc w:val="center"/>
              <w:rPr>
                <w:rFonts w:ascii="方正书宋_GBK" w:eastAsia="方正书宋_GBK"/>
                <w:b/>
              </w:rPr>
            </w:pPr>
          </w:p>
        </w:tc>
        <w:tc>
          <w:tcPr>
            <w:tcW w:w="492" w:type="dxa"/>
            <w:noWrap w:val="0"/>
            <w:vAlign w:val="center"/>
          </w:tcPr>
          <w:p>
            <w:pPr>
              <w:spacing w:line="300" w:lineRule="exact"/>
              <w:jc w:val="center"/>
              <w:rPr>
                <w:rFonts w:hint="default" w:ascii="方正书宋_GBK" w:eastAsia="方正书宋_GBK"/>
                <w:b/>
                <w:lang w:val="en-US" w:eastAsia="zh-CN"/>
              </w:rPr>
            </w:pPr>
            <w:r>
              <w:rPr>
                <w:rFonts w:hint="eastAsia" w:ascii="方正书宋_GBK" w:eastAsia="方正书宋_GBK"/>
                <w:b/>
                <w:lang w:val="en-US" w:eastAsia="zh-CN"/>
              </w:rPr>
              <w:t>18</w:t>
            </w:r>
          </w:p>
        </w:tc>
        <w:tc>
          <w:tcPr>
            <w:tcW w:w="576" w:type="dxa"/>
            <w:noWrap w:val="0"/>
            <w:vAlign w:val="center"/>
          </w:tcPr>
          <w:p>
            <w:pPr>
              <w:spacing w:line="300" w:lineRule="exact"/>
              <w:jc w:val="center"/>
              <w:rPr>
                <w:rFonts w:ascii="方正书宋_GBK" w:eastAsia="方正书宋_GBK"/>
                <w:b/>
              </w:rPr>
            </w:pPr>
          </w:p>
        </w:tc>
        <w:tc>
          <w:tcPr>
            <w:tcW w:w="564" w:type="dxa"/>
            <w:noWrap w:val="0"/>
            <w:vAlign w:val="center"/>
          </w:tcPr>
          <w:p>
            <w:pPr>
              <w:spacing w:line="300" w:lineRule="exact"/>
              <w:jc w:val="center"/>
              <w:rPr>
                <w:rFonts w:hint="default" w:ascii="方正书宋_GBK" w:eastAsia="方正书宋_GBK"/>
                <w:b/>
                <w:lang w:val="en-US" w:eastAsia="zh-CN"/>
              </w:rPr>
            </w:pPr>
            <w:r>
              <w:rPr>
                <w:rFonts w:hint="eastAsia" w:ascii="方正书宋_GBK" w:eastAsia="方正书宋_GBK"/>
                <w:b/>
                <w:lang w:val="en-US" w:eastAsia="zh-CN"/>
              </w:rPr>
              <w:t>18</w:t>
            </w:r>
          </w:p>
        </w:tc>
        <w:tc>
          <w:tcPr>
            <w:tcW w:w="635" w:type="dxa"/>
            <w:noWrap w:val="0"/>
            <w:vAlign w:val="center"/>
          </w:tcPr>
          <w:p>
            <w:pPr>
              <w:spacing w:line="300" w:lineRule="exact"/>
              <w:jc w:val="center"/>
              <w:rPr>
                <w:rFonts w:ascii="方正书宋_GBK" w:eastAsia="方正书宋_GBK"/>
                <w:b/>
              </w:rPr>
            </w:pPr>
          </w:p>
        </w:tc>
        <w:tc>
          <w:tcPr>
            <w:tcW w:w="512" w:type="dxa"/>
            <w:noWrap w:val="0"/>
            <w:vAlign w:val="center"/>
          </w:tcPr>
          <w:p>
            <w:pPr>
              <w:spacing w:line="300" w:lineRule="exact"/>
              <w:jc w:val="center"/>
              <w:rPr>
                <w:rFonts w:hint="eastAsia" w:ascii="方正书宋_GBK" w:eastAsia="方正书宋_GBK"/>
                <w:b/>
                <w:lang w:val="en-US" w:eastAsia="zh-CN"/>
              </w:rPr>
            </w:pPr>
            <w:r>
              <w:rPr>
                <w:rFonts w:hint="eastAsia" w:ascii="方正书宋_GBK" w:eastAsia="方正书宋_GBK"/>
                <w:b/>
                <w:lang w:val="en-US" w:eastAsia="zh-CN"/>
              </w:rPr>
              <w:t>4</w:t>
            </w:r>
          </w:p>
        </w:tc>
        <w:tc>
          <w:tcPr>
            <w:tcW w:w="519" w:type="dxa"/>
            <w:noWrap w:val="0"/>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3" w:hRule="atLeast"/>
        </w:trPr>
        <w:tc>
          <w:tcPr>
            <w:tcW w:w="2177" w:type="dxa"/>
            <w:noWrap w:val="0"/>
            <w:vAlign w:val="center"/>
          </w:tcPr>
          <w:p>
            <w:pPr>
              <w:spacing w:line="300" w:lineRule="exact"/>
              <w:jc w:val="left"/>
              <w:rPr>
                <w:rFonts w:hint="eastAsia" w:ascii="方正书宋_GBK" w:eastAsia="方正书宋_GBK"/>
              </w:rPr>
            </w:pPr>
            <w:r>
              <w:rPr>
                <w:rFonts w:hint="eastAsia" w:ascii="方正书宋_GBK" w:eastAsia="方正书宋_GBK"/>
              </w:rPr>
              <w:t>中国共产党石家庄市鹿泉区委员会党校</w:t>
            </w:r>
          </w:p>
        </w:tc>
        <w:tc>
          <w:tcPr>
            <w:tcW w:w="636"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rPr>
              <w:t>事业</w:t>
            </w:r>
          </w:p>
        </w:tc>
        <w:tc>
          <w:tcPr>
            <w:tcW w:w="1020" w:type="dxa"/>
            <w:noWrap w:val="0"/>
            <w:vAlign w:val="center"/>
          </w:tcPr>
          <w:p>
            <w:pPr>
              <w:spacing w:line="300" w:lineRule="exact"/>
              <w:jc w:val="center"/>
              <w:rPr>
                <w:rFonts w:ascii="方正书宋_GBK" w:eastAsia="方正书宋_GBK"/>
              </w:rPr>
            </w:pPr>
            <w:r>
              <w:rPr>
                <w:rFonts w:hint="eastAsia" w:ascii="方正书宋_GBK" w:eastAsia="方正书宋_GBK"/>
              </w:rPr>
              <w:t>正处级</w:t>
            </w:r>
          </w:p>
        </w:tc>
        <w:tc>
          <w:tcPr>
            <w:tcW w:w="1536"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rPr>
              <w:t>财政性资金基本</w:t>
            </w:r>
            <w:r>
              <w:rPr>
                <w:rFonts w:hint="eastAsia" w:ascii="方正书宋_GBK" w:eastAsia="方正书宋_GBK"/>
                <w:lang w:eastAsia="zh-CN"/>
              </w:rPr>
              <w:t>保证</w:t>
            </w:r>
          </w:p>
        </w:tc>
        <w:tc>
          <w:tcPr>
            <w:tcW w:w="744" w:type="dxa"/>
            <w:noWrap w:val="0"/>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1</w:t>
            </w:r>
          </w:p>
        </w:tc>
        <w:tc>
          <w:tcPr>
            <w:tcW w:w="528" w:type="dxa"/>
            <w:noWrap w:val="0"/>
            <w:vAlign w:val="center"/>
          </w:tcPr>
          <w:p>
            <w:pPr>
              <w:spacing w:line="300" w:lineRule="exact"/>
              <w:jc w:val="center"/>
              <w:rPr>
                <w:rFonts w:ascii="方正书宋_GBK" w:eastAsia="方正书宋_GBK"/>
              </w:rPr>
            </w:pPr>
          </w:p>
        </w:tc>
        <w:tc>
          <w:tcPr>
            <w:tcW w:w="492" w:type="dxa"/>
            <w:noWrap w:val="0"/>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18</w:t>
            </w:r>
          </w:p>
        </w:tc>
        <w:tc>
          <w:tcPr>
            <w:tcW w:w="576" w:type="dxa"/>
            <w:noWrap w:val="0"/>
            <w:vAlign w:val="center"/>
          </w:tcPr>
          <w:p>
            <w:pPr>
              <w:spacing w:line="300" w:lineRule="exact"/>
              <w:jc w:val="center"/>
              <w:rPr>
                <w:rFonts w:ascii="方正书宋_GBK" w:eastAsia="方正书宋_GBK"/>
              </w:rPr>
            </w:pPr>
          </w:p>
        </w:tc>
        <w:tc>
          <w:tcPr>
            <w:tcW w:w="564" w:type="dxa"/>
            <w:noWrap w:val="0"/>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18</w:t>
            </w:r>
          </w:p>
        </w:tc>
        <w:tc>
          <w:tcPr>
            <w:tcW w:w="635" w:type="dxa"/>
            <w:noWrap w:val="0"/>
            <w:vAlign w:val="center"/>
          </w:tcPr>
          <w:p>
            <w:pPr>
              <w:spacing w:line="300" w:lineRule="exact"/>
              <w:jc w:val="center"/>
              <w:rPr>
                <w:rFonts w:ascii="方正书宋_GBK" w:eastAsia="方正书宋_GBK"/>
              </w:rPr>
            </w:pPr>
          </w:p>
        </w:tc>
        <w:tc>
          <w:tcPr>
            <w:tcW w:w="512" w:type="dxa"/>
            <w:noWrap w:val="0"/>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4</w:t>
            </w:r>
          </w:p>
        </w:tc>
        <w:tc>
          <w:tcPr>
            <w:tcW w:w="519" w:type="dxa"/>
            <w:noWrap w:val="0"/>
            <w:vAlign w:val="center"/>
          </w:tcPr>
          <w:p>
            <w:pPr>
              <w:spacing w:line="300" w:lineRule="exact"/>
              <w:jc w:val="center"/>
              <w:rPr>
                <w:rFonts w:ascii="方正书宋_GBK" w:eastAsia="方正书宋_GBK"/>
              </w:rPr>
            </w:pPr>
          </w:p>
        </w:tc>
      </w:tr>
    </w:tbl>
    <w:p>
      <w:pPr>
        <w:keepNext w:val="0"/>
        <w:keepLines w:val="0"/>
        <w:pageBreakBefore w:val="0"/>
        <w:widowControl w:val="0"/>
        <w:kinsoku/>
        <w:wordWrap/>
        <w:overflowPunct/>
        <w:topLinePunct w:val="0"/>
        <w:bidi w:val="0"/>
        <w:snapToGrid/>
        <w:spacing w:line="560" w:lineRule="exact"/>
        <w:ind w:firstLine="640" w:firstLineChars="200"/>
        <w:textAlignment w:val="auto"/>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keepNext w:val="0"/>
        <w:keepLines w:val="0"/>
        <w:pageBreakBefore w:val="0"/>
        <w:widowControl w:val="0"/>
        <w:kinsoku/>
        <w:wordWrap/>
        <w:overflowPunct/>
        <w:topLinePunct w:val="0"/>
        <w:bidi w:val="0"/>
        <w:snapToGrid/>
        <w:spacing w:line="560" w:lineRule="exact"/>
        <w:ind w:firstLine="640"/>
        <w:textAlignment w:val="auto"/>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lang w:eastAsia="zh-CN"/>
        </w:rPr>
        <w:t>在</w:t>
      </w:r>
      <w:r>
        <w:rPr>
          <w:rFonts w:ascii="Times New Roman" w:hAnsi="Times New Roman" w:eastAsia="仿宋" w:cs="Times New Roman"/>
          <w:sz w:val="32"/>
          <w:szCs w:val="32"/>
        </w:rPr>
        <w:t>预算中。</w:t>
      </w:r>
    </w:p>
    <w:p>
      <w:pPr>
        <w:keepNext w:val="0"/>
        <w:keepLines w:val="0"/>
        <w:pageBreakBefore w:val="0"/>
        <w:widowControl w:val="0"/>
        <w:kinsoku/>
        <w:wordWrap/>
        <w:overflowPunct/>
        <w:topLinePunct w:val="0"/>
        <w:bidi w:val="0"/>
        <w:snapToGrid/>
        <w:spacing w:line="560" w:lineRule="exact"/>
        <w:ind w:firstLine="64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keepNext w:val="0"/>
        <w:keepLines w:val="0"/>
        <w:pageBreakBefore w:val="0"/>
        <w:widowControl w:val="0"/>
        <w:kinsoku/>
        <w:wordWrap/>
        <w:overflowPunct/>
        <w:topLinePunct w:val="0"/>
        <w:bidi w:val="0"/>
        <w:snapToGrid/>
        <w:spacing w:line="560" w:lineRule="exact"/>
        <w:ind w:firstLine="64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2020年预算收入</w:t>
      </w:r>
      <w:r>
        <w:rPr>
          <w:rFonts w:hint="eastAsia" w:ascii="Times New Roman" w:hAnsi="Times New Roman" w:eastAsia="仿宋" w:cs="Times New Roman"/>
          <w:sz w:val="32"/>
          <w:szCs w:val="32"/>
          <w:lang w:val="en-US" w:eastAsia="zh-CN"/>
        </w:rPr>
        <w:t>407.55</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407.55</w:t>
      </w:r>
      <w:r>
        <w:rPr>
          <w:rFonts w:hint="eastAsia" w:ascii="Times New Roman" w:hAnsi="Times New Roman" w:eastAsia="仿宋" w:cs="Times New Roman"/>
          <w:sz w:val="32"/>
          <w:szCs w:val="32"/>
        </w:rPr>
        <w:t>万元，基金预算收入0万元，财政专户核拨收入0万元，其他来源收入0万元。</w:t>
      </w:r>
    </w:p>
    <w:p>
      <w:pPr>
        <w:keepNext w:val="0"/>
        <w:keepLines w:val="0"/>
        <w:pageBreakBefore w:val="0"/>
        <w:widowControl w:val="0"/>
        <w:kinsoku/>
        <w:wordWrap/>
        <w:overflowPunct/>
        <w:topLinePunct w:val="0"/>
        <w:bidi w:val="0"/>
        <w:snapToGrid/>
        <w:spacing w:line="560" w:lineRule="exact"/>
        <w:ind w:firstLine="64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keepNext w:val="0"/>
        <w:keepLines w:val="0"/>
        <w:pageBreakBefore w:val="0"/>
        <w:widowControl w:val="0"/>
        <w:kinsoku/>
        <w:wordWrap/>
        <w:overflowPunct/>
        <w:topLinePunct w:val="0"/>
        <w:bidi w:val="0"/>
        <w:snapToGrid/>
        <w:spacing w:line="560" w:lineRule="exact"/>
        <w:ind w:firstLine="64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2020年部门支出预算为</w:t>
      </w:r>
      <w:r>
        <w:rPr>
          <w:rFonts w:hint="eastAsia" w:ascii="Times New Roman" w:hAnsi="Times New Roman" w:eastAsia="仿宋" w:cs="Times New Roman"/>
          <w:sz w:val="32"/>
          <w:szCs w:val="32"/>
          <w:lang w:val="en-US" w:eastAsia="zh-CN"/>
        </w:rPr>
        <w:t>407.55</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375.13</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327.17</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47.96</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32.42</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专项教学培训运行经费</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30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退役军人公益岗位工资</w:t>
      </w:r>
      <w:r>
        <w:rPr>
          <w:rFonts w:hint="eastAsia" w:ascii="Times New Roman" w:hAnsi="Times New Roman" w:eastAsia="仿宋" w:cs="Times New Roman"/>
          <w:sz w:val="32"/>
          <w:szCs w:val="32"/>
          <w:lang w:val="en-US" w:eastAsia="zh-CN"/>
        </w:rPr>
        <w:t>2.42</w:t>
      </w:r>
      <w:r>
        <w:rPr>
          <w:rFonts w:hint="eastAsia" w:ascii="Times New Roman" w:hAnsi="Times New Roman" w:eastAsia="仿宋" w:cs="Times New Roman"/>
          <w:sz w:val="32"/>
          <w:szCs w:val="32"/>
        </w:rPr>
        <w:t>万元。</w:t>
      </w:r>
    </w:p>
    <w:p>
      <w:pPr>
        <w:keepNext w:val="0"/>
        <w:keepLines w:val="0"/>
        <w:pageBreakBefore w:val="0"/>
        <w:widowControl w:val="0"/>
        <w:kinsoku/>
        <w:wordWrap/>
        <w:overflowPunct/>
        <w:topLinePunct w:val="0"/>
        <w:bidi w:val="0"/>
        <w:snapToGrid/>
        <w:spacing w:line="560" w:lineRule="exact"/>
        <w:ind w:firstLine="64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keepNext w:val="0"/>
        <w:keepLines w:val="0"/>
        <w:pageBreakBefore w:val="0"/>
        <w:widowControl w:val="0"/>
        <w:kinsoku/>
        <w:wordWrap/>
        <w:overflowPunct/>
        <w:topLinePunct w:val="0"/>
        <w:bidi w:val="0"/>
        <w:snapToGrid/>
        <w:spacing w:line="560" w:lineRule="exact"/>
        <w:ind w:firstLine="640"/>
        <w:textAlignment w:val="auto"/>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407.55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w:t>
      </w:r>
      <w:r>
        <w:rPr>
          <w:rFonts w:hint="eastAsia" w:ascii="Times New Roman" w:hAnsi="Times New Roman" w:eastAsia="仿宋" w:cs="Times New Roman"/>
          <w:sz w:val="32"/>
          <w:szCs w:val="32"/>
          <w:lang w:val="en-US" w:eastAsia="zh-CN"/>
        </w:rPr>
        <w:t>67.23</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54.81</w:t>
      </w:r>
      <w:r>
        <w:rPr>
          <w:rFonts w:hint="eastAsia" w:ascii="Times New Roman" w:hAnsi="Times New Roman" w:eastAsia="仿宋" w:cs="Times New Roman"/>
          <w:sz w:val="32"/>
          <w:szCs w:val="32"/>
        </w:rPr>
        <w:t>万元，主要是人员</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ascii="Times New Roman" w:hAnsi="Times New Roman" w:eastAsia="仿宋" w:cs="Times New Roman"/>
          <w:sz w:val="32"/>
          <w:szCs w:val="32"/>
          <w:lang w:val="en-US" w:eastAsia="zh-CN"/>
        </w:rPr>
        <w:t>12.42</w:t>
      </w:r>
      <w:r>
        <w:rPr>
          <w:rFonts w:hint="eastAsia" w:ascii="Times New Roman" w:hAnsi="Times New Roman" w:eastAsia="仿宋" w:cs="Times New Roman"/>
          <w:sz w:val="32"/>
          <w:szCs w:val="32"/>
        </w:rPr>
        <w:t>万元，主要是增加</w:t>
      </w:r>
      <w:r>
        <w:rPr>
          <w:rFonts w:hint="eastAsia" w:ascii="Times New Roman" w:hAnsi="Times New Roman" w:eastAsia="仿宋" w:cs="Times New Roman"/>
          <w:sz w:val="32"/>
          <w:szCs w:val="32"/>
          <w:lang w:eastAsia="zh-CN"/>
        </w:rPr>
        <w:t>专项教学培训运行经费和军队退役人员公益岗位工资</w:t>
      </w:r>
      <w:r>
        <w:rPr>
          <w:rFonts w:hint="eastAsia" w:ascii="Times New Roman" w:hAnsi="Times New Roman" w:eastAsia="仿宋" w:cs="Times New Roman"/>
          <w:sz w:val="32"/>
          <w:szCs w:val="32"/>
        </w:rPr>
        <w:t>。</w:t>
      </w:r>
    </w:p>
    <w:p>
      <w:pPr>
        <w:keepNext w:val="0"/>
        <w:keepLines w:val="0"/>
        <w:pageBreakBefore w:val="0"/>
        <w:widowControl w:val="0"/>
        <w:kinsoku/>
        <w:wordWrap/>
        <w:overflowPunct/>
        <w:topLinePunct w:val="0"/>
        <w:autoSpaceDE w:val="0"/>
        <w:autoSpaceDN w:val="0"/>
        <w:bidi w:val="0"/>
        <w:adjustRightInd w:val="0"/>
        <w:snapToGrid/>
        <w:spacing w:line="560" w:lineRule="exact"/>
        <w:ind w:firstLine="960" w:firstLineChars="300"/>
        <w:jc w:val="left"/>
        <w:textAlignment w:val="auto"/>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keepNext w:val="0"/>
        <w:keepLines w:val="0"/>
        <w:pageBreakBefore w:val="0"/>
        <w:widowControl w:val="0"/>
        <w:kinsoku/>
        <w:wordWrap/>
        <w:overflowPunct/>
        <w:topLinePunct w:val="0"/>
        <w:autoSpaceDE w:val="0"/>
        <w:autoSpaceDN w:val="0"/>
        <w:bidi w:val="0"/>
        <w:adjustRightInd w:val="0"/>
        <w:snapToGrid/>
        <w:spacing w:line="560" w:lineRule="exact"/>
        <w:ind w:left="198" w:firstLine="640" w:firstLineChars="200"/>
        <w:jc w:val="left"/>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47.96</w:t>
      </w:r>
      <w:r>
        <w:rPr>
          <w:rFonts w:hint="eastAsia" w:ascii="Times New Roman" w:hAnsi="Times New Roman" w:eastAsia="仿宋" w:cs="Times New Roman"/>
          <w:sz w:val="32"/>
          <w:szCs w:val="32"/>
        </w:rPr>
        <w:t>万元，主要用于保证机关正常运转的办公及印刷费、邮电费、差旅费、会议费、福利费及一般设备购置费、办公用房水电费、办公用房取暖费、日常维修费、公务车运行维护费等支出。</w:t>
      </w:r>
    </w:p>
    <w:p>
      <w:pPr>
        <w:keepNext w:val="0"/>
        <w:keepLines w:val="0"/>
        <w:pageBreakBefore w:val="0"/>
        <w:widowControl w:val="0"/>
        <w:kinsoku/>
        <w:wordWrap/>
        <w:overflowPunct/>
        <w:topLinePunct w:val="0"/>
        <w:autoSpaceDE w:val="0"/>
        <w:autoSpaceDN w:val="0"/>
        <w:bidi w:val="0"/>
        <w:adjustRightInd w:val="0"/>
        <w:snapToGrid/>
        <w:spacing w:line="560" w:lineRule="exact"/>
        <w:ind w:left="198" w:firstLine="640" w:firstLineChars="200"/>
        <w:jc w:val="left"/>
        <w:textAlignment w:val="auto"/>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keepNext w:val="0"/>
        <w:keepLines w:val="0"/>
        <w:pageBreakBefore w:val="0"/>
        <w:widowControl w:val="0"/>
        <w:kinsoku/>
        <w:wordWrap/>
        <w:overflowPunct/>
        <w:topLinePunct w:val="0"/>
        <w:autoSpaceDE w:val="0"/>
        <w:autoSpaceDN w:val="0"/>
        <w:bidi w:val="0"/>
        <w:adjustRightInd w:val="0"/>
        <w:snapToGrid/>
        <w:spacing w:line="560" w:lineRule="exact"/>
        <w:ind w:left="198" w:firstLine="640" w:firstLineChars="200"/>
        <w:jc w:val="left"/>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2.7</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2.7</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2.7</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keepNext w:val="0"/>
        <w:keepLines w:val="0"/>
        <w:pageBreakBefore w:val="0"/>
        <w:widowControl w:val="0"/>
        <w:kinsoku/>
        <w:wordWrap/>
        <w:overflowPunct/>
        <w:topLinePunct w:val="0"/>
        <w:autoSpaceDE w:val="0"/>
        <w:autoSpaceDN w:val="0"/>
        <w:bidi w:val="0"/>
        <w:adjustRightInd w:val="0"/>
        <w:snapToGrid/>
        <w:spacing w:line="560" w:lineRule="exact"/>
        <w:ind w:left="198" w:firstLine="640" w:firstLineChars="200"/>
        <w:jc w:val="left"/>
        <w:textAlignment w:val="auto"/>
        <w:rPr>
          <w:rFonts w:ascii="黑体" w:hAnsi="黑体" w:eastAsia="黑体" w:cs="Times New Roman"/>
          <w:sz w:val="32"/>
          <w:szCs w:val="32"/>
        </w:rPr>
      </w:pPr>
      <w:r>
        <w:rPr>
          <w:rFonts w:hint="eastAsia" w:ascii="黑体" w:hAnsi="黑体" w:eastAsia="黑体" w:cs="Times New Roman"/>
          <w:sz w:val="32"/>
          <w:szCs w:val="32"/>
        </w:rPr>
        <w:t>五、预算绩效信息</w:t>
      </w:r>
    </w:p>
    <w:p>
      <w:pPr>
        <w:keepNext w:val="0"/>
        <w:keepLines w:val="0"/>
        <w:pageBreakBefore w:val="0"/>
        <w:widowControl w:val="0"/>
        <w:kinsoku/>
        <w:wordWrap/>
        <w:overflowPunct/>
        <w:topLinePunct w:val="0"/>
        <w:bidi w:val="0"/>
        <w:snapToGrid/>
        <w:spacing w:line="560" w:lineRule="exact"/>
        <w:ind w:firstLine="640" w:firstLineChars="200"/>
        <w:jc w:val="left"/>
        <w:textAlignment w:val="auto"/>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keepNext w:val="0"/>
        <w:keepLines w:val="0"/>
        <w:pageBreakBefore w:val="0"/>
        <w:widowControl w:val="0"/>
        <w:kinsoku/>
        <w:wordWrap/>
        <w:overflowPunct/>
        <w:topLinePunct w:val="0"/>
        <w:autoSpaceDE w:val="0"/>
        <w:autoSpaceDN w:val="0"/>
        <w:bidi w:val="0"/>
        <w:adjustRightInd w:val="0"/>
        <w:snapToGrid/>
        <w:spacing w:line="560" w:lineRule="exact"/>
        <w:ind w:left="198" w:firstLine="640" w:firstLineChars="200"/>
        <w:jc w:val="left"/>
        <w:textAlignment w:val="auto"/>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beforeAutospacing="0" w:afterAutospacing="0"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根据党中央、省市和区委关于建设高素质干部队伍的要求，有计划地培训、轮训党员领导干部和宣传骨干；根据区委组织部的干训计划，培训、轮训领导干部和理论骨干；受区委、区政府及有关职能部门委托，结合全区经济社会发展实际，举办各种专题培训、研讨班</w:t>
      </w:r>
      <w:r>
        <w:rPr>
          <w:rFonts w:hint="eastAsia" w:ascii="仿宋" w:hAnsi="仿宋" w:eastAsia="仿宋" w:cs="仿宋"/>
          <w:sz w:val="32"/>
          <w:szCs w:val="32"/>
          <w:lang w:eastAsia="zh-CN"/>
        </w:rPr>
        <w:t>；</w:t>
      </w:r>
      <w:r>
        <w:rPr>
          <w:rFonts w:hint="eastAsia" w:ascii="仿宋" w:hAnsi="仿宋" w:eastAsia="仿宋" w:cs="仿宋"/>
          <w:sz w:val="32"/>
          <w:szCs w:val="32"/>
        </w:rPr>
        <w:t>加强师资培训、交流、培养，引进高水平人才，加强学科建设和学科培育，形成有党校特色的优势学科和教学基地</w:t>
      </w:r>
      <w:r>
        <w:rPr>
          <w:rFonts w:hint="eastAsia" w:ascii="仿宋" w:hAnsi="仿宋" w:eastAsia="仿宋" w:cs="仿宋"/>
          <w:sz w:val="32"/>
          <w:szCs w:val="32"/>
          <w:lang w:eastAsia="zh-CN"/>
        </w:rPr>
        <w:t>；</w:t>
      </w:r>
      <w:r>
        <w:rPr>
          <w:rFonts w:hint="eastAsia" w:ascii="仿宋" w:hAnsi="仿宋" w:eastAsia="仿宋" w:cs="仿宋"/>
          <w:sz w:val="32"/>
          <w:szCs w:val="32"/>
        </w:rPr>
        <w:t>对优秀科研成果和成绩突出的优秀科研人才进行定项资助</w:t>
      </w:r>
      <w:r>
        <w:rPr>
          <w:rFonts w:hint="eastAsia" w:ascii="仿宋" w:hAnsi="仿宋" w:eastAsia="仿宋" w:cs="仿宋"/>
          <w:sz w:val="32"/>
          <w:szCs w:val="32"/>
          <w:lang w:eastAsia="zh-CN"/>
        </w:rPr>
        <w:t>；</w:t>
      </w:r>
      <w:r>
        <w:rPr>
          <w:rFonts w:hint="eastAsia" w:ascii="仿宋" w:hAnsi="仿宋" w:eastAsia="仿宋" w:cs="仿宋"/>
          <w:sz w:val="32"/>
          <w:szCs w:val="32"/>
        </w:rPr>
        <w:t>承担区领导交办的调研任务，围绕区委区政府中心工作，开展决策咨询研究；组织有关领导、教师到各乡镇及相关部门进行政策宣讲</w:t>
      </w:r>
      <w:r>
        <w:rPr>
          <w:rFonts w:hint="eastAsia" w:ascii="仿宋" w:hAnsi="仿宋" w:eastAsia="仿宋" w:cs="仿宋"/>
          <w:sz w:val="32"/>
          <w:szCs w:val="32"/>
          <w:lang w:eastAsia="zh-CN"/>
        </w:rPr>
        <w:t>；</w:t>
      </w:r>
      <w:r>
        <w:rPr>
          <w:rFonts w:hint="eastAsia" w:ascii="仿宋" w:hAnsi="仿宋" w:eastAsia="仿宋" w:cs="仿宋"/>
          <w:sz w:val="32"/>
          <w:szCs w:val="32"/>
        </w:rPr>
        <w:t>组织实施与教学活动和学员培训相关的综合管理和后勤保障</w:t>
      </w:r>
      <w:r>
        <w:rPr>
          <w:rFonts w:hint="eastAsia" w:ascii="仿宋" w:hAnsi="仿宋" w:eastAsia="仿宋" w:cs="仿宋"/>
          <w:sz w:val="32"/>
          <w:szCs w:val="32"/>
          <w:lang w:eastAsia="zh-CN"/>
        </w:rPr>
        <w:t>事务。</w:t>
      </w:r>
    </w:p>
    <w:p>
      <w:pPr>
        <w:keepNext w:val="0"/>
        <w:keepLines w:val="0"/>
        <w:pageBreakBefore w:val="0"/>
        <w:widowControl w:val="0"/>
        <w:kinsoku/>
        <w:wordWrap/>
        <w:overflowPunct/>
        <w:topLinePunct w:val="0"/>
        <w:autoSpaceDE w:val="0"/>
        <w:autoSpaceDN w:val="0"/>
        <w:bidi w:val="0"/>
        <w:adjustRightInd w:val="0"/>
        <w:snapToGrid/>
        <w:spacing w:line="560" w:lineRule="exact"/>
        <w:ind w:left="198" w:firstLine="640" w:firstLineChars="200"/>
        <w:jc w:val="left"/>
        <w:textAlignment w:val="auto"/>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9"/>
      <w:r>
        <w:rPr>
          <w:rFonts w:hint="eastAsia" w:ascii="Times New Roman" w:hAnsi="Times New Roman" w:eastAsia="方正仿宋_GBK" w:cs="Times New Roman"/>
          <w:b/>
          <w:sz w:val="32"/>
          <w:szCs w:val="32"/>
        </w:rPr>
        <w:instrText xml:space="preserve">分项绩效目标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1、绩效目标：举办各种专题培训、研讨班，培训、轮训领导干部和理论骨干</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绩效指标：举办各类培训班5期，培训人数1000人以上，培训人员考试通过率达到90%以上，委托单位满意度达到90%以上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2、绩效目标：流动党校下基层上党课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绩效指标：流动党校下基层上党课20次，上党课人员满意度达到90%以上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3、绩效目标：教师下基层调研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绩效指标：形成调研报告3篇以上，调研报告发表数占占全部调研报告的90%以上，委托单位满意度达到90%以上</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left"/>
        <w:textAlignment w:val="auto"/>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30"/>
      <w:r>
        <w:rPr>
          <w:rFonts w:hint="eastAsia" w:ascii="Times New Roman" w:hAnsi="Times New Roman" w:eastAsia="方正仿宋_GBK" w:cs="Times New Roman"/>
          <w:b/>
          <w:sz w:val="32"/>
          <w:szCs w:val="32"/>
        </w:rPr>
        <w:instrText xml:space="preserve">工作保障措施</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keepNext w:val="0"/>
        <w:keepLines w:val="0"/>
        <w:pageBreakBefore w:val="0"/>
        <w:widowControl w:val="0"/>
        <w:kinsoku/>
        <w:wordWrap/>
        <w:overflowPunct/>
        <w:topLinePunct w:val="0"/>
        <w:autoSpaceDE w:val="0"/>
        <w:autoSpaceDN w:val="0"/>
        <w:bidi w:val="0"/>
        <w:adjustRightInd w:val="0"/>
        <w:snapToGrid/>
        <w:spacing w:line="560" w:lineRule="exact"/>
        <w:ind w:left="198" w:firstLine="640" w:firstLineChars="200"/>
        <w:jc w:val="left"/>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1、加强制度建设。建立健全预算绩效管理制度，为全年预算绩效目标的实现奠定制度基础。</w:t>
      </w:r>
    </w:p>
    <w:p>
      <w:pPr>
        <w:keepNext w:val="0"/>
        <w:keepLines w:val="0"/>
        <w:pageBreakBefore w:val="0"/>
        <w:widowControl w:val="0"/>
        <w:kinsoku/>
        <w:wordWrap/>
        <w:overflowPunct/>
        <w:topLinePunct w:val="0"/>
        <w:autoSpaceDE w:val="0"/>
        <w:autoSpaceDN w:val="0"/>
        <w:bidi w:val="0"/>
        <w:adjustRightInd w:val="0"/>
        <w:snapToGrid/>
        <w:spacing w:line="560" w:lineRule="exact"/>
        <w:ind w:left="198" w:firstLine="640" w:firstLineChars="200"/>
        <w:jc w:val="left"/>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2、规范财务管理。进一步完善财务管理制度，通过科学编制预算、优化支出结构、及时拨付资金，确保经费支出进度达到规定标准。</w:t>
      </w:r>
    </w:p>
    <w:p>
      <w:pPr>
        <w:keepNext w:val="0"/>
        <w:keepLines w:val="0"/>
        <w:pageBreakBefore w:val="0"/>
        <w:widowControl w:val="0"/>
        <w:kinsoku/>
        <w:wordWrap/>
        <w:overflowPunct/>
        <w:topLinePunct w:val="0"/>
        <w:autoSpaceDE w:val="0"/>
        <w:autoSpaceDN w:val="0"/>
        <w:bidi w:val="0"/>
        <w:adjustRightInd w:val="0"/>
        <w:snapToGrid/>
        <w:spacing w:line="560" w:lineRule="exact"/>
        <w:ind w:left="198" w:firstLine="640" w:firstLineChars="200"/>
        <w:jc w:val="left"/>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3、加强内部监督。加强内部监督制度建设，对绩效运行、重大支出事项、资产处置及其他重要经济业务事项决策和执行进行监督，确保财政资金使用安全合规。</w:t>
      </w:r>
    </w:p>
    <w:p>
      <w:pPr>
        <w:keepNext w:val="0"/>
        <w:keepLines w:val="0"/>
        <w:pageBreakBefore w:val="0"/>
        <w:widowControl w:val="0"/>
        <w:kinsoku/>
        <w:wordWrap/>
        <w:overflowPunct/>
        <w:topLinePunct w:val="0"/>
        <w:autoSpaceDE w:val="0"/>
        <w:autoSpaceDN w:val="0"/>
        <w:bidi w:val="0"/>
        <w:adjustRightInd w:val="0"/>
        <w:snapToGrid/>
        <w:spacing w:line="560" w:lineRule="exact"/>
        <w:ind w:left="198" w:firstLine="640" w:firstLineChars="200"/>
        <w:jc w:val="left"/>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keepNext w:val="0"/>
        <w:keepLines w:val="0"/>
        <w:pageBreakBefore w:val="0"/>
        <w:widowControl w:val="0"/>
        <w:kinsoku/>
        <w:wordWrap/>
        <w:overflowPunct/>
        <w:topLinePunct w:val="0"/>
        <w:autoSpaceDE w:val="0"/>
        <w:autoSpaceDN w:val="0"/>
        <w:bidi w:val="0"/>
        <w:adjustRightInd w:val="0"/>
        <w:snapToGrid/>
        <w:spacing w:line="560" w:lineRule="exact"/>
        <w:ind w:left="198" w:firstLine="640" w:firstLineChars="200"/>
        <w:jc w:val="left"/>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5、做好绩效自评。按要求开展部门预算绩效自评工作，对评价中发现的问题及时整改。</w:t>
      </w:r>
    </w:p>
    <w:p>
      <w:pPr>
        <w:keepNext w:val="0"/>
        <w:keepLines w:val="0"/>
        <w:pageBreakBefore w:val="0"/>
        <w:widowControl w:val="0"/>
        <w:kinsoku/>
        <w:wordWrap/>
        <w:overflowPunct/>
        <w:topLinePunct w:val="0"/>
        <w:autoSpaceDE w:val="0"/>
        <w:autoSpaceDN w:val="0"/>
        <w:bidi w:val="0"/>
        <w:adjustRightInd w:val="0"/>
        <w:snapToGrid/>
        <w:spacing w:line="560" w:lineRule="exact"/>
        <w:ind w:left="198" w:firstLine="640" w:firstLineChars="200"/>
        <w:jc w:val="left"/>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keepNext w:val="0"/>
        <w:keepLines w:val="0"/>
        <w:pageBreakBefore w:val="0"/>
        <w:widowControl w:val="0"/>
        <w:kinsoku/>
        <w:wordWrap/>
        <w:overflowPunct/>
        <w:topLinePunct w:val="0"/>
        <w:autoSpaceDE w:val="0"/>
        <w:autoSpaceDN w:val="0"/>
        <w:bidi w:val="0"/>
        <w:adjustRightInd w:val="0"/>
        <w:snapToGrid/>
        <w:spacing w:line="560" w:lineRule="exact"/>
        <w:ind w:left="198" w:firstLine="640" w:firstLineChars="200"/>
        <w:jc w:val="left"/>
        <w:textAlignment w:val="auto"/>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keepNext w:val="0"/>
        <w:keepLines w:val="0"/>
        <w:pageBreakBefore w:val="0"/>
        <w:widowControl w:val="0"/>
        <w:kinsoku/>
        <w:wordWrap/>
        <w:overflowPunct/>
        <w:topLinePunct w:val="0"/>
        <w:bidi w:val="0"/>
        <w:snapToGrid/>
        <w:spacing w:line="560" w:lineRule="exact"/>
        <w:ind w:firstLine="560" w:firstLineChars="200"/>
        <w:jc w:val="left"/>
        <w:textAlignment w:val="auto"/>
        <w:outlineLvl w:val="1"/>
        <w:rPr>
          <w:rFonts w:ascii="Times New Roman" w:hAnsi="宋体"/>
          <w:b/>
          <w:sz w:val="28"/>
        </w:rPr>
      </w:pPr>
      <w:r>
        <w:rPr>
          <w:rFonts w:hint="eastAsia" w:ascii="方正仿宋_GBK" w:eastAsia="方正仿宋_GBK"/>
          <w:b/>
          <w:sz w:val="28"/>
        </w:rPr>
        <w:t xml:space="preserve">  1、军队退役人员公益岗位工资绩效目标表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32499677"/>
      <w:r>
        <w:rPr>
          <w:rFonts w:hint="eastAsia" w:ascii="方正仿宋_GBK" w:eastAsia="方正仿宋_GBK"/>
          <w:b/>
          <w:sz w:val="28"/>
        </w:rPr>
        <w:instrText xml:space="preserve">1、军队退役人员公益岗位工资绩效目标表</w:instrText>
      </w:r>
      <w:bookmarkEnd w:id="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000-9999-JBN-6L40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军队退役人员公益岗位工资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对符合政府安排条件退役人员，帮扶救助，加大就业援助，通过公益岗位予以托管。我单位共有</w:t>
            </w:r>
            <w:r>
              <w:rPr>
                <w:rFonts w:ascii="方正书宋_GBK" w:eastAsia="方正书宋_GBK"/>
              </w:rPr>
              <w:t>1</w:t>
            </w:r>
            <w:r>
              <w:rPr>
                <w:rFonts w:hint="eastAsia" w:ascii="方正书宋_GBK" w:eastAsia="方正书宋_GBK"/>
              </w:rPr>
              <w:t>名退役人员，每月工资</w:t>
            </w:r>
            <w:r>
              <w:rPr>
                <w:rFonts w:ascii="方正书宋_GBK" w:eastAsia="方正书宋_GBK"/>
              </w:rPr>
              <w:t>2850</w:t>
            </w:r>
            <w:r>
              <w:rPr>
                <w:rFonts w:hint="eastAsia" w:ascii="方正书宋_GBK" w:eastAsia="方正书宋_GBK"/>
              </w:rPr>
              <w:t>元，其中</w:t>
            </w:r>
            <w:r>
              <w:rPr>
                <w:rFonts w:ascii="方正书宋_GBK" w:eastAsia="方正书宋_GBK"/>
              </w:rPr>
              <w:t>1860</w:t>
            </w:r>
            <w:r>
              <w:rPr>
                <w:rFonts w:hint="eastAsia" w:ascii="方正书宋_GBK" w:eastAsia="方正书宋_GBK"/>
              </w:rPr>
              <w:t>元为财政负担，过冬费</w:t>
            </w:r>
            <w:r>
              <w:rPr>
                <w:rFonts w:ascii="方正书宋_GBK" w:eastAsia="方正书宋_GBK"/>
              </w:rPr>
              <w:t>1900</w:t>
            </w:r>
            <w:r>
              <w:rPr>
                <w:rFonts w:hint="eastAsia" w:ascii="方正书宋_GBK" w:eastAsia="方正书宋_GBK"/>
              </w:rPr>
              <w:t>元，共需</w:t>
            </w:r>
            <w:r>
              <w:rPr>
                <w:rFonts w:ascii="方正书宋_GBK" w:eastAsia="方正书宋_GBK"/>
              </w:rPr>
              <w:t>1-12</w:t>
            </w:r>
            <w:r>
              <w:rPr>
                <w:rFonts w:hint="eastAsia" w:ascii="方正书宋_GBK" w:eastAsia="方正书宋_GBK"/>
              </w:rPr>
              <w:t>月份资金</w:t>
            </w:r>
            <w:r>
              <w:rPr>
                <w:rFonts w:ascii="方正书宋_GBK" w:eastAsia="方正书宋_GBK"/>
              </w:rPr>
              <w:t>24220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、对涉军公益岗</w:t>
            </w:r>
            <w:r>
              <w:rPr>
                <w:rFonts w:ascii="方正书宋_GBK" w:eastAsia="方正书宋_GBK"/>
              </w:rPr>
              <w:t>1</w:t>
            </w:r>
            <w:r>
              <w:rPr>
                <w:rFonts w:hint="eastAsia" w:ascii="方正书宋_GBK" w:eastAsia="方正书宋_GBK"/>
              </w:rPr>
              <w:t>人帮扶到位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、工资按月足额及时发放到位，全年发放资金</w:t>
            </w:r>
            <w:r>
              <w:rPr>
                <w:rFonts w:ascii="方正书宋_GBK" w:eastAsia="方正书宋_GBK"/>
              </w:rPr>
              <w:t>24220</w:t>
            </w:r>
            <w:r>
              <w:rPr>
                <w:rFonts w:hint="eastAsia" w:ascii="方正书宋_GBK" w:eastAsia="方正书宋_GBK"/>
              </w:rPr>
              <w:t>元。</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资金发放到位率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保险资金待遇按时足额发放人数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工资发放标准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按规定数额发放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24220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发放补贴人数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补贴发放人数</w:t>
            </w:r>
            <w:r>
              <w:rPr>
                <w:rFonts w:ascii="方正书宋_GBK" w:eastAsia="方正书宋_GBK"/>
              </w:rPr>
              <w:t>1</w:t>
            </w:r>
            <w:r>
              <w:rPr>
                <w:rFonts w:hint="eastAsia" w:ascii="方正书宋_GBK" w:eastAsia="方正书宋_GBK"/>
              </w:rPr>
              <w:t>人</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全年工资及过冬费</w:t>
            </w:r>
            <w:r>
              <w:rPr>
                <w:rFonts w:ascii="方正书宋_GBK" w:eastAsia="方正书宋_GBK"/>
              </w:rPr>
              <w:t>24220</w:t>
            </w:r>
            <w:r>
              <w:rPr>
                <w:rFonts w:hint="eastAsia" w:ascii="方正书宋_GBK" w:eastAsia="方正书宋_GBK"/>
              </w:rPr>
              <w:t>元足额发放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百分数</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百分数</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2、专项教学培训运行经费绩效目标表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499678"/>
      <w:r>
        <w:rPr>
          <w:rFonts w:hint="eastAsia" w:ascii="方正仿宋_GBK" w:eastAsia="方正仿宋_GBK"/>
          <w:b/>
          <w:sz w:val="28"/>
        </w:rPr>
        <w:instrText xml:space="preserve">2、专项教学培训运行经费绩效目标表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000-9999-JBN-426L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专项教学培训运行经费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举办科级干部农村两委干部、新发展党员培训班</w:t>
            </w:r>
            <w:r>
              <w:rPr>
                <w:rFonts w:ascii="方正书宋_GBK" w:eastAsia="方正书宋_GBK"/>
              </w:rPr>
              <w:t>5</w:t>
            </w:r>
            <w:r>
              <w:rPr>
                <w:rFonts w:hint="eastAsia" w:ascii="方正书宋_GBK" w:eastAsia="方正书宋_GBK"/>
              </w:rPr>
              <w:t>期，培训人数</w:t>
            </w:r>
            <w:r>
              <w:rPr>
                <w:rFonts w:ascii="方正书宋_GBK" w:eastAsia="方正书宋_GBK"/>
              </w:rPr>
              <w:t>1000</w:t>
            </w:r>
            <w:r>
              <w:rPr>
                <w:rFonts w:hint="eastAsia" w:ascii="方正书宋_GBK" w:eastAsia="方正书宋_GBK"/>
              </w:rPr>
              <w:t>人左右；</w:t>
            </w:r>
            <w:r>
              <w:rPr>
                <w:rFonts w:hint="cs" w:ascii="方正书宋_GBK" w:eastAsia="方正书宋_GBK"/>
              </w:rPr>
              <w:t>“</w:t>
            </w:r>
            <w:r>
              <w:rPr>
                <w:rFonts w:hint="eastAsia" w:ascii="方正书宋_GBK" w:eastAsia="方正书宋_GBK"/>
              </w:rPr>
              <w:t>流动党校</w:t>
            </w:r>
            <w:r>
              <w:rPr>
                <w:rFonts w:hint="cs" w:ascii="方正书宋_GBK" w:eastAsia="方正书宋_GBK"/>
              </w:rPr>
              <w:t>”</w:t>
            </w:r>
            <w:r>
              <w:rPr>
                <w:rFonts w:hint="eastAsia" w:ascii="方正书宋_GBK" w:eastAsia="方正书宋_GBK"/>
              </w:rPr>
              <w:t>下基层上党课做宣讲</w:t>
            </w:r>
            <w:r>
              <w:rPr>
                <w:rFonts w:ascii="方正书宋_GBK" w:eastAsia="方正书宋_GBK"/>
              </w:rPr>
              <w:t>20</w:t>
            </w:r>
            <w:r>
              <w:rPr>
                <w:rFonts w:hint="eastAsia" w:ascii="方正书宋_GBK" w:eastAsia="方正书宋_GBK"/>
              </w:rPr>
              <w:t>次；党校教师下基层调研，形成调研报告</w:t>
            </w:r>
            <w:r>
              <w:rPr>
                <w:rFonts w:ascii="方正书宋_GBK" w:eastAsia="方正书宋_GBK"/>
              </w:rPr>
              <w:t>3-5</w:t>
            </w:r>
            <w:r>
              <w:rPr>
                <w:rFonts w:hint="eastAsia" w:ascii="方正书宋_GBK" w:eastAsia="方正书宋_GBK"/>
              </w:rPr>
              <w:t>篇；加快信息化建设步伐，提高办公自动化，教学科研手段现代化，信息资源网络化，改善党校教学基础设施，着力提高资金利用率。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45.00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、举办各类培训班</w:t>
            </w:r>
            <w:r>
              <w:rPr>
                <w:rFonts w:ascii="方正书宋_GBK" w:eastAsia="方正书宋_GBK"/>
              </w:rPr>
              <w:t>5</w:t>
            </w:r>
            <w:r>
              <w:rPr>
                <w:rFonts w:hint="eastAsia" w:ascii="方正书宋_GBK" w:eastAsia="方正书宋_GBK"/>
              </w:rPr>
              <w:t>期，培训人数</w:t>
            </w:r>
            <w:r>
              <w:rPr>
                <w:rFonts w:ascii="方正书宋_GBK" w:eastAsia="方正书宋_GBK"/>
              </w:rPr>
              <w:t>1000</w:t>
            </w:r>
            <w:r>
              <w:rPr>
                <w:rFonts w:hint="eastAsia" w:ascii="方正书宋_GBK" w:eastAsia="方正书宋_GBK"/>
              </w:rPr>
              <w:t>人左右。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、流动党校下基层上党课</w:t>
            </w:r>
            <w:r>
              <w:rPr>
                <w:rFonts w:ascii="方正书宋_GBK" w:eastAsia="方正书宋_GBK"/>
              </w:rPr>
              <w:t>20</w:t>
            </w:r>
            <w:r>
              <w:rPr>
                <w:rFonts w:hint="eastAsia" w:ascii="方正书宋_GBK" w:eastAsia="方正书宋_GBK"/>
              </w:rPr>
              <w:t>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、教师下基层调研，形成调研报告</w:t>
            </w:r>
            <w:r>
              <w:rPr>
                <w:rFonts w:ascii="方正书宋_GBK" w:eastAsia="方正书宋_GBK"/>
              </w:rPr>
              <w:t>3—5</w:t>
            </w:r>
            <w:r>
              <w:rPr>
                <w:rFonts w:hint="eastAsia" w:ascii="方正书宋_GBK" w:eastAsia="方正书宋_GBK"/>
              </w:rPr>
              <w:t>篇。</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举办轮训班期数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年度内已完成的轮训班期数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期</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党校发展规划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送党课下基层次数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年度内已完成的送党课下基层次数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党校发展规划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培训人数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年度内完成的培训人数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党校发展规划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调研报告数量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年度内完成的调研报告数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党校年度计划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培训人员考试通过率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提高培训人员的政治素质和理论水平</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试卷测试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形成高质量调研报告数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调研报告发表数占全部调研报告的比例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年度计划及颁发的证书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委托单位满意率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满意和不满意单位占受训单位总数的比例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jc w:val="left"/>
        <w:outlineLvl w:val="1"/>
        <w:rPr>
          <w:rFonts w:hint="eastAsia" w:ascii="方正仿宋_GBK" w:eastAsia="方正仿宋_GBK"/>
          <w:b/>
          <w:sz w:val="28"/>
        </w:rPr>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hint="eastAsia" w:ascii="Times New Roman" w:hAnsi="Times New Roman" w:eastAsia="仿宋" w:cs="Times New Roman"/>
          <w:sz w:val="32"/>
          <w:szCs w:val="24"/>
          <w:lang w:eastAsia="zh-CN"/>
        </w:rPr>
      </w:pPr>
      <w:bookmarkStart w:id="5"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hint="eastAsia" w:ascii="仿宋_GB2312" w:hAnsi="宋体" w:eastAsia="仿宋_GB2312"/>
          <w:b w:val="0"/>
          <w:bCs w:val="0"/>
          <w:sz w:val="28"/>
          <w:szCs w:val="28"/>
          <w:lang w:val="en-US" w:eastAsia="zh-CN"/>
        </w:rPr>
        <w:t>无</w:t>
      </w:r>
      <w:r>
        <w:rPr>
          <w:rFonts w:ascii="Times New Roman" w:hAnsi="Times New Roman" w:eastAsia="仿宋" w:cs="Times New Roman"/>
          <w:sz w:val="32"/>
          <w:szCs w:val="24"/>
        </w:rPr>
        <w:t>政府采购预算</w:t>
      </w:r>
      <w:bookmarkEnd w:id="5"/>
      <w:r>
        <w:rPr>
          <w:rFonts w:hint="eastAsia" w:ascii="Times New Roman" w:hAnsi="Times New Roman" w:eastAsia="仿宋" w:cs="Times New Roman"/>
          <w:sz w:val="32"/>
          <w:szCs w:val="24"/>
          <w:lang w:eastAsia="zh-CN"/>
        </w:rPr>
        <w:t>。</w:t>
      </w:r>
    </w:p>
    <w:p>
      <w:pPr>
        <w:ind w:firstLine="640" w:firstLineChars="200"/>
        <w:jc w:val="center"/>
        <w:outlineLvl w:val="0"/>
        <w:rPr>
          <w:rFonts w:hint="eastAsia" w:ascii="方正小标宋_GBK" w:eastAsia="方正小标宋_GBK"/>
          <w:sz w:val="32"/>
        </w:rPr>
      </w:pPr>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6" w:name="_Toc28848395"/>
      <w:r>
        <w:rPr>
          <w:rFonts w:hint="eastAsia" w:ascii="方正小标宋_GBK" w:eastAsia="方正小标宋_GBK"/>
          <w:sz w:val="32"/>
        </w:rPr>
        <w:instrText xml:space="preserve">部门政府采购预算</w:instrText>
      </w:r>
      <w:bookmarkEnd w:id="6"/>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sz w:val="24"/>
                <w:lang w:eastAsia="zh-CN"/>
              </w:rPr>
            </w:pPr>
            <w:r>
              <w:rPr>
                <w:rFonts w:hint="eastAsia" w:ascii="方正小标宋_GBK" w:eastAsia="方正小标宋_GBK"/>
                <w:sz w:val="24"/>
                <w:lang w:val="en-US" w:eastAsia="zh-CN"/>
              </w:rPr>
              <w:t>281</w:t>
            </w:r>
            <w:r>
              <w:rPr>
                <w:rFonts w:hint="eastAsia" w:ascii="方正小标宋_GBK" w:eastAsia="方正小标宋_GBK"/>
                <w:sz w:val="24"/>
                <w:lang w:eastAsia="zh-CN"/>
              </w:rPr>
              <w:t>中国共产党石家庄市鹿泉区委员会党校</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bl>
    <w:p>
      <w:pPr>
        <w:autoSpaceDE w:val="0"/>
        <w:autoSpaceDN w:val="0"/>
        <w:adjustRightInd w:val="0"/>
        <w:ind w:firstLine="640" w:firstLineChars="20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注：空表列示。</w:t>
      </w: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中国共产党石家庄市鹿泉区委员会党校</w:t>
      </w:r>
      <w:r>
        <w:rPr>
          <w:rFonts w:hint="eastAsia" w:ascii="Times New Roman" w:hAnsi="Times New Roman" w:eastAsia="仿宋" w:cs="Times New Roman"/>
          <w:color w:val="000000"/>
          <w:sz w:val="32"/>
          <w:szCs w:val="32"/>
          <w:lang w:val="en-US" w:eastAsia="zh-CN"/>
        </w:rPr>
        <w:t>上年末固定资产金额为118.36205万元（详见下表），</w:t>
      </w:r>
      <w:r>
        <w:rPr>
          <w:rFonts w:ascii="Times New Roman" w:hAnsi="Times New Roman" w:eastAsia="仿宋" w:cs="Times New Roman"/>
          <w:color w:val="000000"/>
          <w:sz w:val="32"/>
          <w:szCs w:val="32"/>
        </w:rPr>
        <w:t>本年度拟购置固定资产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中国共产党石家庄市鹿泉区委员会党校</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19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118.36205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3400</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54.3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2550</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12.38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51.68205</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sectPr>
          <w:footerReference r:id="rId4" w:type="default"/>
          <w:pgSz w:w="16838" w:h="11906" w:orient="landscape"/>
          <w:pgMar w:top="1800" w:right="1440" w:bottom="1800" w:left="1440" w:header="851" w:footer="992" w:gutter="0"/>
          <w:cols w:space="720" w:num="1"/>
          <w:docGrid w:type="lines" w:linePitch="312" w:charSpace="0"/>
        </w:sectPr>
      </w:pP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left"/>
        <w:textAlignment w:val="auto"/>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九、其他需要说明的事项</w:t>
      </w:r>
    </w:p>
    <w:p>
      <w:pPr>
        <w:keepNext w:val="0"/>
        <w:keepLines w:val="0"/>
        <w:pageBreakBefore w:val="0"/>
        <w:widowControl w:val="0"/>
        <w:kinsoku/>
        <w:wordWrap/>
        <w:overflowPunct/>
        <w:topLinePunct w:val="0"/>
        <w:bidi w:val="0"/>
        <w:snapToGrid/>
        <w:spacing w:line="560" w:lineRule="exact"/>
        <w:ind w:firstLine="627" w:firstLineChars="196"/>
        <w:textAlignment w:val="auto"/>
        <w:rPr>
          <w:rFonts w:hint="eastAsia" w:ascii="仿宋_GB2312" w:hAnsi="宋体" w:eastAsia="仿宋_GB2312"/>
          <w:sz w:val="32"/>
          <w:szCs w:val="32"/>
        </w:rPr>
      </w:pPr>
      <w:r>
        <w:rPr>
          <w:rFonts w:hint="eastAsia" w:ascii="仿宋_GB2312" w:hAnsi="宋体" w:eastAsia="仿宋_GB2312"/>
          <w:sz w:val="32"/>
          <w:szCs w:val="32"/>
        </w:rPr>
        <w:t>1、我</w:t>
      </w:r>
      <w:r>
        <w:rPr>
          <w:rFonts w:hint="eastAsia" w:ascii="仿宋_GB2312" w:hAnsi="宋体" w:eastAsia="仿宋_GB2312"/>
          <w:sz w:val="32"/>
          <w:szCs w:val="32"/>
          <w:lang w:eastAsia="zh-CN"/>
        </w:rPr>
        <w:t>部门</w:t>
      </w:r>
      <w:r>
        <w:rPr>
          <w:rFonts w:hint="eastAsia" w:ascii="仿宋_GB2312" w:hAnsi="宋体" w:eastAsia="仿宋_GB2312"/>
          <w:sz w:val="32"/>
          <w:szCs w:val="32"/>
        </w:rPr>
        <w:t>无政府性基金预算支出，所以部门预算政府性基金预算财政拨款支出表为空表。</w:t>
      </w:r>
    </w:p>
    <w:p>
      <w:pPr>
        <w:keepNext w:val="0"/>
        <w:keepLines w:val="0"/>
        <w:pageBreakBefore w:val="0"/>
        <w:widowControl w:val="0"/>
        <w:kinsoku/>
        <w:wordWrap/>
        <w:overflowPunct/>
        <w:topLinePunct w:val="0"/>
        <w:bidi w:val="0"/>
        <w:snapToGrid/>
        <w:spacing w:line="560" w:lineRule="exact"/>
        <w:ind w:firstLine="627" w:firstLineChars="196"/>
        <w:textAlignment w:val="auto"/>
        <w:rPr>
          <w:rFonts w:hint="eastAsia" w:ascii="仿宋_GB2312" w:hAnsi="宋体" w:eastAsia="仿宋_GB2312"/>
          <w:sz w:val="32"/>
          <w:szCs w:val="32"/>
        </w:rPr>
      </w:pPr>
      <w:r>
        <w:rPr>
          <w:rFonts w:hint="eastAsia" w:ascii="仿宋_GB2312" w:hAnsi="宋体" w:eastAsia="仿宋_GB2312"/>
          <w:sz w:val="32"/>
          <w:szCs w:val="32"/>
        </w:rPr>
        <w:t>2、我</w:t>
      </w:r>
      <w:r>
        <w:rPr>
          <w:rFonts w:hint="eastAsia" w:ascii="仿宋_GB2312" w:hAnsi="宋体" w:eastAsia="仿宋_GB2312"/>
          <w:sz w:val="32"/>
          <w:szCs w:val="32"/>
          <w:lang w:eastAsia="zh-CN"/>
        </w:rPr>
        <w:t>部门</w:t>
      </w:r>
      <w:r>
        <w:rPr>
          <w:rFonts w:hint="eastAsia" w:ascii="仿宋_GB2312" w:hAnsi="宋体" w:eastAsia="仿宋_GB2312"/>
          <w:sz w:val="32"/>
          <w:szCs w:val="32"/>
        </w:rPr>
        <w:t>无国有资本经营预算财政拨款支出，所以部门预算国有资本经营预算财政拨款支出表为空表。</w:t>
      </w:r>
    </w:p>
    <w:p>
      <w:pPr>
        <w:ind w:firstLine="640" w:firstLineChars="200"/>
        <w:rPr>
          <w:rFonts w:ascii="Times New Roman" w:hAnsi="Times New Roman" w:eastAsia="仿宋" w:cs="Times New Roman"/>
          <w:sz w:val="32"/>
          <w:szCs w:val="32"/>
        </w:rPr>
      </w:pPr>
    </w:p>
    <w:sectPr>
      <w:pgSz w:w="11906" w:h="16838"/>
      <w:pgMar w:top="1440" w:right="1800" w:bottom="1440" w:left="1800"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3</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4D67C8"/>
    <w:rsid w:val="007F0341"/>
    <w:rsid w:val="009A521C"/>
    <w:rsid w:val="00D607DA"/>
    <w:rsid w:val="00DC6EE5"/>
    <w:rsid w:val="00EE71BA"/>
    <w:rsid w:val="00F867E4"/>
    <w:rsid w:val="056D17C0"/>
    <w:rsid w:val="0C1773C6"/>
    <w:rsid w:val="0E944F19"/>
    <w:rsid w:val="0F3A0765"/>
    <w:rsid w:val="0FC700C4"/>
    <w:rsid w:val="1146794B"/>
    <w:rsid w:val="15F21786"/>
    <w:rsid w:val="16E17CBC"/>
    <w:rsid w:val="18ED29A7"/>
    <w:rsid w:val="1EA24235"/>
    <w:rsid w:val="1F17452E"/>
    <w:rsid w:val="1F1F047B"/>
    <w:rsid w:val="24914A1A"/>
    <w:rsid w:val="26417D74"/>
    <w:rsid w:val="274E5A51"/>
    <w:rsid w:val="32857015"/>
    <w:rsid w:val="354C0E05"/>
    <w:rsid w:val="3A4B6C50"/>
    <w:rsid w:val="3F611AAE"/>
    <w:rsid w:val="3F6658F8"/>
    <w:rsid w:val="42155D8E"/>
    <w:rsid w:val="448D0BB6"/>
    <w:rsid w:val="4F0068A3"/>
    <w:rsid w:val="535A751B"/>
    <w:rsid w:val="5A0A136B"/>
    <w:rsid w:val="5B755EFA"/>
    <w:rsid w:val="73362B48"/>
    <w:rsid w:val="795056EC"/>
    <w:rsid w:val="7C0874EC"/>
    <w:rsid w:val="7C8925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 w:type="character" w:customStyle="1" w:styleId="14">
    <w:name w:val="apple-converted-space"/>
    <w:basedOn w:val="8"/>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6</TotalTime>
  <ScaleCrop>false</ScaleCrop>
  <LinksUpToDate>false</LinksUpToDate>
  <CharactersWithSpaces>8841</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2024-01-12T09:31:13Z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11893FF21F7A4256A8B78B2E73BB34C9</vt:lpwstr>
  </property>
</Properties>
</file>