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石家庄市鹿泉区应急管理局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 xml:space="preserve">  贯彻落实党中央、省委、市委和区委关于应急管理工作的方针政策和决策部署，坚持和加强党对应急管理工作的集中统一领导。主要职责是：</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（一）负责应急管理工作。指导全区各级各部门应对安全生产类、自然灾害类等突发事件和综合防灾减灾救灾工作；负责安全生产综合监督管理和工矿商贸行业安全生产监督管理工作。</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（二）拟订应急管理、安全生产等工作规定，组织编制区应急体系建设、安全生产和综合防灾减灾规划，执行上级地方性法规和政府规章，组织制定相关具体规程并监督实施。</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（四）与国家和省、市系统对接，建立完善全区应急管理信息系统，负责管辖范围内的信息传输渠道的规划和布局；建立监测预警和灾情报告制度，健全自然灾害信息资源获取和共享机制，依法统一发布灾情。</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（五）组织协调安全生产类、自然灾害类等突发事件应急救援，综合研判突发事件发展态势并提出应对建议，协助区委、区政府指定的负责同志组织重大灾害应急处置工作。</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（六）统一协调指挥各类应急专业队伍，建立应急协调联动机制，推进指挥平台对接，衔接驻鹿部队参与应急救援工作。</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（七）统筹应急救援力量建设，负责消防、森林和草原火灾扑救、抗洪抢险、地震和地质灾害救援、生产安全事故救援等专业应急救援力量建设，综合协调应急救援队伍，指导各级及社会应急救援力量建设。</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（八）组织协调消防工作，指导各级消防监督、火灾预防、火灾扑救等工作。</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（九）组织协调水旱灾害、地震和地质灾害等防治工作；负责自然灾害综合监测预警工作；会同有关部门做好自然灾害综合风险评估工作。</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（十）组织协调灾害救助工作，负责灾情核查、损失评估、救灾捐赠工作，管理、分配救灾款物并监督使用。</w:t>
      </w:r>
    </w:p>
    <w:p>
      <w:pPr>
        <w:keepNext/>
        <w:keepLines/>
        <w:spacing w:line="580" w:lineRule="exact"/>
        <w:ind w:firstLine="640" w:firstLineChars="200"/>
        <w:jc w:val="left"/>
        <w:outlineLvl w:val="0"/>
        <w:rPr>
          <w:rFonts w:hint="eastAsia" w:ascii="仿宋_GB2312" w:hAnsi="宋体" w:eastAsia="仿宋_GB2312"/>
          <w:color w:val="000000"/>
          <w:sz w:val="32"/>
          <w:szCs w:val="32"/>
        </w:rPr>
      </w:pPr>
      <w:r>
        <w:rPr>
          <w:rFonts w:hint="eastAsia" w:ascii="仿宋_GB2312" w:hAnsi="宋体" w:eastAsia="仿宋_GB2312"/>
          <w:color w:val="000000"/>
          <w:sz w:val="32"/>
          <w:szCs w:val="32"/>
        </w:rPr>
        <w:t>（十一）依法行使安全生产综合监督管理职权，指导协调、监督检查区有关部门和各乡（镇）政府、区政府派出机构的安全生产工作，组织开展安全生产考核工作。</w:t>
      </w:r>
    </w:p>
    <w:p>
      <w:pPr>
        <w:tabs>
          <w:tab w:val="left" w:pos="1293"/>
        </w:tabs>
        <w:bidi w:val="0"/>
        <w:ind w:firstLine="640"/>
        <w:jc w:val="left"/>
        <w:rPr>
          <w:rFonts w:hint="eastAsia" w:ascii="仿宋_GB2312" w:hAnsi="宋体" w:eastAsia="仿宋_GB2312"/>
          <w:color w:val="000000"/>
          <w:sz w:val="32"/>
          <w:szCs w:val="32"/>
        </w:rPr>
      </w:pPr>
      <w:r>
        <w:rPr>
          <w:rFonts w:hint="eastAsia" w:ascii="仿宋_GB2312" w:hAnsi="宋体" w:eastAsia="仿宋_GB2312"/>
          <w:color w:val="000000"/>
          <w:sz w:val="32"/>
          <w:szCs w:val="32"/>
          <w:lang w:eastAsia="zh-CN"/>
        </w:rPr>
        <w:t>（</w:t>
      </w:r>
      <w:r>
        <w:rPr>
          <w:rFonts w:hint="eastAsia" w:ascii="仿宋_GB2312" w:hAnsi="宋体" w:eastAsia="仿宋_GB2312"/>
          <w:color w:val="000000"/>
          <w:sz w:val="32"/>
          <w:szCs w:val="32"/>
        </w:rPr>
        <w:t>十二）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tabs>
          <w:tab w:val="left" w:pos="3626"/>
        </w:tabs>
        <w:bidi w:val="0"/>
        <w:ind w:firstLine="640"/>
        <w:jc w:val="left"/>
        <w:rPr>
          <w:rFonts w:hint="eastAsia" w:ascii="仿宋_GB2312" w:hAnsi="宋体" w:eastAsia="仿宋_GB2312"/>
          <w:color w:val="000000"/>
          <w:sz w:val="32"/>
          <w:szCs w:val="32"/>
        </w:rPr>
      </w:pPr>
      <w:r>
        <w:rPr>
          <w:rFonts w:hint="eastAsia" w:ascii="仿宋_GB2312" w:hAnsi="宋体" w:eastAsia="仿宋_GB2312"/>
          <w:color w:val="000000"/>
          <w:sz w:val="32"/>
          <w:szCs w:val="32"/>
        </w:rPr>
        <w:t>（十三）依法开展生产安全事故调查处理，监督事故查处和责任追究落实情况；组织开展自然灾害类突发事件的调查评估工作。</w:t>
      </w:r>
    </w:p>
    <w:p>
      <w:pPr>
        <w:tabs>
          <w:tab w:val="left" w:pos="3626"/>
        </w:tabs>
        <w:bidi w:val="0"/>
        <w:ind w:firstLine="640"/>
        <w:jc w:val="left"/>
        <w:rPr>
          <w:rFonts w:hint="eastAsia" w:ascii="仿宋_GB2312" w:hAnsi="宋体" w:eastAsia="仿宋_GB2312"/>
          <w:color w:val="000000"/>
          <w:sz w:val="32"/>
          <w:szCs w:val="32"/>
        </w:rPr>
      </w:pPr>
      <w:r>
        <w:rPr>
          <w:rFonts w:hint="eastAsia" w:ascii="仿宋_GB2312" w:hAnsi="宋体" w:eastAsia="仿宋_GB2312"/>
          <w:color w:val="000000"/>
          <w:sz w:val="32"/>
          <w:szCs w:val="32"/>
        </w:rPr>
        <w:t>（十四）制定应急物资储备和应急救援装备规划并组织实施，会同区粮食和物资储备局等部门建立健全应急物资信息平台和调拨制度，在救灾时统一调度。</w:t>
      </w:r>
    </w:p>
    <w:p>
      <w:pPr>
        <w:tabs>
          <w:tab w:val="left" w:pos="2550"/>
        </w:tabs>
        <w:bidi w:val="0"/>
        <w:jc w:val="left"/>
        <w:rPr>
          <w:rFonts w:hint="eastAsia" w:ascii="仿宋_GB2312" w:hAnsi="宋体" w:eastAsia="仿宋_GB2312"/>
          <w:color w:val="000000"/>
          <w:sz w:val="32"/>
          <w:szCs w:val="32"/>
        </w:rPr>
      </w:pPr>
      <w:r>
        <w:rPr>
          <w:rFonts w:hint="eastAsia" w:ascii="仿宋_GB2312" w:hAnsi="宋体" w:eastAsia="仿宋_GB2312"/>
          <w:color w:val="000000"/>
          <w:sz w:val="32"/>
          <w:szCs w:val="32"/>
          <w:lang w:eastAsia="zh-CN"/>
        </w:rPr>
        <w:t>　　</w:t>
      </w:r>
      <w:r>
        <w:rPr>
          <w:rFonts w:hint="eastAsia" w:ascii="仿宋_GB2312" w:hAnsi="宋体" w:eastAsia="仿宋_GB2312"/>
          <w:color w:val="000000"/>
          <w:sz w:val="32"/>
          <w:szCs w:val="32"/>
        </w:rPr>
        <w:t>（十五）负责应急管理、安全生产宣传教育和培训工作，负责应急管理、安全生产科技成果推广应用和信息化建设工作。</w:t>
      </w:r>
    </w:p>
    <w:p>
      <w:pPr>
        <w:tabs>
          <w:tab w:val="left" w:pos="1490"/>
        </w:tabs>
        <w:bidi w:val="0"/>
        <w:jc w:val="left"/>
        <w:rPr>
          <w:rFonts w:hint="eastAsia" w:ascii="仿宋_GB2312" w:hAnsi="宋体" w:eastAsia="仿宋_GB2312"/>
          <w:color w:val="000000"/>
          <w:sz w:val="32"/>
          <w:szCs w:val="32"/>
        </w:rPr>
      </w:pPr>
      <w:r>
        <w:rPr>
          <w:rFonts w:hint="eastAsia" w:ascii="仿宋_GB2312" w:hAnsi="宋体" w:eastAsia="仿宋_GB2312"/>
          <w:color w:val="000000"/>
          <w:sz w:val="32"/>
          <w:szCs w:val="32"/>
          <w:lang w:eastAsia="zh-CN"/>
        </w:rPr>
        <w:t>　　</w:t>
      </w:r>
      <w:r>
        <w:rPr>
          <w:rFonts w:hint="eastAsia" w:ascii="仿宋_GB2312" w:hAnsi="宋体" w:eastAsia="仿宋_GB2312"/>
          <w:color w:val="000000"/>
          <w:sz w:val="32"/>
          <w:szCs w:val="32"/>
        </w:rPr>
        <w:t>（十六）负责组织协调、指导监督全区安全生产行政执法工作，组织开展对区属企业的执法检查，配合上级部门对驻鹿中央企业、省属企业、市属企业的执法抽查。</w:t>
      </w:r>
    </w:p>
    <w:p>
      <w:pPr>
        <w:tabs>
          <w:tab w:val="left" w:pos="1687"/>
        </w:tabs>
        <w:bidi w:val="0"/>
        <w:jc w:val="left"/>
        <w:rPr>
          <w:rFonts w:hint="eastAsia" w:ascii="仿宋_GB2312" w:hAnsi="宋体" w:eastAsia="仿宋_GB2312"/>
          <w:color w:val="000000"/>
          <w:sz w:val="32"/>
          <w:szCs w:val="32"/>
        </w:rPr>
      </w:pPr>
      <w:r>
        <w:rPr>
          <w:rFonts w:hint="eastAsia" w:ascii="仿宋_GB2312" w:hAnsi="宋体" w:eastAsia="仿宋_GB2312"/>
          <w:color w:val="000000"/>
          <w:sz w:val="32"/>
          <w:szCs w:val="32"/>
          <w:lang w:eastAsia="zh-CN"/>
        </w:rPr>
        <w:t>　　</w:t>
      </w:r>
      <w:r>
        <w:rPr>
          <w:rFonts w:hint="eastAsia" w:ascii="仿宋_GB2312" w:hAnsi="宋体" w:eastAsia="仿宋_GB2312"/>
          <w:color w:val="000000"/>
          <w:sz w:val="32"/>
          <w:szCs w:val="32"/>
        </w:rPr>
        <w:t>（十七）组织开展应急管理方面的区域交流与合作。</w:t>
      </w:r>
    </w:p>
    <w:p>
      <w:pPr>
        <w:tabs>
          <w:tab w:val="left" w:pos="2187"/>
        </w:tabs>
        <w:bidi w:val="0"/>
        <w:jc w:val="left"/>
        <w:rPr>
          <w:rFonts w:hint="eastAsia" w:ascii="仿宋_GB2312" w:hAnsi="宋体" w:eastAsia="仿宋_GB2312"/>
          <w:color w:val="000000"/>
          <w:sz w:val="32"/>
          <w:szCs w:val="32"/>
        </w:rPr>
      </w:pPr>
      <w:r>
        <w:rPr>
          <w:rFonts w:hint="eastAsia" w:ascii="仿宋_GB2312" w:hAnsi="宋体" w:eastAsia="仿宋_GB2312"/>
          <w:color w:val="000000"/>
          <w:sz w:val="32"/>
          <w:szCs w:val="32"/>
          <w:lang w:eastAsia="zh-CN"/>
        </w:rPr>
        <w:t>　　</w:t>
      </w:r>
      <w:r>
        <w:rPr>
          <w:rFonts w:hint="eastAsia" w:ascii="仿宋_GB2312" w:hAnsi="宋体" w:eastAsia="仿宋_GB2312"/>
          <w:color w:val="000000"/>
          <w:sz w:val="32"/>
          <w:szCs w:val="32"/>
        </w:rPr>
        <w:t>（十八）完成区委、区政府交办的其他任务。</w:t>
      </w:r>
    </w:p>
    <w:p>
      <w:pPr>
        <w:tabs>
          <w:tab w:val="left" w:pos="1550"/>
        </w:tabs>
        <w:bidi w:val="0"/>
        <w:jc w:val="left"/>
        <w:rPr>
          <w:rFonts w:hint="eastAsia" w:cstheme="minorBidi"/>
          <w:kern w:val="2"/>
          <w:sz w:val="21"/>
          <w:szCs w:val="22"/>
          <w:lang w:val="en-US" w:eastAsia="zh-CN" w:bidi="ar-SA"/>
        </w:rPr>
      </w:pPr>
    </w:p>
    <w:p>
      <w:pPr>
        <w:tabs>
          <w:tab w:val="left" w:pos="1550"/>
        </w:tabs>
        <w:bidi w:val="0"/>
        <w:jc w:val="left"/>
        <w:rPr>
          <w:rFonts w:hint="eastAsia" w:ascii="黑体" w:hAnsi="Calibri" w:eastAsia="黑体" w:cs="黑体"/>
          <w:kern w:val="0"/>
          <w:sz w:val="32"/>
          <w:szCs w:val="32"/>
        </w:rPr>
      </w:pPr>
      <w:r>
        <w:rPr>
          <w:rFonts w:hint="eastAsia" w:cstheme="minorBidi"/>
          <w:kern w:val="2"/>
          <w:sz w:val="21"/>
          <w:szCs w:val="22"/>
          <w:lang w:val="en-US" w:eastAsia="zh-CN" w:bidi="ar-SA"/>
        </w:rPr>
        <w:tab/>
      </w:r>
    </w:p>
    <w:p>
      <w:pPr>
        <w:keepNext/>
        <w:keepLines/>
        <w:tabs>
          <w:tab w:val="left" w:pos="444"/>
        </w:tabs>
        <w:spacing w:line="580" w:lineRule="exact"/>
        <w:ind w:firstLine="640" w:firstLineChars="200"/>
        <w:jc w:val="left"/>
        <w:outlineLvl w:val="0"/>
        <w:rPr>
          <w:rFonts w:hint="eastAsia" w:ascii="黑体" w:hAnsi="Calibri" w:eastAsia="黑体" w:cs="黑体"/>
          <w:kern w:val="0"/>
          <w:sz w:val="32"/>
          <w:szCs w:val="32"/>
          <w:lang w:eastAsia="zh-CN"/>
        </w:rPr>
      </w:pPr>
    </w:p>
    <w:p>
      <w:pPr>
        <w:keepNext/>
        <w:keepLines/>
        <w:spacing w:line="580" w:lineRule="exact"/>
        <w:jc w:val="left"/>
        <w:outlineLvl w:val="0"/>
        <w:rPr>
          <w:rFonts w:hint="eastAsia" w:ascii="黑体" w:hAnsi="Calibri" w:eastAsia="黑体" w:cs="黑体"/>
          <w:kern w:val="0"/>
          <w:sz w:val="32"/>
          <w:szCs w:val="32"/>
          <w:lang w:eastAsia="zh-CN"/>
        </w:rPr>
      </w:pPr>
    </w:p>
    <w:p>
      <w:pPr>
        <w:keepNext/>
        <w:keepLines/>
        <w:spacing w:line="580" w:lineRule="exact"/>
        <w:jc w:val="left"/>
        <w:outlineLvl w:val="0"/>
        <w:rPr>
          <w:rFonts w:ascii="黑体" w:hAnsi="Calibri" w:eastAsia="黑体" w:cs="黑体"/>
          <w:kern w:val="0"/>
          <w:sz w:val="32"/>
          <w:szCs w:val="32"/>
        </w:rPr>
      </w:pPr>
      <w:r>
        <w:rPr>
          <w:rFonts w:hint="eastAsia" w:ascii="黑体" w:hAnsi="Calibri" w:eastAsia="黑体" w:cs="黑体"/>
          <w:kern w:val="0"/>
          <w:sz w:val="32"/>
          <w:szCs w:val="32"/>
          <w:lang w:eastAsia="zh-CN"/>
        </w:rPr>
        <w:t>　　</w:t>
      </w: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
        <w:gridCol w:w="3611"/>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5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1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5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611"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石家庄市鹿泉区应急管理局</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5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611"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5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611"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59"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3611"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1908.35</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1332.89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231.62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4"/>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1889.80</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1646.93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87.15</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242.87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12.85</w:t>
      </w:r>
      <w:r>
        <w:rPr>
          <w:rFonts w:hint="eastAsia" w:ascii="仿宋_GB2312" w:hAnsi="Times New Roman" w:eastAsia="仿宋_GB2312" w:cs="DengXian-Regular"/>
          <w:sz w:val="32"/>
          <w:szCs w:val="32"/>
        </w:rPr>
        <w:t>%。</w:t>
      </w:r>
    </w:p>
    <w:p>
      <w:pPr>
        <w:adjustRightInd w:val="0"/>
        <w:snapToGrid w:val="0"/>
        <w:spacing w:line="580" w:lineRule="exact"/>
        <w:jc w:val="cente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437283840" behindDoc="0" locked="0" layoutInCell="1" allowOverlap="1">
            <wp:simplePos x="0" y="0"/>
            <wp:positionH relativeFrom="column">
              <wp:posOffset>1068070</wp:posOffset>
            </wp:positionH>
            <wp:positionV relativeFrom="paragraph">
              <wp:posOffset>183515</wp:posOffset>
            </wp:positionV>
            <wp:extent cx="3434715" cy="2280920"/>
            <wp:effectExtent l="0" t="0" r="13335" b="508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lang w:eastAsia="zh-CN"/>
        </w:rPr>
        <w:t>图一：收入构成情况</w:t>
      </w:r>
    </w:p>
    <w:p>
      <w:pPr>
        <w:adjustRightInd w:val="0"/>
        <w:snapToGrid w:val="0"/>
        <w:spacing w:line="580" w:lineRule="exac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　</w:t>
      </w:r>
    </w:p>
    <w:p>
      <w:pPr>
        <w:adjustRightInd w:val="0"/>
        <w:snapToGrid w:val="0"/>
        <w:spacing w:line="580" w:lineRule="exact"/>
        <w:rPr>
          <w:rFonts w:hint="eastAsia" w:ascii="仿宋_GB2312" w:hAnsi="Times New Roman" w:eastAsia="仿宋_GB2312" w:cs="DengXian-Regular"/>
          <w:sz w:val="32"/>
          <w:szCs w:val="32"/>
          <w:lang w:eastAsia="zh-CN"/>
        </w:rPr>
      </w:pPr>
    </w:p>
    <w:p>
      <w:pPr>
        <w:adjustRightInd w:val="0"/>
        <w:snapToGrid w:val="0"/>
        <w:spacing w:line="580" w:lineRule="exact"/>
        <w:rPr>
          <w:rFonts w:ascii="黑体" w:hAnsi="Calibri" w:eastAsia="黑体" w:cs="Times New Roman"/>
          <w:sz w:val="32"/>
          <w:szCs w:val="32"/>
        </w:rPr>
      </w:pPr>
      <w:r>
        <w:rPr>
          <w:rFonts w:hint="eastAsia" w:ascii="仿宋_GB2312" w:hAnsi="Times New Roman" w:eastAsia="仿宋_GB2312" w:cs="DengXian-Regular"/>
          <w:sz w:val="32"/>
          <w:szCs w:val="32"/>
          <w:lang w:eastAsia="zh-CN"/>
        </w:rPr>
        <w:t>　</w:t>
      </w:r>
      <w:r>
        <w:rPr>
          <w:rFonts w:hint="eastAsia" w:ascii="黑体" w:hAnsi="Calibri" w:eastAsia="黑体" w:cs="Times New Roman"/>
          <w:sz w:val="32"/>
          <w:szCs w:val="32"/>
        </w:rPr>
        <w:t>三、支出决算情况说明</w:t>
      </w:r>
    </w:p>
    <w:p>
      <w:pPr>
        <w:adjustRightInd w:val="0"/>
        <w:snapToGrid w:val="0"/>
        <w:spacing w:line="580" w:lineRule="exact"/>
        <w:ind w:firstLine="644"/>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1856.74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1140.90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61.45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715.84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38.55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w:t>
      </w:r>
    </w:p>
    <w:p>
      <w:pPr>
        <w:adjustRightInd w:val="0"/>
        <w:snapToGrid w:val="0"/>
        <w:spacing w:line="580" w:lineRule="exact"/>
        <w:jc w:val="center"/>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drawing>
          <wp:anchor distT="0" distB="0" distL="114300" distR="114300" simplePos="0" relativeHeight="622911488" behindDoc="0" locked="0" layoutInCell="1" allowOverlap="1">
            <wp:simplePos x="0" y="0"/>
            <wp:positionH relativeFrom="column">
              <wp:posOffset>1108710</wp:posOffset>
            </wp:positionH>
            <wp:positionV relativeFrom="paragraph">
              <wp:posOffset>124460</wp:posOffset>
            </wp:positionV>
            <wp:extent cx="3434715" cy="2280920"/>
            <wp:effectExtent l="0" t="0" r="13335" b="5080"/>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ascii="仿宋_GB2312" w:hAnsi="Times New Roman" w:eastAsia="仿宋_GB2312" w:cs="DengXian-Regular"/>
          <w:sz w:val="32"/>
          <w:szCs w:val="32"/>
          <w:lang w:val="en-US" w:eastAsia="zh-CN"/>
        </w:rPr>
        <w:t>图二：支出构成情况（按支出性质）</w:t>
      </w:r>
    </w:p>
    <w:p>
      <w:pPr>
        <w:adjustRightInd w:val="0"/>
        <w:snapToGrid w:val="0"/>
        <w:spacing w:line="580" w:lineRule="exact"/>
        <w:rPr>
          <w:rFonts w:ascii="黑体" w:hAnsi="Calibri" w:eastAsia="黑体" w:cs="Times New Roman"/>
          <w:sz w:val="32"/>
          <w:szCs w:val="32"/>
        </w:rPr>
      </w:pPr>
      <w:r>
        <w:rPr>
          <w:rFonts w:hint="eastAsia" w:ascii="仿宋_GB2312" w:hAnsi="Times New Roman" w:eastAsia="仿宋_GB2312" w:cs="DengXian-Regular"/>
          <w:sz w:val="32"/>
          <w:szCs w:val="32"/>
          <w:lang w:val="en-US" w:eastAsia="zh-CN"/>
        </w:rPr>
        <w:t xml:space="preserve">    </w: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1889.80</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1314.34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228.40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1856.74</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1281.28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222.65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1646.93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124.07</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911.93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1856.74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152.62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1121.74</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1856.74</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1.84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0.10</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77.82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4.19</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8.04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0.43</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157.15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51.46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2.77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64.29万元，占3.46%；农林水支出8.92万元，占0.48%；灾害防治及应急管理支出1487.21，占80.10%</w:t>
      </w:r>
      <w:r>
        <w:rPr>
          <w:rFonts w:hint="eastAsia" w:ascii="仿宋_GB2312" w:hAnsi="Times New Roman" w:eastAsia="仿宋_GB2312" w:cs="DengXian-Regular"/>
          <w:sz w:val="32"/>
          <w:szCs w:val="32"/>
        </w:rPr>
        <w:t>。</w:t>
      </w:r>
    </w:p>
    <w:p>
      <w:pPr>
        <w:adjustRightInd w:val="0"/>
        <w:snapToGrid w:val="0"/>
        <w:spacing w:line="580" w:lineRule="exact"/>
        <w:jc w:val="center"/>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994165760" behindDoc="0" locked="0" layoutInCell="1" allowOverlap="1">
            <wp:simplePos x="0" y="0"/>
            <wp:positionH relativeFrom="column">
              <wp:posOffset>-726440</wp:posOffset>
            </wp:positionH>
            <wp:positionV relativeFrom="paragraph">
              <wp:posOffset>86360</wp:posOffset>
            </wp:positionV>
            <wp:extent cx="6702425" cy="4422775"/>
            <wp:effectExtent l="0" t="0" r="3175" b="15875"/>
            <wp:wrapTopAndBottom/>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仿宋_GB2312" w:hAnsi="Times New Roman" w:eastAsia="仿宋_GB2312" w:cs="DengXian-Regular"/>
          <w:sz w:val="32"/>
          <w:szCs w:val="32"/>
          <w:lang w:eastAsia="zh-CN"/>
        </w:rPr>
        <w:t>图三：财政拨款支出决算结构（按功能分类）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1140.9</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992.07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148.83</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8.56</w:t>
      </w:r>
      <w:r>
        <w:rPr>
          <w:rFonts w:hint="eastAsia" w:ascii="仿宋_GB2312" w:hAnsi="Times New Roman" w:eastAsia="仿宋_GB2312" w:cs="DengXian-Regular"/>
          <w:sz w:val="32"/>
          <w:szCs w:val="32"/>
        </w:rPr>
        <w:t>万元，完成预算的较预算减少</w:t>
      </w:r>
      <w:r>
        <w:rPr>
          <w:rFonts w:hint="eastAsia" w:ascii="仿宋_GB2312" w:hAnsi="Times New Roman" w:eastAsia="仿宋_GB2312" w:cs="DengXian-Regular"/>
          <w:sz w:val="32"/>
          <w:szCs w:val="32"/>
          <w:lang w:val="en-US" w:eastAsia="zh-CN"/>
        </w:rPr>
        <w:t>1.04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公务接待费支出金额比年初预算数少</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增加了公务接待费用的支出</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0，主要原因是我单位未发生因公出国（境）的支出</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，主要原因是我单位未发生因公出国（境）的支出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8.1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主要原因是我单位与</w:t>
      </w:r>
      <w:r>
        <w:rPr>
          <w:rFonts w:hint="eastAsia" w:ascii="仿宋_GB2312" w:hAnsi="Times New Roman" w:eastAsia="仿宋_GB2312" w:cs="DengXian-Regular"/>
          <w:sz w:val="32"/>
          <w:szCs w:val="32"/>
          <w:lang w:val="en-US" w:eastAsia="zh-CN"/>
        </w:rPr>
        <w:t>2018年度决算支出持平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主要原因是我单位未发生“公务用车购置”的经费支出</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，主要原因是我单位与</w:t>
      </w:r>
      <w:r>
        <w:rPr>
          <w:rFonts w:hint="eastAsia" w:ascii="仿宋_GB2312" w:hAnsi="Times New Roman" w:eastAsia="仿宋_GB2312" w:cs="DengXian-Regular"/>
          <w:sz w:val="32"/>
          <w:szCs w:val="32"/>
          <w:lang w:val="en-US" w:eastAsia="zh-CN"/>
        </w:rPr>
        <w:t>2018年度决算支出数持平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我单位公务用车运行维护费与年初预算数持平</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我单位公务用车运行维护费与</w:t>
      </w:r>
      <w:r>
        <w:rPr>
          <w:rFonts w:hint="eastAsia" w:ascii="仿宋_GB2312" w:hAnsi="Times New Roman" w:eastAsia="仿宋_GB2312" w:cs="DengXian-Regular"/>
          <w:sz w:val="32"/>
          <w:szCs w:val="32"/>
          <w:lang w:val="en-US" w:eastAsia="zh-CN"/>
        </w:rPr>
        <w:t>2018年度决算支出数持平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0.46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因职能划转，我单位新增的职能上级主管部门来我局检查指导工作</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因职能划转，我单位新增的职能，主要为半年、年终安全生产考核，上级防汛抗旱督导检查等上级主管部门来我局检查指导工作</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715.84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农村住房灾害保险</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安全生产宣传教育培训</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715.84</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eastAsia="zh-CN"/>
        </w:rPr>
        <w:t>农村住房灾害保险</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安全生产宣传教育培训”</w:t>
      </w:r>
      <w:r>
        <w:rPr>
          <w:rFonts w:hint="eastAsia" w:ascii="仿宋_GB2312" w:hAnsi="仿宋_GB2312" w:eastAsia="仿宋_GB2312" w:cs="仿宋_GB2312"/>
          <w:sz w:val="32"/>
          <w:szCs w:val="32"/>
        </w:rPr>
        <w:t>等项目</w:t>
      </w:r>
      <w:r>
        <w:rPr>
          <w:rFonts w:hint="eastAsia" w:ascii="仿宋_GB2312" w:hAnsi="仿宋_GB2312" w:eastAsia="仿宋_GB2312" w:cs="仿宋_GB2312"/>
          <w:sz w:val="32"/>
          <w:szCs w:val="32"/>
          <w:lang w:eastAsia="zh-CN"/>
        </w:rPr>
        <w:t>通过内</w:t>
      </w:r>
      <w:r>
        <w:rPr>
          <w:rFonts w:hint="eastAsia" w:ascii="仿宋_GB2312" w:hAnsi="仿宋_GB2312" w:eastAsia="仿宋_GB2312" w:cs="仿宋_GB2312"/>
          <w:sz w:val="32"/>
          <w:szCs w:val="32"/>
        </w:rPr>
        <w:t>部评审</w:t>
      </w:r>
      <w:r>
        <w:rPr>
          <w:rFonts w:hint="eastAsia" w:ascii="仿宋_GB2312" w:hAnsi="仿宋_GB2312" w:eastAsia="仿宋_GB2312" w:cs="仿宋_GB2312"/>
          <w:sz w:val="32"/>
          <w:szCs w:val="32"/>
          <w:lang w:eastAsia="zh-CN"/>
        </w:rPr>
        <w:t>的方式</w:t>
      </w:r>
      <w:r>
        <w:rPr>
          <w:rFonts w:hint="eastAsia" w:ascii="仿宋_GB2312" w:hAnsi="仿宋_GB2312" w:eastAsia="仿宋_GB2312" w:cs="仿宋_GB2312"/>
          <w:sz w:val="32"/>
          <w:szCs w:val="32"/>
        </w:rPr>
        <w:t>开展绩效评价。从评价情况来看，</w:t>
      </w:r>
      <w:r>
        <w:rPr>
          <w:rFonts w:hint="eastAsia" w:ascii="仿宋_GB2312" w:hAnsi="仿宋_GB2312" w:eastAsia="仿宋_GB2312" w:cs="仿宋_GB2312"/>
          <w:sz w:val="32"/>
          <w:szCs w:val="32"/>
          <w:lang w:eastAsia="zh-CN"/>
        </w:rPr>
        <w:t>我单位的绩效管理工作严格按照各项规章制度进行，严格按照年初编制的绩效项目库的内容执行</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“农村住房灾害保险”</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“宣传教育培训”</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left="200" w:leftChars="0" w:firstLine="640" w:firstLineChars="0"/>
        <w:rPr>
          <w:rFonts w:ascii="仿宋_GB2312" w:hAnsi="仿宋_GB2312" w:eastAsia="仿宋_GB2312" w:cs="仿宋_GB2312"/>
          <w:b/>
          <w:bCs/>
          <w:sz w:val="32"/>
          <w:szCs w:val="32"/>
        </w:rPr>
      </w:pPr>
      <w:r>
        <w:rPr>
          <w:rFonts w:hint="eastAsia" w:ascii="仿宋_GB2312" w:hAnsi="仿宋_GB2312" w:eastAsia="仿宋_GB2312" w:cs="仿宋_GB2312"/>
          <w:sz w:val="32"/>
          <w:szCs w:val="32"/>
          <w:lang w:eastAsia="zh-CN"/>
        </w:rPr>
        <w:t>“农村住房灾害保险”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“农村住房灾害保险”</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该项目是专项资金，按照国家财经法规和财务管理制度以及有关专项资金管理办法的规定，专款专用</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资金的拨付有完整的审批程序和手续，按照合同要求进行拨付；三是无截留、挤占、挪用、虚列支出资金</w:t>
      </w:r>
      <w:r>
        <w:rPr>
          <w:rFonts w:hint="eastAsia" w:ascii="仿宋_GB2312" w:hAnsi="仿宋_GB2312" w:eastAsia="仿宋_GB2312" w:cs="仿宋_GB2312"/>
          <w:sz w:val="32"/>
          <w:szCs w:val="32"/>
        </w:rPr>
        <w:t>。</w:t>
      </w:r>
    </w:p>
    <w:p>
      <w:pPr>
        <w:numPr>
          <w:ilvl w:val="0"/>
          <w:numId w:val="2"/>
        </w:numPr>
        <w:adjustRightInd w:val="0"/>
        <w:snapToGrid w:val="0"/>
        <w:spacing w:line="580" w:lineRule="exact"/>
        <w:ind w:left="200" w:leftChars="0" w:firstLine="640" w:firstLineChars="0"/>
        <w:rPr>
          <w:rFonts w:ascii="仿宋_GB2312" w:hAnsi="仿宋_GB2312" w:eastAsia="仿宋_GB2312" w:cs="仿宋_GB2312"/>
          <w:b/>
          <w:bCs/>
          <w:sz w:val="32"/>
          <w:szCs w:val="32"/>
        </w:rPr>
      </w:pPr>
      <w:r>
        <w:rPr>
          <w:rFonts w:hint="eastAsia" w:ascii="仿宋_GB2312" w:hAnsi="仿宋_GB2312" w:eastAsia="仿宋_GB2312" w:cs="仿宋_GB2312"/>
          <w:sz w:val="32"/>
          <w:szCs w:val="32"/>
          <w:lang w:eastAsia="zh-CN"/>
        </w:rPr>
        <w:t>“安全生产宣传教育培训”</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安全生产宣传教育培训，主要用于</w:t>
      </w:r>
      <w:r>
        <w:rPr>
          <w:rFonts w:hint="eastAsia" w:ascii="仿宋_GB2312" w:hAnsi="仿宋_GB2312" w:eastAsia="仿宋_GB2312" w:cs="仿宋_GB2312"/>
          <w:sz w:val="32"/>
          <w:szCs w:val="32"/>
          <w:lang w:val="en-US" w:eastAsia="zh-CN"/>
        </w:rPr>
        <w:t>6月份安全生产月和安全生产咨询日、安全生产法宣传周、5.12防震减灾宣传周、12.4宪法宣传日、国际减灾日等活动，印制各类法规单行本、挂图、宣传手册等、举行安全月启动仪式等；举办全区安全生产和应急管理干部教育培训班，邀请专家学者对全区各负有安全监管职责的部门和各乡镇安全监管人员开展一次专题讲座。“安全生产宣传教育培训”</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全年预算数为10万元，执行数为9.89万元，完成预算的100%。项目绩效目标完成情况：一是按照规定的程序申请设立，事前经过必要的可行性研究；二是资金到位率为100%；三是资金使用严格规范，资金的拨付经过相关审批程序和手续，不存在违法违规问题。</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148.83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112.52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309.89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因机构改革原因，</w:t>
      </w:r>
      <w:r>
        <w:rPr>
          <w:rFonts w:hint="eastAsia" w:ascii="仿宋_GB2312" w:hAnsi="Times New Roman" w:eastAsia="仿宋_GB2312" w:cs="DengXian-Regular"/>
          <w:sz w:val="32"/>
          <w:szCs w:val="32"/>
          <w:lang w:val="en-US" w:eastAsia="zh-CN"/>
        </w:rPr>
        <w:t>2019年4月份</w:t>
      </w:r>
      <w:r>
        <w:rPr>
          <w:rFonts w:hint="eastAsia" w:ascii="仿宋_GB2312" w:hAnsi="Times New Roman" w:eastAsia="仿宋_GB2312" w:cs="DengXian-Regular"/>
          <w:sz w:val="32"/>
          <w:szCs w:val="32"/>
          <w:lang w:eastAsia="zh-CN"/>
        </w:rPr>
        <w:t>将鹿泉区公安局消防大队</w:t>
      </w:r>
      <w:r>
        <w:rPr>
          <w:rFonts w:hint="eastAsia" w:ascii="仿宋_GB2312" w:hAnsi="Times New Roman" w:eastAsia="仿宋_GB2312" w:cs="DengXian-Regular"/>
          <w:sz w:val="32"/>
          <w:szCs w:val="32"/>
          <w:lang w:val="en-US" w:eastAsia="zh-CN"/>
        </w:rPr>
        <w:t>54名工作人员及相关的人员经费及办公经费划转至我单位。2、防震减灾、应急救援等职能，4名相关工作人员及相关的人员经费、办公经费、专项经费划转至我单位</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92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92</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92</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经政府主要领导批准代鹿泉区消防救援大队购置消防车</w:t>
      </w:r>
      <w:r>
        <w:rPr>
          <w:rFonts w:hint="eastAsia" w:ascii="仿宋_GB2312" w:hAnsi="Times New Roman" w:eastAsia="仿宋_GB2312" w:cs="DengXian-Regular"/>
          <w:sz w:val="32"/>
          <w:szCs w:val="32"/>
          <w:lang w:val="en-US" w:eastAsia="zh-CN"/>
        </w:rPr>
        <w:t>2辆，购置完成后已无偿划拨给鹿泉区消防救援大队</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w:t>
      </w:r>
      <w:r>
        <w:rPr>
          <w:rFonts w:hint="eastAsia" w:ascii="仿宋_GB2312" w:hAnsi="Times New Roman" w:eastAsia="仿宋_GB2312" w:cs="DengXian-Regular"/>
          <w:sz w:val="32"/>
          <w:szCs w:val="32"/>
          <w:lang w:eastAsia="zh-CN"/>
        </w:rPr>
        <w:t>应急</w:t>
      </w:r>
      <w:r>
        <w:rPr>
          <w:rFonts w:hint="eastAsia" w:ascii="仿宋_GB2312" w:hAnsi="Times New Roman" w:eastAsia="仿宋_GB2312" w:cs="DengXian-Regular"/>
          <w:sz w:val="32"/>
          <w:szCs w:val="32"/>
        </w:rPr>
        <w:t>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我单位未购置</w:t>
      </w:r>
      <w:r>
        <w:rPr>
          <w:rFonts w:hint="eastAsia" w:ascii="仿宋_GB2312" w:hAnsi="Times New Roman" w:eastAsia="仿宋_GB2312" w:cs="DengXian-Regular"/>
          <w:sz w:val="32"/>
          <w:szCs w:val="32"/>
          <w:lang w:val="en-US" w:eastAsia="zh-CN"/>
        </w:rPr>
        <w:t>50万元以上通用设备</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我单位未购置</w:t>
      </w:r>
      <w:r>
        <w:rPr>
          <w:rFonts w:hint="eastAsia" w:ascii="仿宋_GB2312" w:hAnsi="Times New Roman" w:eastAsia="仿宋_GB2312" w:cs="DengXian-Regular"/>
          <w:sz w:val="32"/>
          <w:szCs w:val="32"/>
          <w:lang w:val="en-US" w:eastAsia="zh-CN"/>
        </w:rPr>
        <w:t>100万元以上专用设备</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w:t>
      </w:r>
      <w:r>
        <w:rPr>
          <w:rFonts w:hint="eastAsia" w:ascii="仿宋_GB2312" w:hAnsi="Times New Roman" w:eastAsia="仿宋_GB2312" w:cs="DengXian-Regular"/>
          <w:sz w:val="32"/>
          <w:szCs w:val="32"/>
          <w:lang w:eastAsia="zh-CN"/>
        </w:rPr>
        <w:t>、</w:t>
      </w:r>
      <w:r>
        <w:rPr>
          <w:rFonts w:hint="eastAsia" w:ascii="仿宋_GB2312" w:eastAsia="仿宋_GB2312"/>
          <w:sz w:val="32"/>
          <w:szCs w:val="32"/>
        </w:rPr>
        <w:t>我单位无政府性基金预算支出，所以部门预算政府性基金预算财政拨款支出表为空表。</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2、我单位无国有资本经营预算财政拨款支出，所以国有资本经营预算财政拨款支出表为空表</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W w:w="138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884"/>
        <w:gridCol w:w="548"/>
        <w:gridCol w:w="2425"/>
        <w:gridCol w:w="3250"/>
        <w:gridCol w:w="532"/>
        <w:gridCol w:w="32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8" w:type="dxa"/>
            <w:gridSpan w:val="6"/>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388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2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249"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388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54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2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249"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6857"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7031"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4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324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24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1,646.93</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242.87</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1,487.21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1,889.80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1,856.74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18.55</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8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4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2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1,908.35</w:t>
            </w:r>
          </w:p>
        </w:tc>
        <w:tc>
          <w:tcPr>
            <w:tcW w:w="32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32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1,908.35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88"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pPr>
        <w:tabs>
          <w:tab w:val="left" w:pos="886"/>
        </w:tabs>
        <w:jc w:val="left"/>
      </w:pPr>
    </w:p>
    <w:p>
      <w:pPr>
        <w:jc w:val="left"/>
      </w:pPr>
    </w:p>
    <w:p>
      <w:pPr>
        <w:jc w:val="left"/>
      </w:pPr>
    </w:p>
    <w:p>
      <w:pPr>
        <w:jc w:val="left"/>
      </w:pPr>
    </w:p>
    <w:p>
      <w:pPr>
        <w:jc w:val="left"/>
      </w:pPr>
    </w:p>
    <w:p>
      <w:pPr>
        <w:jc w:val="left"/>
      </w:pPr>
    </w:p>
    <w:p>
      <w:pPr>
        <w:jc w:val="left"/>
      </w:pPr>
    </w:p>
    <w:p>
      <w:pPr>
        <w:jc w:val="left"/>
      </w:pPr>
    </w:p>
    <w:p>
      <w:pPr>
        <w:jc w:val="left"/>
        <w:rPr>
          <w:rFonts w:hint="eastAsia"/>
          <w:lang w:eastAsia="zh-CN"/>
        </w:rPr>
      </w:pPr>
      <w:r>
        <w:rPr>
          <w:rFonts w:hint="eastAsia"/>
          <w:lang w:eastAsia="zh-CN"/>
        </w:rPr>
        <w:t>、</w:t>
      </w:r>
    </w:p>
    <w:p>
      <w:pPr>
        <w:jc w:val="left"/>
        <w:rPr>
          <w:rFonts w:hint="eastAsia"/>
          <w:lang w:eastAsia="zh-CN"/>
        </w:rPr>
      </w:pP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29"/>
        <w:gridCol w:w="36"/>
        <w:gridCol w:w="36"/>
        <w:gridCol w:w="3770"/>
        <w:gridCol w:w="1048"/>
        <w:gridCol w:w="997"/>
        <w:gridCol w:w="881"/>
        <w:gridCol w:w="919"/>
        <w:gridCol w:w="884"/>
        <w:gridCol w:w="856"/>
        <w:gridCol w:w="14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11"/>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4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99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97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11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9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88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140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45"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45"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45"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4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7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1,889.80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1,646.93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242.87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公安</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1,520.77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236.70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1,133.47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1,072.99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安全生产基础</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其他自然灾害生活救助支出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29"/>
        <w:gridCol w:w="36"/>
        <w:gridCol w:w="36"/>
        <w:gridCol w:w="3769"/>
        <w:gridCol w:w="1510"/>
        <w:gridCol w:w="1197"/>
        <w:gridCol w:w="1120"/>
        <w:gridCol w:w="830"/>
        <w:gridCol w:w="815"/>
        <w:gridCol w:w="15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19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1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00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94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54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6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31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4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5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1,856.74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1,140.90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715.84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公安</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防汛</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1,487.21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655.35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197.34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安全生产基础</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322.30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其他自然灾害生活救助支出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r>
        <w:br w:type="page"/>
      </w:r>
    </w:p>
    <w:tbl>
      <w:tblPr>
        <w:tblStyle w:val="6"/>
        <w:tblW w:w="13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564"/>
        <w:gridCol w:w="464"/>
        <w:gridCol w:w="1261"/>
        <w:gridCol w:w="3954"/>
        <w:gridCol w:w="464"/>
        <w:gridCol w:w="1030"/>
        <w:gridCol w:w="1244"/>
        <w:gridCol w:w="17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74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0" w:type="auto"/>
            <w:gridSpan w:val="5"/>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2" w:hRule="atLeast"/>
        </w:trPr>
        <w:tc>
          <w:tcPr>
            <w:tcW w:w="327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3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6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9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327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9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1,646.93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1,250.51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1,250.51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1,646.93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1,613.87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1,613.87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18.55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18.55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1,665.48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1,665.48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1,665.48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p/>
    <w:p/>
    <w:p/>
    <w:p/>
    <w:p/>
    <w:p/>
    <w:p/>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36"/>
        <w:gridCol w:w="36"/>
        <w:gridCol w:w="3770"/>
        <w:gridCol w:w="2347"/>
        <w:gridCol w:w="2251"/>
        <w:gridCol w:w="24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13886"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7248"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17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4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24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4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trPr>
        <w:tc>
          <w:tcPr>
            <w:tcW w:w="317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17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1,613.87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1,140.90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472.97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公共安全支出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公安</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77.82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2040250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1,250.51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1,027.11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956.40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831.86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灾害风险防治</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安全监管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安全生产基础</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消防应急救援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2240799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其他自然灾害生活救助支出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55.00</w:t>
            </w:r>
          </w:p>
        </w:tc>
      </w:tr>
    </w:tbl>
    <w:p>
      <w:r>
        <w:br w:type="page"/>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94"/>
        <w:gridCol w:w="2409"/>
        <w:gridCol w:w="1272"/>
        <w:gridCol w:w="1319"/>
        <w:gridCol w:w="1621"/>
        <w:gridCol w:w="1358"/>
        <w:gridCol w:w="687"/>
        <w:gridCol w:w="2652"/>
        <w:gridCol w:w="15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9"/>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99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1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5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7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403"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12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1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2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5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7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675"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9211"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40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131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62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5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68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65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7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1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2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8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5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7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991.02</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148.83</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110.18</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25.30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91.58</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0.21</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281.90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136.78</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5.29</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154.04</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23.43</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37.20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75.58</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6.14</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2.68</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6.86</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100.39</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0.28</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4.35</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24.47</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10.47</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10.75</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9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40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62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3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5.68</w:t>
            </w:r>
          </w:p>
        </w:tc>
        <w:tc>
          <w:tcPr>
            <w:tcW w:w="68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65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403"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12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992.07</w:t>
            </w:r>
          </w:p>
        </w:tc>
        <w:tc>
          <w:tcPr>
            <w:tcW w:w="7637"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15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148.83</w:t>
            </w:r>
          </w:p>
        </w:tc>
      </w:tr>
    </w:tbl>
    <w:p/>
    <w:p/>
    <w:p/>
    <w:p/>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3030"/>
        <w:gridCol w:w="1111"/>
        <w:gridCol w:w="916"/>
        <w:gridCol w:w="921"/>
        <w:gridCol w:w="912"/>
        <w:gridCol w:w="879"/>
        <w:gridCol w:w="934"/>
        <w:gridCol w:w="1015"/>
        <w:gridCol w:w="865"/>
        <w:gridCol w:w="934"/>
        <w:gridCol w:w="939"/>
        <w:gridCol w:w="14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3886" w:type="dxa"/>
            <w:gridSpan w:val="12"/>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639"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247"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76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11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882"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87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101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1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90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30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276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7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9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87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02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30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2767"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7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2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3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0.46</w:t>
            </w:r>
          </w:p>
        </w:tc>
      </w:tr>
    </w:tbl>
    <w:p/>
    <w:p/>
    <w:p/>
    <w:p/>
    <w:p/>
    <w:p/>
    <w:p/>
    <w:p/>
    <w:p/>
    <w:p>
      <w:r>
        <w:tab/>
      </w:r>
      <w:r>
        <w:tab/>
      </w:r>
      <w:r>
        <w:tab/>
      </w:r>
      <w:r>
        <w:tab/>
      </w:r>
    </w:p>
    <w:tbl>
      <w:tblPr>
        <w:tblStyle w:val="6"/>
        <w:tblW w:w="138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4358"/>
        <w:gridCol w:w="52"/>
        <w:gridCol w:w="52"/>
        <w:gridCol w:w="1309"/>
        <w:gridCol w:w="1211"/>
        <w:gridCol w:w="1211"/>
        <w:gridCol w:w="1211"/>
        <w:gridCol w:w="1211"/>
        <w:gridCol w:w="1211"/>
        <w:gridCol w:w="20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3886"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43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43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430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43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51"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43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3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4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5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15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86" w:type="dxa"/>
            <w:gridSpan w:val="10"/>
            <w:tcBorders>
              <w:top w:val="nil"/>
              <w:left w:val="nil"/>
              <w:bottom w:val="nil"/>
              <w:right w:val="nil"/>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bl>
    <w:p>
      <w:r>
        <w:tab/>
      </w:r>
      <w:r>
        <w:rPr>
          <w:sz w:val="30"/>
          <w:szCs w:val="30"/>
        </w:rPr>
        <w:tab/>
      </w:r>
      <w:r>
        <w:rPr>
          <w:rFonts w:hint="eastAsia"/>
          <w:sz w:val="30"/>
          <w:szCs w:val="30"/>
          <w:lang w:eastAsia="zh-CN"/>
        </w:rPr>
        <w:t>注：无政府性基金预算财政拨款收入支出决算，空表列示。</w:t>
      </w:r>
      <w:r>
        <w:br w:type="page"/>
      </w:r>
    </w:p>
    <w:tbl>
      <w:tblPr>
        <w:tblStyle w:val="6"/>
        <w:tblW w:w="117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964"/>
        <w:gridCol w:w="587"/>
        <w:gridCol w:w="514"/>
        <w:gridCol w:w="4535"/>
        <w:gridCol w:w="1762"/>
        <w:gridCol w:w="1762"/>
        <w:gridCol w:w="1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58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r>
              <w:br w:type="page"/>
            </w: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63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国有资本经营预算财政拨款支出决算表</w:t>
            </w:r>
          </w:p>
        </w:tc>
        <w:tc>
          <w:tcPr>
            <w:tcW w:w="18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部门：石家庄市鹿泉区应急管理局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w:t>
            </w:r>
          </w:p>
        </w:tc>
        <w:tc>
          <w:tcPr>
            <w:tcW w:w="0" w:type="auto"/>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1710"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bl>
    <w:p>
      <w:pPr>
        <w:ind w:firstLine="420" w:firstLineChars="200"/>
        <w:jc w:val="left"/>
        <w:rPr>
          <w:rFonts w:hint="eastAsia" w:hAnsi="宋体"/>
        </w:rPr>
      </w:pPr>
      <w:r>
        <w:rPr>
          <w:rFonts w:hint="eastAsia" w:ascii="方正书宋_GBK" w:eastAsia="方正书宋_GBK"/>
        </w:rPr>
        <w:t>注：无国有资本经营预算财政拨款</w:t>
      </w:r>
      <w:r>
        <w:rPr>
          <w:rFonts w:hint="eastAsia" w:ascii="方正书宋_GBK" w:eastAsia="方正书宋_GBK"/>
          <w:lang w:eastAsia="zh-CN"/>
        </w:rPr>
        <w:t>支出决算</w:t>
      </w:r>
      <w:r>
        <w:rPr>
          <w:rFonts w:hint="eastAsia" w:ascii="方正书宋_GBK" w:eastAsia="方正书宋_GBK"/>
        </w:rPr>
        <w:t>，空表列示。</w:t>
      </w:r>
    </w:p>
    <w:p/>
    <w:p>
      <w:r>
        <w:br w:type="page"/>
      </w:r>
      <w:bookmarkStart w:id="0" w:name="_GoBack"/>
      <w:bookmarkEnd w:id="0"/>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6838" w:h="11906" w:orient="landscape"/>
      <w:pgMar w:top="1417" w:right="1701" w:bottom="1417" w:left="128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方正书宋_GBK">
    <w:altName w:val="宋体"/>
    <w:panose1 w:val="00000000000000000000"/>
    <w:charset w:val="86"/>
    <w:family w:val="roman"/>
    <w:pitch w:val="default"/>
    <w:sig w:usb0="00000000" w:usb1="00000000" w:usb2="00000000"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pPr>
        <w:ind w:left="2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DA5822"/>
    <w:rsid w:val="05B00A30"/>
    <w:rsid w:val="05F0724C"/>
    <w:rsid w:val="0B011416"/>
    <w:rsid w:val="0D295673"/>
    <w:rsid w:val="0EE35A79"/>
    <w:rsid w:val="12E86DCF"/>
    <w:rsid w:val="17B67130"/>
    <w:rsid w:val="18062170"/>
    <w:rsid w:val="212B3CD2"/>
    <w:rsid w:val="24583A40"/>
    <w:rsid w:val="247D29D3"/>
    <w:rsid w:val="25803BB6"/>
    <w:rsid w:val="29637A76"/>
    <w:rsid w:val="2A291776"/>
    <w:rsid w:val="2ACB4D9D"/>
    <w:rsid w:val="2B8242E8"/>
    <w:rsid w:val="30BE45DC"/>
    <w:rsid w:val="31C2036A"/>
    <w:rsid w:val="320D02A5"/>
    <w:rsid w:val="33866867"/>
    <w:rsid w:val="348E566F"/>
    <w:rsid w:val="3A226944"/>
    <w:rsid w:val="3AEE6A48"/>
    <w:rsid w:val="3C106257"/>
    <w:rsid w:val="3C1620AA"/>
    <w:rsid w:val="3C700B95"/>
    <w:rsid w:val="3D8F080F"/>
    <w:rsid w:val="41AC2835"/>
    <w:rsid w:val="44C96DCD"/>
    <w:rsid w:val="44CE1FA4"/>
    <w:rsid w:val="469A1BFF"/>
    <w:rsid w:val="487F73ED"/>
    <w:rsid w:val="4A347EAE"/>
    <w:rsid w:val="4CBE72FB"/>
    <w:rsid w:val="4D273DA7"/>
    <w:rsid w:val="4D7865D6"/>
    <w:rsid w:val="4DCF2F2C"/>
    <w:rsid w:val="508E41DC"/>
    <w:rsid w:val="52600405"/>
    <w:rsid w:val="529B4319"/>
    <w:rsid w:val="54B03772"/>
    <w:rsid w:val="557965EC"/>
    <w:rsid w:val="56665B97"/>
    <w:rsid w:val="57773DD6"/>
    <w:rsid w:val="578B79AB"/>
    <w:rsid w:val="59553ACA"/>
    <w:rsid w:val="5CCD3FD5"/>
    <w:rsid w:val="5EB30E6C"/>
    <w:rsid w:val="60106DF5"/>
    <w:rsid w:val="60E50947"/>
    <w:rsid w:val="61FA5F9D"/>
    <w:rsid w:val="64CD6910"/>
    <w:rsid w:val="6789158D"/>
    <w:rsid w:val="67D81BA4"/>
    <w:rsid w:val="6AAF1C96"/>
    <w:rsid w:val="6AB41EF9"/>
    <w:rsid w:val="6C49152C"/>
    <w:rsid w:val="6D3025A0"/>
    <w:rsid w:val="6D6B783A"/>
    <w:rsid w:val="74132EF6"/>
    <w:rsid w:val="74C635F2"/>
    <w:rsid w:val="75681757"/>
    <w:rsid w:val="75A346A8"/>
    <w:rsid w:val="779344D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Pt>
            <c:idx val="3"/>
            <c:bubble3D val="0"/>
            <c:spPr>
              <a:solidFill>
                <a:schemeClr val="accent4"/>
              </a:solidFill>
              <a:ln>
                <a:noFill/>
              </a:ln>
              <a:effectLst>
                <a:outerShdw blurRad="63500" sx="102000" sy="102000" algn="ctr" rotWithShape="0">
                  <a:prstClr val="black">
                    <a:alpha val="20000"/>
                  </a:prstClr>
                </a:outerShdw>
              </a:effectLst>
            </c:spPr>
          </c:dPt>
          <c:dLbls>
            <c:dLbl>
              <c:idx val="0"/>
              <c:layout>
                <c:manualLayout>
                  <c:x val="0.0811610279164356"/>
                  <c:y val="-0.0377465516762408"/>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t>拨款收入</a:t>
                    </a:r>
                  </a:p>
                  <a:p>
                    <a:pPr defTabSz="914400">
                      <a:defRPr lang="zh-CN" sz="1000" b="1" i="0" u="none" strike="noStrike" kern="1200" spc="0" baseline="0">
                        <a:solidFill>
                          <a:schemeClr val="accent1"/>
                        </a:solidFill>
                        <a:latin typeface="+mn-lt"/>
                        <a:ea typeface="+mn-ea"/>
                        <a:cs typeface="+mn-cs"/>
                      </a:defRPr>
                    </a:pPr>
                    <a:r>
                      <a:rPr lang="en-US" altLang="zh-CN"/>
                      <a:t>87.15%</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813459049731928"/>
                  <c:y val="0.0335706257937255"/>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t>其他收入</a:t>
                    </a:r>
                  </a:p>
                  <a:p>
                    <a:pPr defTabSz="914400">
                      <a:defRPr lang="zh-CN" sz="1000" b="1" i="0" u="none" strike="noStrike" kern="1200" spc="0" baseline="0">
                        <a:solidFill>
                          <a:schemeClr val="accent2"/>
                        </a:solidFill>
                        <a:latin typeface="+mn-lt"/>
                        <a:ea typeface="+mn-ea"/>
                        <a:cs typeface="+mn-cs"/>
                      </a:defRPr>
                    </a:pPr>
                    <a:r>
                      <a:rPr lang="en-US" altLang="zh-CN"/>
                      <a:t>12.85%</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第一季度</c:v>
                </c:pt>
                <c:pt idx="1">
                  <c:v>第二季度</c:v>
                </c:pt>
              </c:strCache>
            </c:strRef>
          </c:cat>
          <c:val>
            <c:numRef>
              <c:f>Sheet1!$B$2:$B$5</c:f>
              <c:numCache>
                <c:formatCode>General</c:formatCode>
                <c:ptCount val="4"/>
                <c:pt idx="0">
                  <c:v>87.15</c:v>
                </c:pt>
                <c:pt idx="1">
                  <c:v>12.85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Pt>
            <c:idx val="3"/>
            <c:bubble3D val="0"/>
            <c:spPr>
              <a:solidFill>
                <a:schemeClr val="accent4"/>
              </a:solidFill>
              <a:ln>
                <a:noFill/>
              </a:ln>
              <a:effectLst>
                <a:outerShdw blurRad="63500" sx="102000" sy="102000" algn="ctr" rotWithShape="0">
                  <a:prstClr val="black">
                    <a:alpha val="20000"/>
                  </a:prstClr>
                </a:outerShdw>
              </a:effectLst>
            </c:spPr>
          </c:dPt>
          <c:dLbls>
            <c:dLbl>
              <c:idx val="0"/>
              <c:layout>
                <c:manualLayout>
                  <c:x val="0.0811610279164356"/>
                  <c:y val="-0.0377465516762408"/>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t>基本支出</a:t>
                    </a:r>
                  </a:p>
                  <a:p>
                    <a:pPr defTabSz="914400">
                      <a:defRPr lang="zh-CN" sz="1000" b="1" i="0" u="none" strike="noStrike" kern="1200" spc="0" baseline="0">
                        <a:solidFill>
                          <a:schemeClr val="accent1"/>
                        </a:solidFill>
                        <a:latin typeface="+mn-lt"/>
                        <a:ea typeface="+mn-ea"/>
                        <a:cs typeface="+mn-cs"/>
                      </a:defRPr>
                    </a:pPr>
                    <a:r>
                      <a:rPr lang="en-US" altLang="zh-CN"/>
                      <a:t>61.45%</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813459049731928"/>
                  <c:y val="0.0335706257937255"/>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t>项目支出</a:t>
                    </a:r>
                  </a:p>
                  <a:p>
                    <a:pPr defTabSz="914400">
                      <a:defRPr lang="zh-CN" sz="1000" b="1" i="0" u="none" strike="noStrike" kern="1200" spc="0" baseline="0">
                        <a:solidFill>
                          <a:schemeClr val="accent2"/>
                        </a:solidFill>
                        <a:latin typeface="+mn-lt"/>
                        <a:ea typeface="+mn-ea"/>
                        <a:cs typeface="+mn-cs"/>
                      </a:defRPr>
                    </a:pPr>
                    <a:r>
                      <a:rPr lang="en-US" altLang="zh-CN"/>
                      <a:t>38.55%</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61.45</c:v>
                </c:pt>
                <c:pt idx="1">
                  <c:v>38.55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Pt>
            <c:idx val="3"/>
            <c:bubble3D val="0"/>
            <c:spPr>
              <a:solidFill>
                <a:schemeClr val="accent4"/>
              </a:solidFill>
              <a:ln>
                <a:noFill/>
              </a:ln>
              <a:effectLst>
                <a:outerShdw blurRad="63500" sx="102000" sy="102000" algn="ctr" rotWithShape="0">
                  <a:prstClr val="black">
                    <a:alpha val="20000"/>
                  </a:prstClr>
                </a:outerShdw>
              </a:effectLst>
            </c:spPr>
          </c:dPt>
          <c:dPt>
            <c:idx val="4"/>
            <c:bubble3D val="0"/>
            <c:spPr>
              <a:solidFill>
                <a:schemeClr val="accent5"/>
              </a:solidFill>
              <a:ln>
                <a:noFill/>
              </a:ln>
              <a:effectLst>
                <a:outerShdw blurRad="63500" sx="102000" sy="102000" algn="ctr" rotWithShape="0">
                  <a:prstClr val="black">
                    <a:alpha val="20000"/>
                  </a:prstClr>
                </a:outerShdw>
              </a:effectLst>
            </c:spPr>
          </c:dPt>
          <c:dPt>
            <c:idx val="5"/>
            <c:bubble3D val="0"/>
            <c:spPr>
              <a:solidFill>
                <a:schemeClr val="accent6"/>
              </a:solidFill>
              <a:ln>
                <a:noFill/>
              </a:ln>
              <a:effectLst>
                <a:outerShdw blurRad="63500" sx="102000" sy="102000" algn="ctr" rotWithShape="0">
                  <a:prstClr val="black">
                    <a:alpha val="20000"/>
                  </a:prstClr>
                </a:outerShdw>
              </a:effectLst>
            </c:spPr>
          </c:dPt>
          <c:dPt>
            <c:idx val="6"/>
            <c:bubble3D val="0"/>
            <c:spPr>
              <a:solidFill>
                <a:schemeClr val="accent1">
                  <a:lumMod val="60000"/>
                </a:schemeClr>
              </a:solidFill>
              <a:ln>
                <a:noFill/>
              </a:ln>
              <a:effectLst>
                <a:outerShdw blurRad="63500" sx="102000" sy="102000" algn="ctr" rotWithShape="0">
                  <a:prstClr val="black">
                    <a:alpha val="20000"/>
                  </a:prstClr>
                </a:outerShdw>
              </a:effectLst>
            </c:spPr>
          </c:dPt>
          <c:dPt>
            <c:idx val="7"/>
            <c:bubble3D val="0"/>
            <c:spPr>
              <a:solidFill>
                <a:schemeClr val="accent2">
                  <a:lumMod val="60000"/>
                </a:schemeClr>
              </a:solidFill>
              <a:ln>
                <a:noFill/>
              </a:ln>
              <a:effectLst>
                <a:outerShdw blurRad="63500" sx="102000" sy="102000" algn="ctr" rotWithShape="0">
                  <a:prstClr val="black">
                    <a:alpha val="20000"/>
                  </a:prstClr>
                </a:outerShdw>
              </a:effectLst>
            </c:spPr>
          </c:dPt>
          <c:dPt>
            <c:idx val="8"/>
            <c:bubble3D val="0"/>
            <c:spPr>
              <a:solidFill>
                <a:schemeClr val="accent3">
                  <a:lumMod val="60000"/>
                </a:schemeClr>
              </a:solidFill>
              <a:ln>
                <a:noFill/>
              </a:ln>
              <a:effectLst>
                <a:outerShdw blurRad="63500" sx="102000" sy="102000" algn="ctr" rotWithShape="0">
                  <a:prstClr val="black">
                    <a:alpha val="20000"/>
                  </a:prstClr>
                </a:outerShdw>
              </a:effectLst>
            </c:spPr>
          </c:dPt>
          <c:dPt>
            <c:idx val="9"/>
            <c:bubble3D val="0"/>
            <c:spPr>
              <a:solidFill>
                <a:schemeClr val="accent4">
                  <a:lumMod val="60000"/>
                </a:schemeClr>
              </a:solidFill>
              <a:ln>
                <a:noFill/>
              </a:ln>
              <a:effectLst>
                <a:outerShdw blurRad="63500" sx="102000" sy="102000" algn="ctr" rotWithShape="0">
                  <a:prstClr val="black">
                    <a:alpha val="20000"/>
                  </a:prstClr>
                </a:outerShdw>
              </a:effectLst>
            </c:spPr>
          </c:dPt>
          <c:dLbls>
            <c:dLbl>
              <c:idx val="0"/>
              <c:layout>
                <c:manualLayout>
                  <c:x val="-0.173554040021102"/>
                  <c:y val="0.0048150514214334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ltLang="en-US"/>
                      <a:t>一般公共服务（类）</a:t>
                    </a:r>
                    <a:r>
                      <a:rPr lang="en-US" altLang="zh-CN"/>
                      <a:t>0.1%</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398712214818372"/>
                  <c:y val="0.000338495618351167"/>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rPr altLang="en-US"/>
                      <a:t>公共安全（类）</a:t>
                    </a:r>
                    <a:r>
                      <a:rPr lang="en-US" altLang="zh-CN"/>
                      <a:t>4.19%</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5363974530184"/>
                  <c:y val="0.0220173810514685"/>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3"/>
                        </a:solidFill>
                        <a:latin typeface="+mn-lt"/>
                        <a:ea typeface="+mn-ea"/>
                        <a:cs typeface="+mn-cs"/>
                      </a:defRPr>
                    </a:pPr>
                    <a:r>
                      <a:t>科学技术（类）0</a:t>
                    </a:r>
                    <a:r>
                      <a:rPr lang="en-US" altLang="zh-CN"/>
                      <a:t>.43</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522930635240475"/>
                  <c:y val="0.0386172930784715"/>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4"/>
                        </a:solidFill>
                        <a:latin typeface="+mn-lt"/>
                        <a:ea typeface="+mn-ea"/>
                        <a:cs typeface="+mn-cs"/>
                      </a:defRPr>
                    </a:pPr>
                    <a:r>
                      <a:t>社会保障和就业（类）</a:t>
                    </a:r>
                  </a:p>
                  <a:p>
                    <a:pPr defTabSz="914400">
                      <a:defRPr lang="zh-CN" sz="1000" b="1" i="0" u="none" strike="noStrike" kern="1200" spc="0" baseline="0">
                        <a:solidFill>
                          <a:schemeClr val="accent4"/>
                        </a:solidFill>
                        <a:latin typeface="+mn-lt"/>
                        <a:ea typeface="+mn-ea"/>
                        <a:cs typeface="+mn-cs"/>
                      </a:defRPr>
                    </a:pPr>
                    <a:r>
                      <a:rPr lang="en-US" altLang="zh-CN"/>
                      <a:t>8.46</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0545880559084337"/>
                  <c:y val="0.00350581395103182"/>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t>卫生健康3</a:t>
                    </a:r>
                    <a:r>
                      <a:rPr lang="en-US" altLang="zh-CN"/>
                      <a:t>.46</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0555615677009878"/>
                  <c:y val="0.0262723761017206"/>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chemeClr val="accent6"/>
                        </a:solidFill>
                      </a:rPr>
                      <a:t>住房保障（类）</a:t>
                    </a:r>
                    <a:endParaRPr>
                      <a:solidFill>
                        <a:schemeClr val="accent6"/>
                      </a:solidFill>
                    </a:endParaRPr>
                  </a:p>
                  <a:p>
                    <a:pPr defTabSz="914400">
                      <a:defRPr lang="zh-CN" sz="1000" b="1" i="0" u="none" strike="noStrike" kern="1200" spc="0" baseline="0">
                        <a:solidFill>
                          <a:schemeClr val="accent1"/>
                        </a:solidFill>
                        <a:latin typeface="+mn-lt"/>
                        <a:ea typeface="+mn-ea"/>
                        <a:cs typeface="+mn-cs"/>
                      </a:defRPr>
                    </a:pPr>
                    <a:r>
                      <a:rPr lang="en-US" altLang="zh-CN">
                        <a:solidFill>
                          <a:schemeClr val="accent6"/>
                        </a:solidFill>
                      </a:rPr>
                      <a:t>2.77</a:t>
                    </a:r>
                    <a:r>
                      <a:rPr>
                        <a:solidFill>
                          <a:schemeClr val="accent6"/>
                        </a:solidFill>
                      </a:rPr>
                      <a:t>%</a:t>
                    </a:r>
                    <a:endParaRPr>
                      <a:solidFill>
                        <a:schemeClr val="accent6"/>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229876271286445"/>
                  <c:y val="0.0914776866073998"/>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t>农林水</a:t>
                    </a:r>
                  </a:p>
                  <a:p>
                    <a:pPr defTabSz="914400">
                      <a:defRPr lang="zh-CN" sz="1000" b="1" i="0" u="none" strike="noStrike" kern="1200" spc="0" baseline="0">
                        <a:solidFill>
                          <a:schemeClr val="accent1"/>
                        </a:solidFill>
                        <a:latin typeface="+mn-lt"/>
                        <a:ea typeface="+mn-ea"/>
                        <a:cs typeface="+mn-cs"/>
                      </a:defRPr>
                    </a:pPr>
                    <a:r>
                      <a:rPr lang="en-US" altLang="zh-CN"/>
                      <a:t>0.48</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layout>
                <c:manualLayout>
                  <c:x val="-0.0840682788051209"/>
                  <c:y val="-0.032466136314771"/>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chemeClr val="accent2">
                            <a:lumMod val="75000"/>
                          </a:schemeClr>
                        </a:solidFill>
                      </a:rPr>
                      <a:t>灾害防治及应急管理支出80</a:t>
                    </a:r>
                    <a:r>
                      <a:rPr lang="en-US" altLang="zh-CN">
                        <a:solidFill>
                          <a:schemeClr val="accent2">
                            <a:lumMod val="75000"/>
                          </a:schemeClr>
                        </a:solidFill>
                      </a:rPr>
                      <a:t>.1</a:t>
                    </a:r>
                    <a:r>
                      <a:rPr>
                        <a:solidFill>
                          <a:schemeClr val="accent2">
                            <a:lumMod val="75000"/>
                          </a:schemeClr>
                        </a:solidFill>
                      </a:rPr>
                      <a:t>%</a:t>
                    </a:r>
                    <a:endParaRPr>
                      <a:solidFill>
                        <a:schemeClr val="accent2">
                          <a:lumMod val="75000"/>
                        </a:schemeClr>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9"/>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一般公共服务（类）</c:v>
                </c:pt>
                <c:pt idx="1">
                  <c:v>公共安全类（类）</c:v>
                </c:pt>
                <c:pt idx="2">
                  <c:v>科学技术（类）</c:v>
                </c:pt>
              </c:strCache>
            </c:strRef>
          </c:cat>
          <c:val>
            <c:numRef>
              <c:f>Sheet1!$B$2:$B$11</c:f>
              <c:numCache>
                <c:formatCode>General</c:formatCode>
                <c:ptCount val="10"/>
                <c:pt idx="0">
                  <c:v>0.1</c:v>
                </c:pt>
                <c:pt idx="1">
                  <c:v>4.19</c:v>
                </c:pt>
                <c:pt idx="2">
                  <c:v>0.43</c:v>
                </c:pt>
                <c:pt idx="3">
                  <c:v>8.46</c:v>
                </c:pt>
                <c:pt idx="4">
                  <c:v>3.46</c:v>
                </c:pt>
                <c:pt idx="5">
                  <c:v>2.77</c:v>
                </c:pt>
                <c:pt idx="6">
                  <c:v>0.48</c:v>
                </c:pt>
                <c:pt idx="7">
                  <c:v>80.1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3</TotalTime>
  <ScaleCrop>false</ScaleCrop>
  <LinksUpToDate>false</LinksUpToDate>
  <CharactersWithSpaces>11119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小丫头</cp:lastModifiedBy>
  <cp:lastPrinted>2020-11-03T06:10:00Z</cp:lastPrinted>
  <dcterms:modified xsi:type="dcterms:W3CDTF">2021-05-20T07:08:22Z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