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gif" ContentType="image/gi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二〇二〇年十</w:t>
                  </w:r>
                  <w:r>
                    <w:rPr>
                      <w:rFonts w:hint="eastAsia" w:ascii="楷体_GB2312" w:hAnsi="楷体_GB2312" w:eastAsia="楷体_GB2312" w:cs="楷体_GB2312"/>
                      <w:color w:val="000000" w:themeColor="text1"/>
                      <w:kern w:val="0"/>
                      <w:sz w:val="44"/>
                      <w:szCs w:val="44"/>
                      <w:lang w:eastAsia="zh-CN"/>
                    </w:rPr>
                    <w:t>一</w:t>
                  </w:r>
                  <w:r>
                    <w:rPr>
                      <w:rFonts w:hint="eastAsia" w:ascii="楷体_GB2312" w:hAnsi="楷体_GB2312" w:eastAsia="楷体_GB2312" w:cs="楷体_GB2312"/>
                      <w:color w:val="000000" w:themeColor="text1"/>
                      <w:kern w:val="0"/>
                      <w:sz w:val="44"/>
                      <w:szCs w:val="44"/>
                    </w:rPr>
                    <w:t>月</w:t>
                  </w:r>
                </w:p>
              </w:txbxContent>
            </v:textbox>
          </v:shape>
        </w:pict>
      </w:r>
      <w:r>
        <w:pict>
          <v:shape id="椭圆 8" o:spid="_x0000_s1055"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path/>
            <v:fill on="t" focussize="0,0"/>
            <v:stroke on="f" weight="1pt" joinstyle="miter"/>
            <v:imagedata o:title=""/>
            <o:lock v:ext="edit"/>
            <v:textbox>
              <w:txbxContent>
                <w:p>
                  <w:pPr>
                    <w:jc w:val="center"/>
                  </w:pPr>
                </w:p>
              </w:txbxContent>
            </v:textbox>
          </v:shape>
        </w:pict>
      </w:r>
      <w:r>
        <w:pict>
          <v:rect id="矩形 14" o:spid="_x0000_s1054" o:spt="1" style="position:absolute;left:0pt;margin-left:33.6pt;margin-top:256.75pt;height:69.6pt;width:160.65pt;z-index:25167872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53" o:spt="3" type="#_x0000_t3" style="position:absolute;left:0pt;margin-left:62.2pt;margin-top:242.75pt;height:103.45pt;width:103.45pt;z-index:25167769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path/>
            <v:fill on="t" focussize="0,0"/>
            <v:stroke on="f" weight="1pt" joinstyle="miter"/>
            <v:imagedata o:title=""/>
            <o:lock v:ext="edit"/>
            <v:textbox>
              <w:txbxContent>
                <w:p>
                  <w:pPr>
                    <w:jc w:val="center"/>
                  </w:pPr>
                </w:p>
              </w:txbxContent>
            </v:textbox>
          </v:shape>
        </w:pict>
      </w:r>
      <w:r>
        <w:pict>
          <v:group id="_x0000_s1050" o:spid="_x0000_s1050" o:spt="203" style="position:absolute;left:0pt;margin-left:1.25pt;margin-top:821.7pt;height:21.45pt;width:595.25pt;z-index:251665408;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v:rect id="矩形 6" o:spid="_x0000_s1052"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51"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group id="_x0000_s1047" o:spid="_x0000_s1047" o:spt="203" style="position:absolute;left:0pt;margin-left:-2.5pt;margin-top:-3.35pt;height:69.6pt;width:600.25pt;z-index:-251636736;mso-width-relative:page;mso-height-relative:page;" coordorigin="13622,-66719" coordsize="12005,1392046"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49"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48" o:spid="_x0000_s1048" o:spt="202" type="#_x0000_t202" style="position:absolute;left:17229;top:-66719;height:1392046;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46"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kern w:val="0"/>
          <w:sz w:val="44"/>
          <w:szCs w:val="44"/>
        </w:rPr>
      </w:pPr>
      <w:r>
        <w:rPr>
          <w:rFonts w:hint="eastAsia" w:ascii="楷体_GB2312" w:hAnsi="楷体_GB2312" w:eastAsia="楷体_GB2312" w:cs="楷体_GB2312"/>
          <w:kern w:val="0"/>
          <w:sz w:val="44"/>
          <w:szCs w:val="44"/>
        </w:rPr>
        <w:t>石家庄市鹿泉区教育局</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二〇二〇年十</w:t>
      </w:r>
      <w:r>
        <w:rPr>
          <w:rFonts w:hint="eastAsia" w:ascii="楷体_GB2312" w:hAnsi="楷体_GB2312" w:eastAsia="楷体_GB2312" w:cs="楷体_GB2312"/>
          <w:color w:val="000000" w:themeColor="text1"/>
          <w:kern w:val="0"/>
          <w:sz w:val="44"/>
          <w:szCs w:val="44"/>
          <w:lang w:eastAsia="zh-CN"/>
        </w:rPr>
        <w:t>一</w:t>
      </w:r>
      <w:bookmarkStart w:id="0" w:name="_GoBack"/>
      <w:bookmarkEnd w:id="0"/>
      <w:r>
        <w:rPr>
          <w:rFonts w:hint="eastAsia" w:ascii="楷体_GB2312" w:hAnsi="楷体_GB2312" w:eastAsia="楷体_GB2312" w:cs="楷体_GB2312"/>
          <w:color w:val="000000" w:themeColor="text1"/>
          <w:kern w:val="0"/>
          <w:sz w:val="44"/>
          <w:szCs w:val="44"/>
        </w:rPr>
        <w:t>月</w:t>
      </w: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_x0000_s1045" o:spid="_x0000_s1045" o:spt="202" type="#_x0000_t202" style="position:absolute;left:0pt;margin-left:-85.7pt;margin-top:80.7pt;height:263.1pt;width:613.65pt;z-index:251754496;v-text-anchor:middle;mso-width-relative:page;mso-height-relative:page;" fillcolor="#FFD966" filled="t" stroked="t" coordsize="21600,21600" o:gfxdata="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n1Xrb2gAAAA0BAAAPAAAAAAAAAAEAIAAAACIAAABkcnMvZG93bnJl&#10;di54bWxQSwECFAAUAAAACACHTuJAbIoM920CAADfBAAADgAAAAAAAAABACAAAAApAQAAZHJzL2Uy&#10;b0RvYy54bWxQSwUGAAAAAAYABgBZAQAACAYAAAAA&#10;">
            <v:path/>
            <v:fill type="pattern" on="t" color2="#FFFFFF [3212]" o:title="image2" focussize="0,0" r:id="rId28"/>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keepNext/>
        <w:keepLines/>
        <w:spacing w:line="580" w:lineRule="exact"/>
        <w:ind w:firstLine="640" w:firstLineChars="200"/>
        <w:jc w:val="left"/>
        <w:outlineLvl w:val="0"/>
        <w:rPr>
          <w:rFonts w:ascii="仿宋" w:hAnsi="仿宋" w:eastAsia="仿宋" w:cs="仿宋"/>
          <w:kern w:val="0"/>
          <w:sz w:val="32"/>
          <w:szCs w:val="32"/>
        </w:rPr>
      </w:pPr>
      <w:r>
        <w:rPr>
          <w:rFonts w:hint="eastAsia" w:ascii="仿宋" w:hAnsi="仿宋" w:eastAsia="仿宋" w:cs="仿宋"/>
          <w:kern w:val="0"/>
          <w:sz w:val="32"/>
          <w:szCs w:val="32"/>
        </w:rPr>
        <w:t>1、贯彻执行上级有关教育工作的法律、法规、方针和政策，制定具体实施办法和细则。</w:t>
      </w:r>
    </w:p>
    <w:p>
      <w:pPr>
        <w:keepNext/>
        <w:keepLines/>
        <w:spacing w:line="580" w:lineRule="exact"/>
        <w:ind w:firstLine="640" w:firstLineChars="200"/>
        <w:jc w:val="left"/>
        <w:outlineLvl w:val="0"/>
        <w:rPr>
          <w:rFonts w:ascii="仿宋" w:hAnsi="仿宋" w:eastAsia="仿宋" w:cs="仿宋"/>
          <w:kern w:val="0"/>
          <w:sz w:val="32"/>
          <w:szCs w:val="32"/>
        </w:rPr>
      </w:pPr>
      <w:r>
        <w:rPr>
          <w:rFonts w:hint="eastAsia" w:ascii="仿宋" w:hAnsi="仿宋" w:eastAsia="仿宋" w:cs="仿宋"/>
          <w:kern w:val="0"/>
          <w:sz w:val="32"/>
          <w:szCs w:val="32"/>
        </w:rPr>
        <w:t>2、按照教育发展要求和我区经济社会发展总体规划，制定全区教育事业发展规划、年度计划，并组织实施。</w:t>
      </w:r>
    </w:p>
    <w:p>
      <w:pPr>
        <w:keepNext/>
        <w:keepLines/>
        <w:spacing w:line="580" w:lineRule="exact"/>
        <w:ind w:firstLine="640" w:firstLineChars="200"/>
        <w:jc w:val="left"/>
        <w:outlineLvl w:val="0"/>
        <w:rPr>
          <w:rFonts w:ascii="仿宋" w:hAnsi="仿宋" w:eastAsia="仿宋" w:cs="仿宋"/>
          <w:kern w:val="0"/>
          <w:sz w:val="32"/>
          <w:szCs w:val="32"/>
        </w:rPr>
      </w:pPr>
      <w:r>
        <w:rPr>
          <w:rFonts w:hint="eastAsia" w:ascii="仿宋" w:hAnsi="仿宋" w:eastAsia="仿宋" w:cs="仿宋"/>
          <w:kern w:val="0"/>
          <w:sz w:val="32"/>
          <w:szCs w:val="32"/>
        </w:rPr>
        <w:t>3、负责推进义务教育均衡发展和促进教育公平，综合管理全区基础教育、职业技术教育、成人教育及幼儿教育、特殊教育等工作；审核管理权限内的学校的设置、更名和撤销并按程序报批负责教育督导与评估；负责全区语言文字工作。</w:t>
      </w:r>
    </w:p>
    <w:p>
      <w:pPr>
        <w:keepNext/>
        <w:keepLines/>
        <w:spacing w:line="580" w:lineRule="exact"/>
        <w:ind w:firstLine="640" w:firstLineChars="200"/>
        <w:jc w:val="left"/>
        <w:outlineLvl w:val="0"/>
        <w:rPr>
          <w:rFonts w:ascii="仿宋" w:hAnsi="仿宋" w:eastAsia="仿宋" w:cs="仿宋"/>
          <w:kern w:val="0"/>
          <w:sz w:val="32"/>
          <w:szCs w:val="32"/>
        </w:rPr>
      </w:pPr>
      <w:r>
        <w:rPr>
          <w:rFonts w:hint="eastAsia" w:ascii="仿宋" w:hAnsi="仿宋" w:eastAsia="仿宋" w:cs="仿宋"/>
          <w:kern w:val="0"/>
          <w:sz w:val="32"/>
          <w:szCs w:val="32"/>
        </w:rPr>
        <w:t>4、统筹规划、协调指导全区办学体制和学校内部管理体制改革，逐步建立与社会主义市场经济相适应的教育体制与运行机制。</w:t>
      </w:r>
    </w:p>
    <w:p>
      <w:pPr>
        <w:keepNext/>
        <w:keepLines/>
        <w:spacing w:line="580" w:lineRule="exact"/>
        <w:ind w:firstLine="640" w:firstLineChars="200"/>
        <w:jc w:val="left"/>
        <w:outlineLvl w:val="0"/>
        <w:rPr>
          <w:rFonts w:ascii="仿宋" w:hAnsi="仿宋" w:eastAsia="仿宋" w:cs="仿宋"/>
          <w:kern w:val="0"/>
          <w:sz w:val="32"/>
          <w:szCs w:val="32"/>
        </w:rPr>
      </w:pPr>
      <w:r>
        <w:rPr>
          <w:rFonts w:hint="eastAsia" w:ascii="仿宋" w:hAnsi="仿宋" w:eastAsia="仿宋" w:cs="仿宋"/>
          <w:kern w:val="0"/>
          <w:sz w:val="32"/>
          <w:szCs w:val="32"/>
        </w:rPr>
        <w:t>5、加强教育行政干部队伍建设；积极开展各类继续教育工作；负责管理权限内，教师专业技术职称评聘工作。</w:t>
      </w:r>
    </w:p>
    <w:p>
      <w:pPr>
        <w:keepNext/>
        <w:keepLines/>
        <w:spacing w:line="580" w:lineRule="exact"/>
        <w:ind w:firstLine="640" w:firstLineChars="200"/>
        <w:jc w:val="left"/>
        <w:outlineLvl w:val="0"/>
        <w:rPr>
          <w:rFonts w:ascii="仿宋" w:hAnsi="仿宋" w:eastAsia="仿宋" w:cs="仿宋"/>
          <w:kern w:val="0"/>
          <w:sz w:val="32"/>
          <w:szCs w:val="32"/>
        </w:rPr>
      </w:pPr>
      <w:r>
        <w:rPr>
          <w:rFonts w:hint="eastAsia" w:ascii="仿宋" w:hAnsi="仿宋" w:eastAsia="仿宋" w:cs="仿宋"/>
          <w:kern w:val="0"/>
          <w:sz w:val="32"/>
          <w:szCs w:val="32"/>
        </w:rPr>
        <w:t>6、统筹规划使用教育经费，加强审计，提高教育经费的使用效益，改善全区办学条件。做好校舍建设的规划实施，合理调整农村中小学布局。组织指导教学设备的购置、使用和管理。</w:t>
      </w:r>
    </w:p>
    <w:p>
      <w:pPr>
        <w:keepNext/>
        <w:keepLines/>
        <w:spacing w:line="580" w:lineRule="exact"/>
        <w:ind w:firstLine="640" w:firstLineChars="200"/>
        <w:jc w:val="left"/>
        <w:outlineLvl w:val="0"/>
        <w:rPr>
          <w:rFonts w:ascii="仿宋" w:hAnsi="仿宋" w:eastAsia="仿宋" w:cs="仿宋"/>
          <w:kern w:val="0"/>
          <w:sz w:val="32"/>
          <w:szCs w:val="32"/>
        </w:rPr>
      </w:pPr>
      <w:r>
        <w:rPr>
          <w:rFonts w:hint="eastAsia" w:ascii="仿宋" w:hAnsi="仿宋" w:eastAsia="仿宋" w:cs="仿宋"/>
          <w:kern w:val="0"/>
          <w:sz w:val="32"/>
          <w:szCs w:val="32"/>
        </w:rPr>
        <w:t>7、指导各级各类学校的德育、智育、体育、美育、劳动教育、艺术教育、国防教育和法制教育工作；指导学校开展教育教学研究；统筹规划、协调指导远程教育和教育信息化工作。</w:t>
      </w:r>
    </w:p>
    <w:p>
      <w:pPr>
        <w:keepNext/>
        <w:keepLines/>
        <w:spacing w:line="580" w:lineRule="exact"/>
        <w:ind w:firstLine="640" w:firstLineChars="200"/>
        <w:jc w:val="left"/>
        <w:outlineLvl w:val="0"/>
        <w:rPr>
          <w:rFonts w:ascii="仿宋" w:hAnsi="仿宋" w:eastAsia="仿宋" w:cs="仿宋"/>
          <w:kern w:val="0"/>
          <w:sz w:val="32"/>
          <w:szCs w:val="32"/>
        </w:rPr>
      </w:pPr>
      <w:r>
        <w:rPr>
          <w:rFonts w:hint="eastAsia" w:ascii="仿宋" w:hAnsi="仿宋" w:eastAsia="仿宋" w:cs="仿宋"/>
          <w:kern w:val="0"/>
          <w:sz w:val="32"/>
          <w:szCs w:val="32"/>
        </w:rPr>
        <w:t>8、负责教师资格认定相关工作。</w:t>
      </w:r>
    </w:p>
    <w:p>
      <w:pPr>
        <w:keepNext/>
        <w:keepLines/>
        <w:spacing w:line="580" w:lineRule="exact"/>
        <w:ind w:firstLine="640" w:firstLineChars="200"/>
        <w:jc w:val="left"/>
        <w:outlineLvl w:val="0"/>
        <w:rPr>
          <w:rFonts w:ascii="仿宋" w:hAnsi="仿宋" w:eastAsia="仿宋" w:cs="仿宋"/>
          <w:kern w:val="0"/>
          <w:sz w:val="32"/>
          <w:szCs w:val="32"/>
        </w:rPr>
      </w:pPr>
      <w:r>
        <w:rPr>
          <w:rFonts w:hint="eastAsia" w:ascii="仿宋" w:hAnsi="仿宋" w:eastAsia="仿宋" w:cs="仿宋"/>
          <w:kern w:val="0"/>
          <w:sz w:val="32"/>
          <w:szCs w:val="32"/>
        </w:rPr>
        <w:t>9、组织全</w:t>
      </w:r>
      <w:r>
        <w:rPr>
          <w:rFonts w:ascii="仿宋" w:hAnsi="仿宋" w:eastAsia="仿宋" w:cs="仿宋"/>
          <w:kern w:val="0"/>
          <w:sz w:val="32"/>
          <w:szCs w:val="32"/>
        </w:rPr>
        <w:pict>
          <v:group id="组合 15" o:spid="_x0000_s1042" o:spt="203" style="position:absolute;left:0pt;margin-left:-80.8pt;margin-top:39.5pt;height:46.7pt;width:245.25pt;mso-position-vertical-relative:page;z-index:437188608;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">
            <o:lock v:ext="edit"/>
            <v:rect id="矩形 13" o:spid="_x0000_s1044" o:spt="1" style="position:absolute;left:4551;top:52615;height:1175;width:8546;v-text-anchor:middle;" fillcolor="#B8B8B8" filled="t" stroked="f" coordsize="21600,21600" o:gfxdata="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OF3x7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43" o:spid="_x0000_s1043" o:spt="1" style="position:absolute;left:4577;top:52890;height:1123;width:8324;v-text-anchor:middle;" fillcolor="#AD002D" filled="t" stroked="t" coordsize="21600,21600" o:gfxdata="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Mg4574A&#10;AADbAAAADwAAAAAAAAABACAAAAAiAAAAZHJzL2Rvd25yZXYueG1sUEsBAhQAFAAAAAgAh07iQDMv&#10;BZ47AAAAOQAAABAAAAAAAAAAAQAgAAAADQEAAGRycy9zaGFwZXhtbC54bWxQSwUGAAAAAAYABgBb&#10;AQAAtwMAAAAA&#1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仿宋" w:hAnsi="仿宋" w:eastAsia="仿宋" w:cs="仿宋"/>
          <w:kern w:val="0"/>
          <w:sz w:val="32"/>
          <w:szCs w:val="32"/>
        </w:rPr>
        <w:t>区各级各类学校的招生报名、考试和自考、成考工作。</w:t>
      </w:r>
    </w:p>
    <w:p>
      <w:pPr>
        <w:keepNext/>
        <w:keepLines/>
        <w:spacing w:line="580" w:lineRule="exact"/>
        <w:ind w:firstLine="640" w:firstLineChars="200"/>
        <w:jc w:val="left"/>
        <w:outlineLvl w:val="0"/>
        <w:rPr>
          <w:rFonts w:ascii="仿宋" w:hAnsi="仿宋" w:eastAsia="仿宋" w:cs="仿宋"/>
          <w:kern w:val="0"/>
          <w:sz w:val="32"/>
          <w:szCs w:val="32"/>
        </w:rPr>
      </w:pPr>
      <w:r>
        <w:rPr>
          <w:rFonts w:hint="eastAsia" w:ascii="仿宋" w:hAnsi="仿宋" w:eastAsia="仿宋" w:cs="仿宋"/>
          <w:kern w:val="0"/>
          <w:sz w:val="32"/>
          <w:szCs w:val="32"/>
        </w:rPr>
        <w:t>10、负责全区教育系统安全和维护稳定工作；会同有关部门开展学校安全、学校及周边环境治理、预防青少年犯罪工作；指导、协调教育系统重大安全事故的处理。</w:t>
      </w:r>
    </w:p>
    <w:p>
      <w:pPr>
        <w:keepNext/>
        <w:keepLines/>
        <w:spacing w:line="580" w:lineRule="exact"/>
        <w:ind w:firstLine="640" w:firstLineChars="200"/>
        <w:jc w:val="left"/>
        <w:outlineLvl w:val="0"/>
        <w:rPr>
          <w:rFonts w:ascii="仿宋" w:hAnsi="仿宋" w:eastAsia="仿宋" w:cs="仿宋"/>
          <w:kern w:val="0"/>
          <w:sz w:val="32"/>
          <w:szCs w:val="32"/>
        </w:rPr>
      </w:pPr>
      <w:r>
        <w:rPr>
          <w:rFonts w:hint="eastAsia" w:ascii="仿宋" w:hAnsi="仿宋" w:eastAsia="仿宋" w:cs="仿宋"/>
          <w:kern w:val="0"/>
          <w:sz w:val="32"/>
          <w:szCs w:val="32"/>
        </w:rPr>
        <w:t>11、加强对社会力量办学指导和监督。负责个人或其他组织举办的中等以下（中专类除外）学校的审批和中等学校的报审工作。</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仿宋" w:hAnsi="仿宋" w:eastAsia="仿宋" w:cs="仿宋"/>
          <w:kern w:val="0"/>
          <w:sz w:val="32"/>
          <w:szCs w:val="32"/>
        </w:rPr>
        <w:t>12、承办区政府交办的其他工作</w:t>
      </w:r>
      <w:r>
        <w:rPr>
          <w:rFonts w:hint="eastAsia" w:ascii="黑体" w:hAnsi="Calibri" w:eastAsia="黑体" w:cs="黑体"/>
          <w:kern w:val="0"/>
          <w:sz w:val="32"/>
          <w:szCs w:val="32"/>
        </w:rPr>
        <w:t>。</w:t>
      </w:r>
    </w:p>
    <w:p>
      <w:pPr>
        <w:keepNext/>
        <w:keepLines/>
        <w:spacing w:line="580" w:lineRule="exact"/>
        <w:ind w:firstLine="640" w:firstLineChars="200"/>
        <w:jc w:val="left"/>
        <w:outlineLvl w:val="0"/>
        <w:rPr>
          <w:rFonts w:ascii="黑体" w:hAnsi="Calibri" w:eastAsia="黑体" w:cs="黑体"/>
          <w:kern w:val="0"/>
          <w:sz w:val="32"/>
          <w:szCs w:val="32"/>
        </w:rPr>
      </w:pP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个，具体情况如下：</w:t>
      </w:r>
    </w:p>
    <w:tbl>
      <w:tblPr>
        <w:tblStyle w:val="9"/>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石家庄市鹿泉区教育局（本级)</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_x0000_s1041" o:spid="_x0000_s1041" o:spt="202" type="#_x0000_t202" style="position:absolute;left:0pt;margin-left:-85.7pt;margin-top:238.15pt;height:173.25pt;width:613.65pt;z-index:2518528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40" o:spid="_x0000_s1040" o:spt="202" type="#_x0000_t202" style="position:absolute;left:0pt;margin-left:-90.8pt;margin-top:4.35pt;height:263.1pt;width:613.65pt;z-index:437184512;v-text-anchor:middle;mso-width-relative:page;mso-height-relative:page;" fillcolor="#FFD966" filled="t" stroked="t" coordsize="21600,21600" o:gfxdata="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lgEw63AAAAAsBAAAPAAAAAAAAAAEAIAAAACIAAABkcnMvZG93bnJldi54bWxQSwECFAAUAAAA&#10;CACHTuJArxU8kFwCAAC6BAAADgAAAAAAAAABACAAAAArAQAAZHJzL2Uyb0RvYy54bWxQSwUGAAAA&#10;AAYABgBZAQAA+QUAAAAA&#10;">
            <v:path/>
            <v:fill type="pattern" on="t" color2="#FFFFFF [3212]" o:title="image2" focussize="0,0" r:id="rId28"/>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本部门2019年度收支总计（含结转和结余）1482.47万元。与2018年度决算相比，收支各增加57.83万元，增长4.06%，主要原因是新录用公务员4名和自然晋级需要。</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本部门2019年度本年收入合计1431.44万元，其中：财政拨款收入1401.56万元，占97.91%；事业收入29.88万元，占2.09%。如图所示：</w: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420" w:firstLineChars="200"/>
        <w:outlineLvl w:val="1"/>
        <w:rPr>
          <w:rFonts w:ascii="黑体" w:hAnsi="Calibri" w:eastAsia="黑体" w:cs="Times New Roman"/>
          <w:b/>
          <w:bCs/>
          <w:sz w:val="32"/>
          <w:szCs w:val="32"/>
        </w:rPr>
      </w:pPr>
      <w:r>
        <w:rPr>
          <w:rFonts w:ascii="Times New Roman" w:hAnsi="Times New Roman" w:eastAsia="宋体" w:cs="Times New Roman"/>
          <w:szCs w:val="24"/>
        </w:rPr>
        <w:drawing>
          <wp:anchor distT="0" distB="0" distL="114300" distR="114300" simplePos="0" relativeHeight="437192704" behindDoc="0" locked="0" layoutInCell="1" allowOverlap="1">
            <wp:simplePos x="0" y="0"/>
            <wp:positionH relativeFrom="column">
              <wp:posOffset>271780</wp:posOffset>
            </wp:positionH>
            <wp:positionV relativeFrom="paragraph">
              <wp:posOffset>-1815465</wp:posOffset>
            </wp:positionV>
            <wp:extent cx="4841875" cy="2086610"/>
            <wp:effectExtent l="5080" t="4445" r="10795" b="23495"/>
            <wp:wrapNone/>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r>
        <w:rPr>
          <w:sz w:val="32"/>
        </w:rPr>
        <w:pict>
          <v:shape id="文本框 32" o:spid="_x0000_s1039" o:spt="202" type="#_x0000_t202" style="position:absolute;left:0pt;margin-left:117.35pt;margin-top:24.5pt;height:38.6pt;width:217.35pt;z-index:251922432;mso-width-relative:page;mso-height-relative:page;" stroked="f" coordsize="21600,21600" o:gfxdata="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Cn703a1QAAAAoBAAAPAAAAAAAAAAEAIAAA&#10;ACIAAABkcnMvZG93bnJldi54bWxQSwECFAAUAAAACACHTuJAx7K1jUgCAABeBAAADgAAAAAAAAAB&#10;ACAAAAAkAQAAZHJzL2Uyb0RvYy54bWxQSwUGAAAAAAYABgBZAQAA3gUAAAAA&#10;">
            <v:path/>
            <v:fill focussize="0,0"/>
            <v:stroke on="f" weight="0.5pt" joinstyle="miter"/>
            <v:imagedata o:title=""/>
            <o:lock v:ext="edit"/>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图1：收入构成情况</w:t>
                  </w:r>
                </w:p>
                <w:p>
                  <w:pPr>
                    <w:spacing w:after="160" w:line="480" w:lineRule="auto"/>
                    <w:rPr>
                      <w:rFonts w:ascii="Times New Roman" w:hAnsi="Times New Roman" w:eastAsia="宋体" w:cs="Times New Roman"/>
                      <w:sz w:val="20"/>
                    </w:rPr>
                  </w:pPr>
                </w:p>
              </w:txbxContent>
            </v:textbox>
          </v:shape>
        </w:pict>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本部门2019年度本年支出合计1438.24万元，其中：基本支出1348.48万元，占93.76%；项目支出89.76万元，占6.24%。如图所示：</w: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437193728" behindDoc="0" locked="0" layoutInCell="1" allowOverlap="1">
            <wp:simplePos x="0" y="0"/>
            <wp:positionH relativeFrom="column">
              <wp:posOffset>991870</wp:posOffset>
            </wp:positionH>
            <wp:positionV relativeFrom="paragraph">
              <wp:posOffset>232410</wp:posOffset>
            </wp:positionV>
            <wp:extent cx="3480435" cy="2143760"/>
            <wp:effectExtent l="4445" t="4445" r="20320" b="23495"/>
            <wp:wrapNone/>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p>
    <w:p>
      <w:pPr>
        <w:adjustRightInd w:val="0"/>
        <w:snapToGrid w:val="0"/>
        <w:spacing w:after="160" w:line="560" w:lineRule="exact"/>
        <w:jc w:val="center"/>
        <w:rPr>
          <w:rFonts w:ascii="黑体" w:hAnsi="Calibri" w:eastAsia="黑体" w:cs="Times New Roman"/>
          <w:sz w:val="32"/>
          <w:szCs w:val="32"/>
        </w:rPr>
      </w:pPr>
      <w:r>
        <w:rPr>
          <w:rFonts w:hint="eastAsia" w:ascii="仿宋_GB2312" w:hAnsi="Times New Roman" w:eastAsia="仿宋_GB2312" w:cs="DengXian-Regular"/>
          <w:sz w:val="28"/>
          <w:szCs w:val="28"/>
        </w:rPr>
        <w:t>图2：支出构成情况</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1401.56万元,比2018年度增加28.61万元，增长2.08%，主要是新录用公务员4名和自然晋级需要；本年支出1409.98万元，增加90.66万元，增长6.87%，主要是新录用公务员4名和自然晋级需要。</w:t>
      </w: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1401.56万元，完成年初预算的102.83%（如图4）,比年初预算增加38.54万元，决算数大于预算数主要原因是新录用公务员4名和自然晋级需要；本年支出万元，完成年初预算的103.45%,比年初预算增加46.96万元1409.98，决算数大于预算数主要原因是主要是新录用公务员4名和自然晋级需要。</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年度财政拨款支出1409.98万元，主要用于以下方面：教育（类）支出1380.05万元，占97.88%；社会保障和就业（类）支出 29.93万元，占2.12%；</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drawing>
          <wp:anchor distT="0" distB="0" distL="114300" distR="114300" simplePos="0" relativeHeight="437194752" behindDoc="0" locked="0" layoutInCell="1" allowOverlap="1">
            <wp:simplePos x="0" y="0"/>
            <wp:positionH relativeFrom="column">
              <wp:posOffset>509270</wp:posOffset>
            </wp:positionH>
            <wp:positionV relativeFrom="paragraph">
              <wp:posOffset>83185</wp:posOffset>
            </wp:positionV>
            <wp:extent cx="4841875" cy="2038350"/>
            <wp:effectExtent l="4445" t="4445" r="11430" b="14605"/>
            <wp:wrapNone/>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图3：财政拨款支出决算结构（按功能分类）</w:t>
      </w: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1348.48万元，其中：人员经费1213.7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134.78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本部门2019年度“三公”经费支出共计0.65万元，完成预算的11.11%,较预算减少5.2万元，降低88.88%，主要是厉行节约；较2018年度减少1.66万元，降低71.86%，主要是厉行节约。具体情况如下：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（二）公务用车购置及运行维护费支出0.65万元。</w:t>
      </w:r>
      <w:r>
        <w:rPr>
          <w:rFonts w:hint="eastAsia" w:ascii="仿宋_GB2312" w:hAnsi="Times New Roman" w:eastAsia="仿宋_GB2312" w:cs="DengXian-Regular"/>
          <w:sz w:val="32"/>
          <w:szCs w:val="32"/>
        </w:rPr>
        <w:t>本部门2019年度公务用车购置及运行维护费较预算减少3.4万元，降低83.95%,主要是厉行节约；较上年减少1.66万元，降低71.86%,主要是厉行节约。</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本部门2019年度单位公务用车保有量1辆。公车运行维护费支出较预算减少3.4万元，降低83.95%,主要是厉行节约；较上年减少1.66万元，降低71.86%，主要是厉行节约。</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w:t>
      </w:r>
      <w:r>
        <w:rPr>
          <w:rFonts w:hint="eastAsia" w:ascii="仿宋_GB2312" w:eastAsia="仿宋_GB2312" w:cs="DengXian-Regular"/>
          <w:sz w:val="32"/>
          <w:szCs w:val="32"/>
        </w:rPr>
        <w:t>，本单位组织对2019年度一般公共预算项目支出全面开展绩效自评，涉及教育常规检测及督导评估、高考考试费等6个项目，涉及资金44.65万元。从评价情况看，评价结果为优秀的项目有5个，良好的项目有1个</w:t>
      </w:r>
      <w:r>
        <w:rPr>
          <w:rFonts w:hint="eastAsia" w:ascii="仿宋_GB2312" w:hAnsi="仿宋_GB2312" w:eastAsia="仿宋_GB2312" w:cs="仿宋_GB2312"/>
          <w:sz w:val="32"/>
          <w:szCs w:val="32"/>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eastAsia="仿宋_GB2312" w:cs="DengXian-Regular"/>
          <w:sz w:val="32"/>
          <w:szCs w:val="32"/>
        </w:rPr>
        <w:t>教育常规检测</w:t>
      </w:r>
      <w:r>
        <w:rPr>
          <w:rFonts w:hint="eastAsia" w:ascii="仿宋_GB2312" w:hAnsi="仿宋_GB2312" w:eastAsia="仿宋_GB2312" w:cs="仿宋_GB2312"/>
          <w:sz w:val="32"/>
          <w:szCs w:val="32"/>
        </w:rPr>
        <w:t>项目及</w:t>
      </w:r>
      <w:r>
        <w:rPr>
          <w:rFonts w:hint="eastAsia" w:ascii="仿宋_GB2312" w:eastAsia="仿宋_GB2312" w:cs="DengXian-Regular"/>
          <w:sz w:val="32"/>
          <w:szCs w:val="32"/>
        </w:rPr>
        <w:t>督导评估、高考考试费</w:t>
      </w:r>
      <w:r>
        <w:rPr>
          <w:rFonts w:hint="eastAsia" w:ascii="仿宋_GB2312" w:hAnsi="仿宋_GB2312" w:eastAsia="仿宋_GB2312" w:cs="仿宋_GB2312"/>
          <w:sz w:val="32"/>
          <w:szCs w:val="32"/>
        </w:rPr>
        <w:t>项目等6个项目绩效自评结果。</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项目自评综述：根据年初设定的绩效目标，项目绩效自评得分为95分。全年预算数为51万元，执行数为44.65万元，完成预算的87.55%。项目绩效目标完成情况：一是适当安排了完成的时间和进度；二是积极维护了教育活动的正常运行。下一步改进措施：一是进一步加强项目绩效的考核，努力做到量化细化；二是进一步统筹规划，在支出的过程中均衡收支，量入为出。</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项目绩效自评综述：</w:t>
      </w:r>
      <w:r>
        <w:rPr>
          <w:rFonts w:hint="eastAsia" w:ascii="仿宋_GB2312" w:eastAsia="仿宋_GB2312" w:cs="DengXian-Regular"/>
          <w:sz w:val="32"/>
          <w:szCs w:val="32"/>
        </w:rPr>
        <w:t>本单位认真开展了预算绩效管理改革开展情况自查，对部门全面规范绩效预算编制、严格预算执行管理、推进绩效评价工作、推进预决算信息公开等方面进行了自评，考核结果为优秀</w:t>
      </w:r>
      <w:r>
        <w:rPr>
          <w:rFonts w:hint="eastAsia" w:ascii="仿宋_GB2312" w:hAnsi="仿宋_GB2312" w:eastAsia="仿宋_GB2312" w:cs="仿宋_GB2312"/>
          <w:sz w:val="32"/>
          <w:szCs w:val="32"/>
        </w:rPr>
        <w:t>。</w:t>
      </w:r>
    </w:p>
    <w:p>
      <w:pPr>
        <w:keepNext/>
        <w:keepLines/>
        <w:snapToGrid w:val="0"/>
        <w:spacing w:line="580" w:lineRule="exact"/>
        <w:ind w:firstLine="645"/>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3.财政评价项目绩效评价结果。</w:t>
      </w:r>
    </w:p>
    <w:p>
      <w:pPr>
        <w:keepNext/>
        <w:keepLines/>
        <w:snapToGrid w:val="0"/>
        <w:spacing w:line="580" w:lineRule="exact"/>
        <w:ind w:firstLine="645"/>
        <w:outlineLvl w:val="1"/>
        <w:rPr>
          <w:rFonts w:ascii="仿宋_GB2312" w:hAnsi="仿宋_GB2312" w:eastAsia="仿宋_GB2312" w:cs="仿宋_GB2312"/>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本部门2019年度机关运行经费支出134.77万元，比2018年度增加21万元，增长18.46%。主要原因公用支出增加。</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本部门2019年度政府采购支出总额0万元。</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截至2019年12月31日，本部门共有车辆1辆，比上年减少1辆，主要是报废1辆。其中，其他用车1辆，其他用车主要是事业单位的业务用车；</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楷体" w:hAnsi="楷体" w:eastAsia="楷体" w:cs="楷体"/>
          <w:sz w:val="32"/>
          <w:szCs w:val="32"/>
        </w:rPr>
        <w:t>无政府性基金财政拨款收入支出情况、无国有资产经营预算财政拨款情况、无政府采购情况</w:t>
      </w:r>
      <w:r>
        <w:rPr>
          <w:rFonts w:hint="eastAsia" w:ascii="仿宋_GB2312" w:eastAsia="仿宋_GB2312" w:cs="DengXian-Regular"/>
          <w:sz w:val="32"/>
          <w:szCs w:val="32"/>
        </w:rPr>
        <w:t>，故</w:t>
      </w:r>
      <w:r>
        <w:rPr>
          <w:rFonts w:hint="eastAsia" w:ascii="黑体" w:hAnsi="宋体" w:eastAsia="仿宋" w:cs="黑体"/>
          <w:color w:val="000000"/>
          <w:kern w:val="0"/>
          <w:sz w:val="32"/>
          <w:szCs w:val="36"/>
        </w:rPr>
        <w:t>政府性基金预算财政拨款</w:t>
      </w:r>
      <w:r>
        <w:rPr>
          <w:rFonts w:eastAsia="仿宋"/>
          <w:sz w:val="32"/>
        </w:rPr>
        <w:pict>
          <v:group id="组合 8" o:spid="_x0000_s1036" o:spt="203" style="position:absolute;left:0pt;margin-left:-80.9pt;margin-top:-81.1pt;height:41.2pt;width:243.2pt;mso-position-vertical-relative:page;z-index:437189632;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KBCptspAwAAFwkAAA4AAAAA&#10;AAAAAQAgAAAAKwEAAGRycy9lMm9Eb2MueG1sUEsFBgAAAAAGAAYAWQEAAMYGAAAAAA==&#10;">
            <o:lock v:ext="edit"/>
            <v:rect id="矩形 13" o:spid="_x0000_s1038" o:spt="1" style="position:absolute;left:4551;top:52615;height:1175;width:8546;v-text-anchor:middle;" fillcolor="#B8B8B8" filled="t" stroked="f" coordsize="21600,21600" o:gfxdata="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T6SZ7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7" o:spid="_x0000_s1037" o:spt="1" style="position:absolute;left:4577;top:52890;height:1123;width:8324;v-text-anchor:middle;" fillcolor="#AD002D" filled="t" stroked="t" coordsize="21600,21600" o:gfxdata="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fdR74A&#10;AADbAAAADwAAAAAAAAABACAAAAAiAAAAZHJzL2Rvd25yZXYueG1sUEsBAhQAFAAAAAgAh07iQDMv&#10;BZ47AAAAOQAAABAAAAAAAAAAAQAgAAAADQEAAGRycy9zaGFwZXhtbC54bWxQSwUGAAAAAAYABgBb&#10;AQAAtwMAAAAA&#1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仿宋" w:cs="黑体"/>
          <w:color w:val="000000"/>
          <w:kern w:val="0"/>
          <w:sz w:val="32"/>
          <w:szCs w:val="36"/>
        </w:rPr>
        <w:t>收入支出决算表、</w:t>
      </w:r>
      <w:r>
        <w:rPr>
          <w:rFonts w:hint="eastAsia" w:ascii="黑体" w:hAnsi="宋体" w:eastAsia="仿宋" w:cs="黑体"/>
          <w:color w:val="000000"/>
          <w:kern w:val="0"/>
          <w:sz w:val="32"/>
          <w:szCs w:val="40"/>
        </w:rPr>
        <w:t>国有资本经营预算财政拨</w:t>
      </w:r>
      <w:r>
        <w:rPr>
          <w:rFonts w:eastAsia="仿宋"/>
          <w:sz w:val="32"/>
        </w:rPr>
        <w:pict>
          <v:group id="组合 11" o:spid="_x0000_s1033" o:spt="203" style="position:absolute;left:0pt;margin-left:-80.9pt;margin-top:-81.1pt;height:41.2pt;width:243.2pt;mso-position-vertical-relative:page;z-index:437190656;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HJpSytwAAAANAQAADwAAAAAA&#10;AAABACAAAAAiAAAAZHJzL2Rvd25yZXYueG1sUEsBAhQAFAAAAAgAh07iQE6CLVAsAwAAGAkAAA4A&#10;AAAAAAAAAQAgAAAAKwEAAGRycy9lMm9Eb2MueG1sUEsFBgAAAAAGAAYAWQEAAMkGAAAAAA==&#10;">
            <o:lock v:ext="edit"/>
            <v:rect id="矩形 13" o:spid="_x0000_s1035" o:spt="1" style="position:absolute;left:4551;top:52615;height:1175;width:8546;v-text-anchor:middle;" fillcolor="#B8B8B8" filled="t" stroked="f" coordsize="21600,21600" o:gfxdata="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6KEGF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4" o:spid="_x0000_s1034" o:spt="1" style="position:absolute;left:4577;top:52890;height:1123;width:8324;v-text-anchor:middle;" fillcolor="#AD002D" filled="t" stroked="t" coordsize="21600,21600" o:gfxdata="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Iko+OugAAANsA&#10;AAAPAAAAAAAAAAEAIAAAACIAAABkcnMvZG93bnJldi54bWxQSwECFAAUAAAACACHTuJAMy8FnjsA&#10;AAA5AAAAEAAAAAAAAAABACAAAAAJAQAAZHJzL3NoYXBleG1sLnhtbFBLBQYAAAAABgAGAFsBAACz&#10;AwAAAAA=&#1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仿宋" w:cs="黑体"/>
          <w:color w:val="000000"/>
          <w:kern w:val="0"/>
          <w:sz w:val="32"/>
          <w:szCs w:val="40"/>
        </w:rPr>
        <w:t>款支出决算表、政府采购</w:t>
      </w:r>
      <w:r>
        <w:rPr>
          <w:rFonts w:eastAsia="仿宋"/>
          <w:sz w:val="32"/>
        </w:rPr>
        <w:pict>
          <v:group id="组合 14" o:spid="_x0000_s1030" o:spt="203" style="position:absolute;left:0pt;margin-left:-68.9pt;margin-top:-69.1pt;height:41.2pt;width:243.2pt;mso-position-vertical-relative:page;z-index:437191680;mso-width-relative:page;mso-height-relative:page;" coordorigin="4551,52615" coordsize="8546,1398203" o:gfxdata="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CnIIH3AAAAA0BAAAPAAAAAAAA&#10;AAEAIAAAACIAAABkcnMvZG93bnJldi54bWxQSwECFAAUAAAACACHTuJArqztpSsDAAAYCQAADgAA&#10;AAAAAAABACAAAAArAQAAZHJzL2Uyb0RvYy54bWxQSwUGAAAAAAYABgBZAQAAyAYAAAAA&#10;">
            <o:lock v:ext="edit"/>
            <v:rect id="矩形 13" o:spid="_x0000_s1032" o:spt="1" style="position:absolute;left:4551;top:52615;height:1175;width:8546;v-text-anchor:middle;" fillcolor="#B8B8B8" filled="t" stroked="f" coordsize="21600,21600" o:gfxdata="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Gle2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1" o:spid="_x0000_s1031" o:spt="1" style="position:absolute;left:4577;top:52890;height:1123;width:8324;v-text-anchor:middle;" fillcolor="#AD002D" filled="t" stroked="t" coordsize="21600,21600" o:gfxdata="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hAEfm/&#10;AAAA2wAAAA8AAAAAAAAAAQAgAAAAIgAAAGRycy9kb3ducmV2LnhtbFBLAQIUABQAAAAIAIdO4kAz&#10;LwWeOwAAADkAAAAQAAAAAAAAAAEAIAAAAA4BAABkcnMvc2hhcGV4bWwueG1sUEsFBgAAAAAGAAYA&#10;WwEAALgDAAAAAA==&#1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仿宋" w:cs="黑体"/>
          <w:color w:val="000000"/>
          <w:kern w:val="0"/>
          <w:sz w:val="32"/>
          <w:szCs w:val="40"/>
        </w:rPr>
        <w:t>情况表</w:t>
      </w:r>
      <w:r>
        <w:rPr>
          <w:rFonts w:hint="eastAsia" w:ascii="仿宋" w:hAnsi="仿宋" w:eastAsia="仿宋" w:cs="仿宋"/>
          <w:sz w:val="32"/>
          <w:szCs w:val="32"/>
        </w:rPr>
        <w:t>空表</w:t>
      </w:r>
      <w:r>
        <w:rPr>
          <w:rFonts w:hint="eastAsia" w:ascii="仿宋_GB2312" w:eastAsia="仿宋_GB2312" w:cs="DengXian-Regular"/>
          <w:sz w:val="32"/>
          <w:szCs w:val="32"/>
        </w:rPr>
        <w:t>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1" w:type="first"/>
          <w:footerReference r:id="rId23" w:type="first"/>
          <w:headerReference r:id="rId20" w:type="default"/>
          <w:footerReference r:id="rId22"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29" o:spid="_x0000_s1029" o:spt="202" type="#_x0000_t202" style="position:absolute;left:0pt;margin-left:-80.45pt;margin-top:34.8pt;height:263.1pt;width:613.65pt;z-index:437185536;v-text-anchor:middle;mso-width-relative:page;mso-height-relative:page;" fillcolor="#FFD966" filled="t" stroked="t" coordsize="21600,21600" o:gfxdata="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IGAk0LcAAAADAEAAA8AAAAAAAAAAQAgAAAAIgAAAGRycy9kb3ducmV2LnhtbFBLAQIUABQAAAAI&#10;AIdO4kBkP1u/WwIAALoEAAAOAAAAAAAAAAEAIAAAACsBAABkcnMvZTJvRG9jLnhtbFBLBQYAAAAA&#10;BgAGAFkBAAD4BQAAAAA=&#10;">
            <v:path/>
            <v:fill type="pattern" on="t" color2="#FFFFFF [3212]" o:title="image2" focussize="0,0" r:id="rId28"/>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4"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r>
        <w:rPr>
          <w:sz w:val="72"/>
        </w:rPr>
        <w:pict>
          <v:shape id="_x0000_s1028" o:spid="_x0000_s1028" o:spt="202" type="#_x0000_t202" style="position:absolute;left:0pt;margin-left:-82.05pt;margin-top:111.85pt;height:263.1pt;width:613.65pt;z-index:437186560;v-text-anchor:middle;mso-width-relative:page;mso-height-relative:page;" fillcolor="#FFD966" filled="t" stroked="t" coordsize="21600,21600" o:gfxdata="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H3kfEfeAAAADQEAAA8AAAAAAAAAAQAgAAAAIgAAAGRycy9kb3ducmV2LnhtbFBLAQIUABQA&#10;AAAIAIdO4kB7DmJbXAIAALoEAAAOAAAAAAAAAAEAIAAAAC0BAABkcnMvZTJvRG9jLnhtbFBLBQYA&#10;AAAABgAGAFkBAAD7BQAAAAA=&#10;">
            <v:path/>
            <v:fill type="pattern" on="t" color2="#FFFFFF [3212]" o:title="image2" focussize="0,0" r:id="rId28"/>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p>
      <w:pPr>
        <w:tabs>
          <w:tab w:val="left" w:pos="886"/>
        </w:tabs>
        <w:jc w:val="left"/>
      </w:pPr>
    </w:p>
    <w:p>
      <w:pPr>
        <w:jc w:val="left"/>
      </w:pPr>
    </w:p>
    <w:tbl>
      <w:tblPr>
        <w:tblStyle w:val="8"/>
        <w:tblW w:w="9580" w:type="dxa"/>
        <w:jc w:val="center"/>
        <w:tblInd w:w="0" w:type="dxa"/>
        <w:tblLayout w:type="fixed"/>
        <w:tblCellMar>
          <w:top w:w="0" w:type="dxa"/>
          <w:left w:w="0" w:type="dxa"/>
          <w:bottom w:w="0" w:type="dxa"/>
          <w:right w:w="0" w:type="dxa"/>
        </w:tblCellMar>
      </w:tblPr>
      <w:tblGrid>
        <w:gridCol w:w="1008"/>
        <w:gridCol w:w="58"/>
        <w:gridCol w:w="58"/>
        <w:gridCol w:w="210"/>
        <w:gridCol w:w="238"/>
        <w:gridCol w:w="1652"/>
        <w:gridCol w:w="810"/>
        <w:gridCol w:w="900"/>
        <w:gridCol w:w="720"/>
        <w:gridCol w:w="925"/>
        <w:gridCol w:w="1000"/>
        <w:gridCol w:w="1000"/>
        <w:gridCol w:w="1001"/>
      </w:tblGrid>
      <w:tr>
        <w:tblPrEx>
          <w:tblLayout w:type="fixed"/>
          <w:tblCellMar>
            <w:top w:w="0" w:type="dxa"/>
            <w:left w:w="0" w:type="dxa"/>
            <w:bottom w:w="0" w:type="dxa"/>
            <w:right w:w="0" w:type="dxa"/>
          </w:tblCellMar>
        </w:tblPrEx>
        <w:trPr>
          <w:trHeight w:val="670" w:hRule="atLeast"/>
          <w:jc w:val="center"/>
        </w:trPr>
        <w:tc>
          <w:tcPr>
            <w:tcW w:w="9580" w:type="dxa"/>
            <w:gridSpan w:val="13"/>
            <w:tcBorders>
              <w:top w:val="nil"/>
              <w:left w:val="nil"/>
              <w:bottom w:val="nil"/>
              <w:right w:val="nil"/>
            </w:tcBorders>
            <w:shd w:val="clear" w:color="auto" w:fill="auto"/>
            <w:tcMar>
              <w:top w:w="15" w:type="dxa"/>
              <w:left w:w="15" w:type="dxa"/>
              <w:right w:w="15" w:type="dxa"/>
            </w:tcMar>
            <w:vAlign w:val="bottom"/>
          </w:tcPr>
          <w:tbl>
            <w:tblPr>
              <w:tblStyle w:val="8"/>
              <w:tblpPr w:leftFromText="180" w:rightFromText="180" w:vertAnchor="text" w:horzAnchor="page" w:tblpXSpec="center" w:tblpY="31"/>
              <w:tblOverlap w:val="never"/>
              <w:tblW w:w="9517" w:type="dxa"/>
              <w:jc w:val="center"/>
              <w:tblInd w:w="0" w:type="dxa"/>
              <w:tblLayout w:type="fixed"/>
              <w:tblCellMar>
                <w:top w:w="0" w:type="dxa"/>
                <w:left w:w="0" w:type="dxa"/>
                <w:bottom w:w="0" w:type="dxa"/>
                <w:right w:w="0" w:type="dxa"/>
              </w:tblCellMar>
            </w:tblPr>
            <w:tblGrid>
              <w:gridCol w:w="3236"/>
              <w:gridCol w:w="731"/>
              <w:gridCol w:w="691"/>
              <w:gridCol w:w="3474"/>
              <w:gridCol w:w="541"/>
              <w:gridCol w:w="844"/>
            </w:tblGrid>
            <w:tr>
              <w:tblPrEx>
                <w:tblLayout w:type="fixed"/>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Layout w:type="fixed"/>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Layout w:type="fixed"/>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部门：石家庄市鹿泉区教育局（本级）</w:t>
                  </w: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Layout w:type="fixed"/>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1,401.56</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29.88</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1,408.31</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29.93</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1,431.44</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1,438.24</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51.03</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44.23</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5"/>
                      <w:szCs w:val="15"/>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1,482.47</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1,482.47</w:t>
                  </w:r>
                </w:p>
              </w:tc>
            </w:tr>
            <w:tr>
              <w:tblPrEx>
                <w:tblLayout w:type="fixed"/>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Layout w:type="fixed"/>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100"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1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Layout w:type="fixed"/>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100"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1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001"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385" w:hRule="atLeast"/>
          <w:jc w:val="center"/>
        </w:trPr>
        <w:tc>
          <w:tcPr>
            <w:tcW w:w="3224"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81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9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72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92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Layout w:type="fixed"/>
          <w:tblCellMar>
            <w:top w:w="0" w:type="dxa"/>
            <w:left w:w="0" w:type="dxa"/>
            <w:bottom w:w="0" w:type="dxa"/>
            <w:right w:w="0" w:type="dxa"/>
          </w:tblCellMar>
        </w:tblPrEx>
        <w:trPr>
          <w:trHeight w:val="380" w:hRule="atLeast"/>
          <w:jc w:val="center"/>
        </w:trPr>
        <w:tc>
          <w:tcPr>
            <w:tcW w:w="1334" w:type="dxa"/>
            <w:gridSpan w:val="4"/>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890"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81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2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1334"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2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1334"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2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224"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Layout w:type="fixed"/>
          <w:tblCellMar>
            <w:top w:w="0" w:type="dxa"/>
            <w:left w:w="0" w:type="dxa"/>
            <w:bottom w:w="0" w:type="dxa"/>
            <w:right w:w="0" w:type="dxa"/>
          </w:tblCellMar>
        </w:tblPrEx>
        <w:trPr>
          <w:trHeight w:val="385" w:hRule="atLeast"/>
          <w:jc w:val="center"/>
        </w:trPr>
        <w:tc>
          <w:tcPr>
            <w:tcW w:w="3224"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Arial"/>
                <w:b/>
                <w:bCs/>
                <w:color w:val="000000"/>
                <w:sz w:val="13"/>
                <w:szCs w:val="13"/>
              </w:rPr>
              <w:t>1,431.44</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Arial"/>
                <w:b/>
                <w:bCs/>
                <w:color w:val="000000"/>
                <w:sz w:val="13"/>
                <w:szCs w:val="13"/>
              </w:rPr>
              <w:t>1,401.56</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Arial"/>
                <w:b/>
                <w:bCs/>
                <w:color w:val="000000"/>
                <w:sz w:val="13"/>
                <w:szCs w:val="13"/>
              </w:rPr>
              <w:t>0.00</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Arial"/>
                <w:b/>
                <w:bCs/>
                <w:color w:val="000000"/>
                <w:sz w:val="13"/>
                <w:szCs w:val="13"/>
              </w:rPr>
              <w:t>29.88</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Arial"/>
                <w:b/>
                <w:bCs/>
                <w:color w:val="000000"/>
                <w:sz w:val="13"/>
                <w:szCs w:val="13"/>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Arial"/>
                <w:b/>
                <w:bCs/>
                <w:color w:val="000000"/>
                <w:sz w:val="13"/>
                <w:szCs w:val="13"/>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Arial"/>
                <w:b/>
                <w:bCs/>
                <w:color w:val="000000"/>
                <w:sz w:val="13"/>
                <w:szCs w:val="13"/>
              </w:rPr>
              <w:t>0.00</w:t>
            </w:r>
          </w:p>
        </w:tc>
      </w:tr>
      <w:tr>
        <w:tblPrEx>
          <w:tblLayout w:type="fixed"/>
          <w:tblCellMar>
            <w:top w:w="0" w:type="dxa"/>
            <w:left w:w="0" w:type="dxa"/>
            <w:bottom w:w="0" w:type="dxa"/>
            <w:right w:w="0" w:type="dxa"/>
          </w:tblCellMar>
        </w:tblPrEx>
        <w:trPr>
          <w:trHeight w:val="385" w:hRule="atLeast"/>
          <w:jc w:val="center"/>
        </w:trPr>
        <w:tc>
          <w:tcPr>
            <w:tcW w:w="157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r>
              <w:rPr>
                <w:rFonts w:hint="eastAsia" w:cs="Arial"/>
                <w:color w:val="000000"/>
                <w:sz w:val="22"/>
              </w:rPr>
              <w:t>205</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Arial"/>
                <w:color w:val="000000"/>
                <w:sz w:val="13"/>
                <w:szCs w:val="13"/>
              </w:rPr>
              <w:t>教育支出</w:t>
            </w: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1,371.63</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29.88</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b/>
                <w:bCs/>
                <w:color w:val="000000"/>
                <w:sz w:val="13"/>
                <w:szCs w:val="13"/>
              </w:rPr>
              <w:t>0.00</w:t>
            </w:r>
          </w:p>
        </w:tc>
      </w:tr>
      <w:tr>
        <w:tblPrEx>
          <w:tblLayout w:type="fixed"/>
          <w:tblCellMar>
            <w:top w:w="0" w:type="dxa"/>
            <w:left w:w="0" w:type="dxa"/>
            <w:bottom w:w="0" w:type="dxa"/>
            <w:right w:w="0" w:type="dxa"/>
          </w:tblCellMar>
        </w:tblPrEx>
        <w:trPr>
          <w:trHeight w:val="385" w:hRule="atLeast"/>
          <w:jc w:val="center"/>
        </w:trPr>
        <w:tc>
          <w:tcPr>
            <w:tcW w:w="157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r>
              <w:rPr>
                <w:rFonts w:hint="eastAsia" w:cs="Arial"/>
                <w:color w:val="000000"/>
                <w:sz w:val="22"/>
              </w:rPr>
              <w:t>20501</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Arial"/>
                <w:color w:val="000000"/>
                <w:sz w:val="13"/>
                <w:szCs w:val="13"/>
              </w:rPr>
              <w:t>教育管理事务</w:t>
            </w: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1,353.63</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29.88</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r>
      <w:tr>
        <w:tblPrEx>
          <w:tblLayout w:type="fixed"/>
          <w:tblCellMar>
            <w:top w:w="0" w:type="dxa"/>
            <w:left w:w="0" w:type="dxa"/>
            <w:bottom w:w="0" w:type="dxa"/>
            <w:right w:w="0" w:type="dxa"/>
          </w:tblCellMar>
        </w:tblPrEx>
        <w:trPr>
          <w:trHeight w:val="385" w:hRule="atLeast"/>
          <w:jc w:val="center"/>
        </w:trPr>
        <w:tc>
          <w:tcPr>
            <w:tcW w:w="157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r>
              <w:rPr>
                <w:rFonts w:hint="eastAsia" w:cs="Arial"/>
                <w:color w:val="000000"/>
                <w:sz w:val="22"/>
              </w:rPr>
              <w:t>2050101</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Arial"/>
                <w:color w:val="000000"/>
                <w:sz w:val="13"/>
                <w:szCs w:val="13"/>
              </w:rPr>
              <w:t xml:space="preserve">  行政运行</w:t>
            </w: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1,283.97</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r>
      <w:tr>
        <w:tblPrEx>
          <w:tblLayout w:type="fixed"/>
          <w:tblCellMar>
            <w:top w:w="0" w:type="dxa"/>
            <w:left w:w="0" w:type="dxa"/>
            <w:bottom w:w="0" w:type="dxa"/>
            <w:right w:w="0" w:type="dxa"/>
          </w:tblCellMar>
        </w:tblPrEx>
        <w:trPr>
          <w:trHeight w:val="385" w:hRule="atLeast"/>
          <w:jc w:val="center"/>
        </w:trPr>
        <w:tc>
          <w:tcPr>
            <w:tcW w:w="157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r>
              <w:rPr>
                <w:rFonts w:hint="eastAsia" w:cs="Arial"/>
                <w:color w:val="000000"/>
                <w:sz w:val="22"/>
              </w:rPr>
              <w:t>2050102</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Arial"/>
                <w:color w:val="000000"/>
                <w:sz w:val="13"/>
                <w:szCs w:val="13"/>
              </w:rPr>
              <w:t xml:space="preserve">  一般行政管理事务</w:t>
            </w: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44.65</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r>
      <w:tr>
        <w:tblPrEx>
          <w:tblLayout w:type="fixed"/>
          <w:tblCellMar>
            <w:top w:w="0" w:type="dxa"/>
            <w:left w:w="0" w:type="dxa"/>
            <w:bottom w:w="0" w:type="dxa"/>
            <w:right w:w="0" w:type="dxa"/>
          </w:tblCellMar>
        </w:tblPrEx>
        <w:trPr>
          <w:trHeight w:val="385" w:hRule="atLeast"/>
          <w:jc w:val="center"/>
        </w:trPr>
        <w:tc>
          <w:tcPr>
            <w:tcW w:w="157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r>
              <w:rPr>
                <w:rFonts w:hint="eastAsia" w:cs="Arial"/>
                <w:color w:val="000000"/>
                <w:sz w:val="22"/>
              </w:rPr>
              <w:t>2050199</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Arial"/>
                <w:color w:val="000000"/>
                <w:sz w:val="13"/>
                <w:szCs w:val="13"/>
              </w:rPr>
              <w:t xml:space="preserve">  其他教育管理事务支出</w:t>
            </w: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25.00</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29.88</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r>
      <w:tr>
        <w:tblPrEx>
          <w:tblLayout w:type="fixed"/>
          <w:tblCellMar>
            <w:top w:w="0" w:type="dxa"/>
            <w:left w:w="0" w:type="dxa"/>
            <w:bottom w:w="0" w:type="dxa"/>
            <w:right w:w="0" w:type="dxa"/>
          </w:tblCellMar>
        </w:tblPrEx>
        <w:trPr>
          <w:trHeight w:val="385" w:hRule="atLeast"/>
          <w:jc w:val="center"/>
        </w:trPr>
        <w:tc>
          <w:tcPr>
            <w:tcW w:w="157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r>
              <w:rPr>
                <w:rFonts w:hint="eastAsia" w:cs="Arial"/>
                <w:color w:val="000000"/>
                <w:sz w:val="22"/>
              </w:rPr>
              <w:t>20502</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Arial"/>
                <w:color w:val="000000"/>
                <w:sz w:val="13"/>
                <w:szCs w:val="13"/>
              </w:rPr>
              <w:t>普通教育</w:t>
            </w: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18.00</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Arial"/>
                <w:color w:val="000000"/>
                <w:sz w:val="13"/>
                <w:szCs w:val="13"/>
              </w:rPr>
              <w:t>0.00</w:t>
            </w:r>
          </w:p>
        </w:tc>
      </w:tr>
      <w:tr>
        <w:tblPrEx>
          <w:tblLayout w:type="fixed"/>
          <w:tblCellMar>
            <w:top w:w="0" w:type="dxa"/>
            <w:left w:w="0" w:type="dxa"/>
            <w:bottom w:w="0" w:type="dxa"/>
            <w:right w:w="0" w:type="dxa"/>
          </w:tblCellMar>
        </w:tblPrEx>
        <w:trPr>
          <w:trHeight w:val="385" w:hRule="atLeast"/>
          <w:jc w:val="center"/>
        </w:trPr>
        <w:tc>
          <w:tcPr>
            <w:tcW w:w="157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cs="Arial"/>
                <w:color w:val="000000"/>
                <w:sz w:val="22"/>
              </w:rPr>
            </w:pPr>
            <w:r>
              <w:rPr>
                <w:rFonts w:hint="eastAsia" w:cs="Arial"/>
                <w:color w:val="000000"/>
                <w:sz w:val="22"/>
              </w:rPr>
              <w:t>2050299</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3"/>
                <w:szCs w:val="13"/>
              </w:rPr>
            </w:pPr>
            <w:r>
              <w:rPr>
                <w:rFonts w:hint="eastAsia" w:ascii="宋体" w:hAnsi="宋体" w:eastAsia="宋体" w:cs="Arial"/>
                <w:color w:val="000000"/>
                <w:sz w:val="13"/>
                <w:szCs w:val="13"/>
              </w:rPr>
              <w:t xml:space="preserve">  其他普通教育支出</w:t>
            </w: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18.00</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r>
      <w:tr>
        <w:tblPrEx>
          <w:tblLayout w:type="fixed"/>
          <w:tblCellMar>
            <w:top w:w="0" w:type="dxa"/>
            <w:left w:w="0" w:type="dxa"/>
            <w:bottom w:w="0" w:type="dxa"/>
            <w:right w:w="0" w:type="dxa"/>
          </w:tblCellMar>
        </w:tblPrEx>
        <w:trPr>
          <w:trHeight w:val="385" w:hRule="atLeast"/>
          <w:jc w:val="center"/>
        </w:trPr>
        <w:tc>
          <w:tcPr>
            <w:tcW w:w="157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cs="Arial"/>
                <w:color w:val="000000"/>
                <w:sz w:val="22"/>
              </w:rPr>
            </w:pPr>
            <w:r>
              <w:rPr>
                <w:rFonts w:hint="eastAsia" w:cs="Arial"/>
                <w:color w:val="000000"/>
                <w:sz w:val="22"/>
              </w:rPr>
              <w:t>208</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3"/>
                <w:szCs w:val="13"/>
              </w:rPr>
            </w:pPr>
            <w:r>
              <w:rPr>
                <w:rFonts w:hint="eastAsia" w:ascii="宋体" w:hAnsi="宋体" w:eastAsia="宋体" w:cs="Arial"/>
                <w:color w:val="000000"/>
                <w:sz w:val="13"/>
                <w:szCs w:val="13"/>
              </w:rPr>
              <w:t>社会保障和就业支出</w:t>
            </w: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29.93</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r>
      <w:tr>
        <w:tblPrEx>
          <w:tblLayout w:type="fixed"/>
          <w:tblCellMar>
            <w:top w:w="0" w:type="dxa"/>
            <w:left w:w="0" w:type="dxa"/>
            <w:bottom w:w="0" w:type="dxa"/>
            <w:right w:w="0" w:type="dxa"/>
          </w:tblCellMar>
        </w:tblPrEx>
        <w:trPr>
          <w:trHeight w:val="385" w:hRule="atLeast"/>
          <w:jc w:val="center"/>
        </w:trPr>
        <w:tc>
          <w:tcPr>
            <w:tcW w:w="157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cs="Arial"/>
                <w:color w:val="000000"/>
                <w:sz w:val="22"/>
              </w:rPr>
            </w:pPr>
            <w:r>
              <w:rPr>
                <w:rFonts w:hint="eastAsia" w:cs="Arial"/>
                <w:color w:val="000000"/>
                <w:sz w:val="22"/>
              </w:rPr>
              <w:t>20805</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3"/>
                <w:szCs w:val="13"/>
              </w:rPr>
            </w:pPr>
            <w:r>
              <w:rPr>
                <w:rFonts w:hint="eastAsia" w:ascii="宋体" w:hAnsi="宋体" w:eastAsia="宋体" w:cs="Arial"/>
                <w:color w:val="000000"/>
                <w:sz w:val="13"/>
                <w:szCs w:val="13"/>
              </w:rPr>
              <w:t>行政事业单位离退休</w:t>
            </w: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29.93</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r>
      <w:tr>
        <w:tblPrEx>
          <w:tblLayout w:type="fixed"/>
          <w:tblCellMar>
            <w:top w:w="0" w:type="dxa"/>
            <w:left w:w="0" w:type="dxa"/>
            <w:bottom w:w="0" w:type="dxa"/>
            <w:right w:w="0" w:type="dxa"/>
          </w:tblCellMar>
        </w:tblPrEx>
        <w:trPr>
          <w:trHeight w:val="385" w:hRule="atLeast"/>
          <w:jc w:val="center"/>
        </w:trPr>
        <w:tc>
          <w:tcPr>
            <w:tcW w:w="157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cs="Arial"/>
                <w:color w:val="000000"/>
                <w:sz w:val="22"/>
              </w:rPr>
            </w:pPr>
            <w:r>
              <w:rPr>
                <w:rFonts w:hint="eastAsia" w:cs="Arial"/>
                <w:color w:val="000000"/>
                <w:sz w:val="22"/>
              </w:rPr>
              <w:t>2080505</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3"/>
                <w:szCs w:val="13"/>
              </w:rPr>
            </w:pPr>
            <w:r>
              <w:rPr>
                <w:rFonts w:hint="eastAsia" w:ascii="宋体" w:hAnsi="宋体" w:eastAsia="宋体" w:cs="Arial"/>
                <w:color w:val="000000"/>
                <w:sz w:val="13"/>
                <w:szCs w:val="13"/>
              </w:rPr>
              <w:t xml:space="preserve">  机关事业单位基本养老保险缴费支出</w:t>
            </w: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29.93</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r>
      <w:tr>
        <w:tblPrEx>
          <w:tblLayout w:type="fixed"/>
          <w:tblCellMar>
            <w:top w:w="0" w:type="dxa"/>
            <w:left w:w="0" w:type="dxa"/>
            <w:bottom w:w="0" w:type="dxa"/>
            <w:right w:w="0" w:type="dxa"/>
          </w:tblCellMar>
        </w:tblPrEx>
        <w:trPr>
          <w:trHeight w:val="385" w:hRule="atLeast"/>
          <w:jc w:val="center"/>
        </w:trPr>
        <w:tc>
          <w:tcPr>
            <w:tcW w:w="9580" w:type="dxa"/>
            <w:gridSpan w:val="13"/>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8"/>
        <w:tblW w:w="9680" w:type="dxa"/>
        <w:jc w:val="center"/>
        <w:tblInd w:w="0" w:type="dxa"/>
        <w:tblLayout w:type="fixed"/>
        <w:tblCellMar>
          <w:top w:w="0" w:type="dxa"/>
          <w:left w:w="0" w:type="dxa"/>
          <w:bottom w:w="0" w:type="dxa"/>
          <w:right w:w="0" w:type="dxa"/>
        </w:tblCellMar>
      </w:tblPr>
      <w:tblGrid>
        <w:gridCol w:w="941"/>
        <w:gridCol w:w="53"/>
        <w:gridCol w:w="111"/>
        <w:gridCol w:w="114"/>
        <w:gridCol w:w="1515"/>
        <w:gridCol w:w="891"/>
        <w:gridCol w:w="1161"/>
        <w:gridCol w:w="1161"/>
        <w:gridCol w:w="1161"/>
        <w:gridCol w:w="1161"/>
        <w:gridCol w:w="1411"/>
      </w:tblGrid>
      <w:tr>
        <w:tblPrEx>
          <w:tblLayout w:type="fixed"/>
          <w:tblCellMar>
            <w:top w:w="0" w:type="dxa"/>
            <w:left w:w="0" w:type="dxa"/>
            <w:bottom w:w="0" w:type="dxa"/>
            <w:right w:w="0" w:type="dxa"/>
          </w:tblCellMar>
        </w:tblPrEx>
        <w:trPr>
          <w:trHeight w:val="612" w:hRule="atLeast"/>
          <w:jc w:val="center"/>
        </w:trPr>
        <w:tc>
          <w:tcPr>
            <w:tcW w:w="9680" w:type="dxa"/>
            <w:gridSpan w:val="11"/>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29"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Layout w:type="fixed"/>
          <w:tblCellMar>
            <w:top w:w="0" w:type="dxa"/>
            <w:left w:w="0" w:type="dxa"/>
            <w:bottom w:w="0" w:type="dxa"/>
            <w:right w:w="0" w:type="dxa"/>
          </w:tblCellMar>
        </w:tblPrEx>
        <w:trPr>
          <w:trHeight w:val="918"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部门：石家庄市鹿泉区教育局（本级）</w:t>
            </w: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29"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323" w:hRule="atLeast"/>
          <w:jc w:val="center"/>
        </w:trPr>
        <w:tc>
          <w:tcPr>
            <w:tcW w:w="2734"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89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Layout w:type="fixed"/>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62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8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2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2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2734"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Layout w:type="fixed"/>
          <w:tblCellMar>
            <w:top w:w="0" w:type="dxa"/>
            <w:left w:w="0" w:type="dxa"/>
            <w:bottom w:w="0" w:type="dxa"/>
            <w:right w:w="0" w:type="dxa"/>
          </w:tblCellMar>
        </w:tblPrEx>
        <w:trPr>
          <w:trHeight w:val="323" w:hRule="atLeast"/>
          <w:jc w:val="center"/>
        </w:trPr>
        <w:tc>
          <w:tcPr>
            <w:tcW w:w="2734"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b/>
                <w:bCs/>
                <w:color w:val="000000"/>
                <w:szCs w:val="21"/>
              </w:rPr>
            </w:pPr>
            <w:r>
              <w:rPr>
                <w:rFonts w:hint="eastAsia" w:ascii="宋体" w:hAnsi="宋体" w:eastAsia="宋体" w:cs="Arial"/>
                <w:b/>
                <w:bCs/>
                <w:color w:val="000000"/>
                <w:szCs w:val="21"/>
              </w:rPr>
              <w:t>1,438.24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b/>
                <w:bCs/>
                <w:color w:val="000000"/>
                <w:szCs w:val="21"/>
              </w:rPr>
            </w:pPr>
            <w:r>
              <w:rPr>
                <w:rFonts w:hint="eastAsia" w:ascii="宋体" w:hAnsi="宋体" w:eastAsia="宋体" w:cs="Arial"/>
                <w:b/>
                <w:bCs/>
                <w:color w:val="000000"/>
                <w:szCs w:val="21"/>
              </w:rPr>
              <w:t>1,348.48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b/>
                <w:bCs/>
                <w:color w:val="000000"/>
                <w:szCs w:val="21"/>
              </w:rPr>
            </w:pPr>
            <w:r>
              <w:rPr>
                <w:rFonts w:hint="eastAsia" w:ascii="宋体" w:hAnsi="宋体" w:eastAsia="宋体" w:cs="Arial"/>
                <w:b/>
                <w:bCs/>
                <w:color w:val="000000"/>
                <w:szCs w:val="21"/>
              </w:rPr>
              <w:t>89.76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b/>
                <w:bCs/>
                <w:color w:val="000000"/>
                <w:szCs w:val="21"/>
              </w:rPr>
            </w:pPr>
            <w:r>
              <w:rPr>
                <w:rFonts w:hint="eastAsia" w:ascii="宋体" w:hAnsi="宋体" w:eastAsia="宋体" w:cs="Arial"/>
                <w:b/>
                <w:bCs/>
                <w:color w:val="000000"/>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b/>
                <w:bCs/>
                <w:color w:val="000000"/>
                <w:szCs w:val="21"/>
              </w:rPr>
            </w:pPr>
            <w:r>
              <w:rPr>
                <w:rFonts w:hint="eastAsia" w:ascii="宋体" w:hAnsi="宋体" w:eastAsia="宋体" w:cs="Arial"/>
                <w:b/>
                <w:bCs/>
                <w:color w:val="000000"/>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b/>
                <w:bCs/>
                <w:color w:val="000000"/>
                <w:szCs w:val="21"/>
              </w:rPr>
            </w:pPr>
            <w:r>
              <w:rPr>
                <w:rFonts w:hint="eastAsia" w:ascii="宋体" w:hAnsi="宋体" w:eastAsia="宋体" w:cs="Arial"/>
                <w:b/>
                <w:bCs/>
                <w:color w:val="000000"/>
                <w:szCs w:val="21"/>
              </w:rPr>
              <w:t>0.00</w:t>
            </w:r>
          </w:p>
        </w:tc>
      </w:tr>
      <w:tr>
        <w:tblPrEx>
          <w:tblLayout w:type="fixed"/>
          <w:tblCellMar>
            <w:top w:w="0" w:type="dxa"/>
            <w:left w:w="0" w:type="dxa"/>
            <w:bottom w:w="0" w:type="dxa"/>
            <w:right w:w="0" w:type="dxa"/>
          </w:tblCellMar>
        </w:tblPrEx>
        <w:trPr>
          <w:trHeight w:val="323" w:hRule="atLeast"/>
          <w:jc w:val="center"/>
        </w:trPr>
        <w:tc>
          <w:tcPr>
            <w:tcW w:w="121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205</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5"/>
                <w:szCs w:val="15"/>
              </w:rPr>
            </w:pPr>
            <w:r>
              <w:rPr>
                <w:rFonts w:hint="eastAsia" w:ascii="宋体" w:hAnsi="宋体" w:eastAsia="宋体" w:cs="Arial"/>
                <w:color w:val="000000"/>
                <w:sz w:val="15"/>
                <w:szCs w:val="15"/>
              </w:rPr>
              <w:t>教育支出</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1,408.31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1,318.55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89.76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r>
      <w:tr>
        <w:tblPrEx>
          <w:tblLayout w:type="fixed"/>
          <w:tblCellMar>
            <w:top w:w="0" w:type="dxa"/>
            <w:left w:w="0" w:type="dxa"/>
            <w:bottom w:w="0" w:type="dxa"/>
            <w:right w:w="0" w:type="dxa"/>
          </w:tblCellMar>
        </w:tblPrEx>
        <w:trPr>
          <w:trHeight w:val="323" w:hRule="atLeast"/>
          <w:jc w:val="center"/>
        </w:trPr>
        <w:tc>
          <w:tcPr>
            <w:tcW w:w="121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20501</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5"/>
                <w:szCs w:val="15"/>
              </w:rPr>
            </w:pPr>
            <w:r>
              <w:rPr>
                <w:rFonts w:hint="eastAsia" w:ascii="宋体" w:hAnsi="宋体" w:eastAsia="宋体" w:cs="Arial"/>
                <w:color w:val="000000"/>
                <w:sz w:val="15"/>
                <w:szCs w:val="15"/>
              </w:rPr>
              <w:t>教育管理事务</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1,390.31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1,300.55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89.76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r>
      <w:tr>
        <w:tblPrEx>
          <w:tblLayout w:type="fixed"/>
          <w:tblCellMar>
            <w:top w:w="0" w:type="dxa"/>
            <w:left w:w="0" w:type="dxa"/>
            <w:bottom w:w="0" w:type="dxa"/>
            <w:right w:w="0" w:type="dxa"/>
          </w:tblCellMar>
        </w:tblPrEx>
        <w:trPr>
          <w:trHeight w:val="323" w:hRule="atLeast"/>
          <w:jc w:val="center"/>
        </w:trPr>
        <w:tc>
          <w:tcPr>
            <w:tcW w:w="121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2050101</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5"/>
                <w:szCs w:val="15"/>
              </w:rPr>
            </w:pPr>
            <w:r>
              <w:rPr>
                <w:rFonts w:hint="eastAsia" w:ascii="宋体" w:hAnsi="宋体" w:eastAsia="宋体" w:cs="Arial"/>
                <w:color w:val="000000"/>
                <w:sz w:val="15"/>
                <w:szCs w:val="15"/>
              </w:rPr>
              <w:t xml:space="preserve">  行政运行</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1,300.55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1,300.55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r>
      <w:tr>
        <w:tblPrEx>
          <w:tblLayout w:type="fixed"/>
          <w:tblCellMar>
            <w:top w:w="0" w:type="dxa"/>
            <w:left w:w="0" w:type="dxa"/>
            <w:bottom w:w="0" w:type="dxa"/>
            <w:right w:w="0" w:type="dxa"/>
          </w:tblCellMar>
        </w:tblPrEx>
        <w:trPr>
          <w:trHeight w:val="323" w:hRule="atLeast"/>
          <w:jc w:val="center"/>
        </w:trPr>
        <w:tc>
          <w:tcPr>
            <w:tcW w:w="121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2050102</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5"/>
                <w:szCs w:val="15"/>
              </w:rPr>
            </w:pPr>
            <w:r>
              <w:rPr>
                <w:rFonts w:hint="eastAsia" w:ascii="宋体" w:hAnsi="宋体" w:eastAsia="宋体" w:cs="Arial"/>
                <w:color w:val="000000"/>
                <w:sz w:val="15"/>
                <w:szCs w:val="15"/>
              </w:rPr>
              <w:t xml:space="preserve">  一般行政管理事务</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44.65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44.65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r>
      <w:tr>
        <w:tblPrEx>
          <w:tblLayout w:type="fixed"/>
          <w:tblCellMar>
            <w:top w:w="0" w:type="dxa"/>
            <w:left w:w="0" w:type="dxa"/>
            <w:bottom w:w="0" w:type="dxa"/>
            <w:right w:w="0" w:type="dxa"/>
          </w:tblCellMar>
        </w:tblPrEx>
        <w:trPr>
          <w:trHeight w:val="323" w:hRule="atLeast"/>
          <w:jc w:val="center"/>
        </w:trPr>
        <w:tc>
          <w:tcPr>
            <w:tcW w:w="121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2050199</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5"/>
                <w:szCs w:val="15"/>
              </w:rPr>
            </w:pPr>
            <w:r>
              <w:rPr>
                <w:rFonts w:hint="eastAsia" w:ascii="宋体" w:hAnsi="宋体" w:eastAsia="宋体" w:cs="Arial"/>
                <w:color w:val="000000"/>
                <w:sz w:val="15"/>
                <w:szCs w:val="15"/>
              </w:rPr>
              <w:t xml:space="preserve">  其他教育管理事务支出</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45.11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45.11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r>
      <w:tr>
        <w:tblPrEx>
          <w:tblLayout w:type="fixed"/>
          <w:tblCellMar>
            <w:top w:w="0" w:type="dxa"/>
            <w:left w:w="0" w:type="dxa"/>
            <w:bottom w:w="0" w:type="dxa"/>
            <w:right w:w="0" w:type="dxa"/>
          </w:tblCellMar>
        </w:tblPrEx>
        <w:trPr>
          <w:trHeight w:val="323" w:hRule="atLeast"/>
          <w:jc w:val="center"/>
        </w:trPr>
        <w:tc>
          <w:tcPr>
            <w:tcW w:w="121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20502</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5"/>
                <w:szCs w:val="15"/>
              </w:rPr>
            </w:pPr>
            <w:r>
              <w:rPr>
                <w:rFonts w:hint="eastAsia" w:ascii="宋体" w:hAnsi="宋体" w:eastAsia="宋体" w:cs="Arial"/>
                <w:color w:val="000000"/>
                <w:sz w:val="15"/>
                <w:szCs w:val="15"/>
              </w:rPr>
              <w:t>普通教育</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18.00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18.00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r>
      <w:tr>
        <w:tblPrEx>
          <w:tblLayout w:type="fixed"/>
          <w:tblCellMar>
            <w:top w:w="0" w:type="dxa"/>
            <w:left w:w="0" w:type="dxa"/>
            <w:bottom w:w="0" w:type="dxa"/>
            <w:right w:w="0" w:type="dxa"/>
          </w:tblCellMar>
        </w:tblPrEx>
        <w:trPr>
          <w:trHeight w:val="323" w:hRule="atLeast"/>
          <w:jc w:val="center"/>
        </w:trPr>
        <w:tc>
          <w:tcPr>
            <w:tcW w:w="121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2050299</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5"/>
                <w:szCs w:val="15"/>
              </w:rPr>
            </w:pPr>
            <w:r>
              <w:rPr>
                <w:rFonts w:hint="eastAsia" w:ascii="宋体" w:hAnsi="宋体" w:eastAsia="宋体" w:cs="Arial"/>
                <w:color w:val="000000"/>
                <w:sz w:val="15"/>
                <w:szCs w:val="15"/>
              </w:rPr>
              <w:t xml:space="preserve">  其他普通教育支出</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18.00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18.00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r>
      <w:tr>
        <w:tblPrEx>
          <w:tblLayout w:type="fixed"/>
          <w:tblCellMar>
            <w:top w:w="0" w:type="dxa"/>
            <w:left w:w="0" w:type="dxa"/>
            <w:bottom w:w="0" w:type="dxa"/>
            <w:right w:w="0" w:type="dxa"/>
          </w:tblCellMar>
        </w:tblPrEx>
        <w:trPr>
          <w:trHeight w:val="323" w:hRule="atLeast"/>
          <w:jc w:val="center"/>
        </w:trPr>
        <w:tc>
          <w:tcPr>
            <w:tcW w:w="121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5"/>
                <w:szCs w:val="15"/>
              </w:rPr>
            </w:pPr>
            <w:r>
              <w:rPr>
                <w:rFonts w:hint="eastAsia" w:ascii="宋体" w:hAnsi="宋体" w:eastAsia="宋体" w:cs="Arial"/>
                <w:color w:val="000000"/>
                <w:sz w:val="15"/>
                <w:szCs w:val="15"/>
              </w:rPr>
              <w:t>社会保障和就业支出</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29.93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29.93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r>
      <w:tr>
        <w:tblPrEx>
          <w:tblLayout w:type="fixed"/>
          <w:tblCellMar>
            <w:top w:w="0" w:type="dxa"/>
            <w:left w:w="0" w:type="dxa"/>
            <w:bottom w:w="0" w:type="dxa"/>
            <w:right w:w="0" w:type="dxa"/>
          </w:tblCellMar>
        </w:tblPrEx>
        <w:trPr>
          <w:trHeight w:val="323" w:hRule="atLeast"/>
          <w:jc w:val="center"/>
        </w:trPr>
        <w:tc>
          <w:tcPr>
            <w:tcW w:w="121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5"/>
                <w:szCs w:val="15"/>
              </w:rPr>
            </w:pPr>
            <w:r>
              <w:rPr>
                <w:rFonts w:hint="eastAsia" w:ascii="宋体" w:hAnsi="宋体" w:eastAsia="宋体" w:cs="Arial"/>
                <w:color w:val="000000"/>
                <w:sz w:val="15"/>
                <w:szCs w:val="15"/>
              </w:rPr>
              <w:t>行政事业单位离退休</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29.93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29.93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r>
      <w:tr>
        <w:tblPrEx>
          <w:tblLayout w:type="fixed"/>
          <w:tblCellMar>
            <w:top w:w="0" w:type="dxa"/>
            <w:left w:w="0" w:type="dxa"/>
            <w:bottom w:w="0" w:type="dxa"/>
            <w:right w:w="0" w:type="dxa"/>
          </w:tblCellMar>
        </w:tblPrEx>
        <w:trPr>
          <w:trHeight w:val="786" w:hRule="atLeast"/>
          <w:jc w:val="center"/>
        </w:trPr>
        <w:tc>
          <w:tcPr>
            <w:tcW w:w="121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2080505</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5"/>
                <w:szCs w:val="15"/>
              </w:rPr>
            </w:pPr>
            <w:r>
              <w:rPr>
                <w:rFonts w:hint="eastAsia" w:ascii="宋体" w:hAnsi="宋体" w:eastAsia="宋体" w:cs="Arial"/>
                <w:color w:val="000000"/>
                <w:sz w:val="15"/>
                <w:szCs w:val="15"/>
              </w:rPr>
              <w:t xml:space="preserve">  机关事业单位基本养老保险缴费支出</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29.93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29.93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Cs w:val="21"/>
              </w:rPr>
            </w:pPr>
            <w:r>
              <w:rPr>
                <w:rFonts w:hint="eastAsia" w:ascii="宋体" w:hAnsi="宋体" w:eastAsia="宋体" w:cs="Arial"/>
                <w:color w:val="000000"/>
                <w:szCs w:val="21"/>
              </w:rPr>
              <w:t>0.00</w:t>
            </w:r>
          </w:p>
        </w:tc>
      </w:tr>
      <w:tr>
        <w:tblPrEx>
          <w:tblLayout w:type="fixed"/>
          <w:tblCellMar>
            <w:top w:w="0" w:type="dxa"/>
            <w:left w:w="0" w:type="dxa"/>
            <w:bottom w:w="0" w:type="dxa"/>
            <w:right w:w="0" w:type="dxa"/>
          </w:tblCellMar>
        </w:tblPrEx>
        <w:trPr>
          <w:trHeight w:val="323" w:hRule="atLeast"/>
          <w:jc w:val="center"/>
        </w:trPr>
        <w:tc>
          <w:tcPr>
            <w:tcW w:w="9680"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8"/>
        <w:tblW w:w="9641" w:type="dxa"/>
        <w:jc w:val="center"/>
        <w:tblInd w:w="-121" w:type="dxa"/>
        <w:tblLayout w:type="fixed"/>
        <w:tblCellMar>
          <w:top w:w="0" w:type="dxa"/>
          <w:left w:w="0" w:type="dxa"/>
          <w:bottom w:w="0" w:type="dxa"/>
          <w:right w:w="0" w:type="dxa"/>
        </w:tblCellMar>
      </w:tblPr>
      <w:tblGrid>
        <w:gridCol w:w="3043"/>
        <w:gridCol w:w="425"/>
        <w:gridCol w:w="662"/>
        <w:gridCol w:w="2946"/>
        <w:gridCol w:w="507"/>
        <w:gridCol w:w="700"/>
        <w:gridCol w:w="851"/>
        <w:gridCol w:w="507"/>
      </w:tblGrid>
      <w:tr>
        <w:tblPrEx>
          <w:tblLayout w:type="fixed"/>
          <w:tblCellMar>
            <w:top w:w="0" w:type="dxa"/>
            <w:left w:w="0" w:type="dxa"/>
            <w:bottom w:w="0" w:type="dxa"/>
            <w:right w:w="0" w:type="dxa"/>
          </w:tblCellMar>
        </w:tblPrEx>
        <w:trPr>
          <w:trHeight w:val="489" w:hRule="atLeast"/>
          <w:jc w:val="center"/>
        </w:trPr>
        <w:tc>
          <w:tcPr>
            <w:tcW w:w="9641" w:type="dxa"/>
            <w:gridSpan w:val="8"/>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15"/>
                <w:szCs w:val="15"/>
              </w:rPr>
              <w:t>石家庄市鹿泉区教育局（本级）</w:t>
            </w: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90" w:hRule="atLeast"/>
          <w:jc w:val="center"/>
        </w:trPr>
        <w:tc>
          <w:tcPr>
            <w:tcW w:w="41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511"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Layout w:type="fixed"/>
          <w:tblCellMar>
            <w:top w:w="0" w:type="dxa"/>
            <w:left w:w="0" w:type="dxa"/>
            <w:bottom w:w="0" w:type="dxa"/>
            <w:right w:w="0" w:type="dxa"/>
          </w:tblCellMar>
        </w:tblPrEx>
        <w:trPr>
          <w:trHeight w:val="312" w:hRule="atLeast"/>
          <w:jc w:val="center"/>
        </w:trPr>
        <w:tc>
          <w:tcPr>
            <w:tcW w:w="3043"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7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5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Layout w:type="fixed"/>
          <w:tblCellMar>
            <w:top w:w="0" w:type="dxa"/>
            <w:left w:w="0" w:type="dxa"/>
            <w:bottom w:w="0" w:type="dxa"/>
            <w:right w:w="0" w:type="dxa"/>
          </w:tblCellMar>
        </w:tblPrEx>
        <w:trPr>
          <w:trHeight w:val="312" w:hRule="atLeast"/>
          <w:jc w:val="center"/>
        </w:trPr>
        <w:tc>
          <w:tcPr>
            <w:tcW w:w="3043"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1,401.56</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一、一般公共服务支出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二、外交支出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三、国防支出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四、公共安全支出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五、教育支出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1,380.05</w:t>
            </w: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1,380.05</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六、科学技术支出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七、文化旅游体育与传媒支出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八、社会保障和就业支出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29.93</w:t>
            </w: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29.93</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九、卫生健康支出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十、节能环保支出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十一、城乡社区支出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十二、农林水支出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十三、交通运输支出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十四、资源勘探信息等支出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十五、商业服务业等支出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十六、金融支出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十七、援助其他地区支出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十八、自然资源海洋气象等支出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十九、住房保障支出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二十、粮油物资储备支出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二十一、灾害防治及应急管理支出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二十二、其他支出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二十四、债务付息支出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本年收入合计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1"/>
                <w:szCs w:val="11"/>
              </w:rPr>
            </w:pPr>
            <w:r>
              <w:rPr>
                <w:rFonts w:hint="eastAsia" w:ascii="宋体" w:hAnsi="宋体" w:eastAsia="宋体" w:cs="Arial"/>
                <w:color w:val="000000"/>
                <w:sz w:val="11"/>
                <w:szCs w:val="11"/>
              </w:rPr>
              <w:t>1,401.56</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Arial"/>
                <w:color w:val="000000"/>
                <w:sz w:val="15"/>
                <w:szCs w:val="15"/>
              </w:rPr>
            </w:pPr>
            <w:r>
              <w:rPr>
                <w:rFonts w:hint="eastAsia" w:ascii="宋体" w:hAnsi="宋体" w:eastAsia="宋体" w:cs="Arial"/>
                <w:color w:val="000000"/>
                <w:sz w:val="15"/>
                <w:szCs w:val="15"/>
              </w:rPr>
              <w:t>1,409.98</w:t>
            </w: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Arial"/>
                <w:color w:val="000000"/>
                <w:sz w:val="15"/>
                <w:szCs w:val="15"/>
              </w:rPr>
            </w:pPr>
            <w:r>
              <w:rPr>
                <w:rFonts w:hint="eastAsia" w:ascii="宋体" w:hAnsi="宋体" w:eastAsia="宋体" w:cs="Arial"/>
                <w:color w:val="000000"/>
                <w:sz w:val="15"/>
                <w:szCs w:val="15"/>
              </w:rPr>
              <w:t>1,409.98</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年初财政拨款结转和结余</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1"/>
                <w:szCs w:val="11"/>
              </w:rPr>
            </w:pPr>
            <w:r>
              <w:rPr>
                <w:rFonts w:hint="eastAsia" w:ascii="宋体" w:hAnsi="宋体" w:eastAsia="宋体" w:cs="Arial"/>
                <w:color w:val="000000"/>
                <w:sz w:val="11"/>
                <w:szCs w:val="11"/>
              </w:rPr>
              <w:t>43.81</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35.38</w:t>
            </w: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35.38</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1"/>
                <w:szCs w:val="11"/>
              </w:rPr>
            </w:pPr>
            <w:r>
              <w:rPr>
                <w:rFonts w:hint="eastAsia" w:ascii="宋体" w:hAnsi="宋体" w:eastAsia="宋体" w:cs="Arial"/>
                <w:color w:val="000000"/>
                <w:sz w:val="11"/>
                <w:szCs w:val="11"/>
              </w:rPr>
              <w:t>43.81</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p>
        </w:tc>
      </w:tr>
      <w:tr>
        <w:tblPrEx>
          <w:tblLayout w:type="fixed"/>
          <w:tblCellMar>
            <w:top w:w="0" w:type="dxa"/>
            <w:left w:w="0" w:type="dxa"/>
            <w:bottom w:w="0" w:type="dxa"/>
            <w:right w:w="0" w:type="dxa"/>
          </w:tblCellMar>
        </w:tblPrEx>
        <w:trPr>
          <w:trHeight w:val="90" w:hRule="atLeast"/>
          <w:jc w:val="center"/>
        </w:trPr>
        <w:tc>
          <w:tcPr>
            <w:tcW w:w="30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总计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1"/>
                <w:szCs w:val="11"/>
              </w:rPr>
            </w:pPr>
            <w:r>
              <w:rPr>
                <w:rFonts w:hint="eastAsia" w:ascii="宋体" w:hAnsi="宋体" w:eastAsia="宋体" w:cs="Arial"/>
                <w:color w:val="000000"/>
                <w:sz w:val="11"/>
                <w:szCs w:val="11"/>
              </w:rPr>
              <w:t>1,445.37</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1,445.37</w:t>
            </w: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1,445.37</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90" w:hRule="atLeast"/>
          <w:jc w:val="center"/>
        </w:trPr>
        <w:tc>
          <w:tcPr>
            <w:tcW w:w="9641" w:type="dxa"/>
            <w:gridSpan w:val="8"/>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注：本表反映部门本年度一般公共预算财政拨款和政府性基金预算财政拨款的总收支和年末结转结余情况。</w:t>
            </w:r>
          </w:p>
        </w:tc>
      </w:tr>
    </w:tbl>
    <w:p>
      <w:r>
        <w:br w:type="page"/>
      </w:r>
    </w:p>
    <w:tbl>
      <w:tblPr>
        <w:tblStyle w:val="8"/>
        <w:tblW w:w="9619" w:type="dxa"/>
        <w:jc w:val="center"/>
        <w:tblInd w:w="622" w:type="dxa"/>
        <w:tblLayout w:type="fixed"/>
        <w:tblCellMar>
          <w:top w:w="0" w:type="dxa"/>
          <w:left w:w="0" w:type="dxa"/>
          <w:bottom w:w="0" w:type="dxa"/>
          <w:right w:w="0" w:type="dxa"/>
        </w:tblCellMar>
      </w:tblPr>
      <w:tblGrid>
        <w:gridCol w:w="2799"/>
        <w:gridCol w:w="50"/>
        <w:gridCol w:w="50"/>
        <w:gridCol w:w="3759"/>
        <w:gridCol w:w="1158"/>
        <w:gridCol w:w="1091"/>
        <w:gridCol w:w="712"/>
      </w:tblGrid>
      <w:tr>
        <w:tblPrEx>
          <w:tblLayout w:type="fixed"/>
          <w:tblCellMar>
            <w:top w:w="0" w:type="dxa"/>
            <w:left w:w="0" w:type="dxa"/>
            <w:bottom w:w="0" w:type="dxa"/>
            <w:right w:w="0" w:type="dxa"/>
          </w:tblCellMar>
        </w:tblPrEx>
        <w:trPr>
          <w:trHeight w:val="600" w:hRule="atLeast"/>
          <w:jc w:val="center"/>
        </w:trPr>
        <w:tc>
          <w:tcPr>
            <w:tcW w:w="9619"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Layout w:type="fixed"/>
          <w:tblCellMar>
            <w:top w:w="0" w:type="dxa"/>
            <w:left w:w="0" w:type="dxa"/>
            <w:bottom w:w="0" w:type="dxa"/>
            <w:right w:w="0" w:type="dxa"/>
          </w:tblCellMar>
        </w:tblPrEx>
        <w:trPr>
          <w:trHeight w:val="255" w:hRule="atLeast"/>
          <w:jc w:val="center"/>
        </w:trPr>
        <w:tc>
          <w:tcPr>
            <w:tcW w:w="27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80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Layout w:type="fixed"/>
          <w:tblCellMar>
            <w:top w:w="0" w:type="dxa"/>
            <w:left w:w="0" w:type="dxa"/>
            <w:bottom w:w="0" w:type="dxa"/>
            <w:right w:w="0" w:type="dxa"/>
          </w:tblCellMar>
        </w:tblPrEx>
        <w:trPr>
          <w:trHeight w:val="255" w:hRule="atLeast"/>
          <w:jc w:val="center"/>
        </w:trPr>
        <w:tc>
          <w:tcPr>
            <w:tcW w:w="2799"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部门：石家庄市鹿泉区教育局（本级）</w:t>
            </w:r>
          </w:p>
        </w:tc>
        <w:tc>
          <w:tcPr>
            <w:tcW w:w="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80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308" w:hRule="atLeast"/>
          <w:jc w:val="center"/>
        </w:trPr>
        <w:tc>
          <w:tcPr>
            <w:tcW w:w="665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296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Layout w:type="fixed"/>
          <w:tblCellMar>
            <w:top w:w="0" w:type="dxa"/>
            <w:left w:w="0" w:type="dxa"/>
            <w:bottom w:w="0" w:type="dxa"/>
            <w:right w:w="0" w:type="dxa"/>
          </w:tblCellMar>
        </w:tblPrEx>
        <w:trPr>
          <w:trHeight w:val="312" w:hRule="atLeast"/>
          <w:jc w:val="center"/>
        </w:trPr>
        <w:tc>
          <w:tcPr>
            <w:tcW w:w="2899"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0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71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Layout w:type="fixed"/>
          <w:tblCellMar>
            <w:top w:w="0" w:type="dxa"/>
            <w:left w:w="0" w:type="dxa"/>
            <w:bottom w:w="0" w:type="dxa"/>
            <w:right w:w="0" w:type="dxa"/>
          </w:tblCellMar>
        </w:tblPrEx>
        <w:trPr>
          <w:trHeight w:val="312" w:hRule="atLeast"/>
          <w:jc w:val="center"/>
        </w:trPr>
        <w:tc>
          <w:tcPr>
            <w:tcW w:w="289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7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1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289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7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1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665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Layout w:type="fixed"/>
          <w:tblCellMar>
            <w:top w:w="0" w:type="dxa"/>
            <w:left w:w="0" w:type="dxa"/>
            <w:bottom w:w="0" w:type="dxa"/>
            <w:right w:w="0" w:type="dxa"/>
          </w:tblCellMar>
        </w:tblPrEx>
        <w:trPr>
          <w:trHeight w:val="813" w:hRule="atLeast"/>
          <w:jc w:val="center"/>
        </w:trPr>
        <w:tc>
          <w:tcPr>
            <w:tcW w:w="665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1,409.98</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1,348.48</w:t>
            </w:r>
          </w:p>
        </w:tc>
        <w:tc>
          <w:tcPr>
            <w:tcW w:w="7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61.51</w:t>
            </w:r>
          </w:p>
        </w:tc>
      </w:tr>
      <w:tr>
        <w:tblPrEx>
          <w:tblLayout w:type="fixed"/>
          <w:tblCellMar>
            <w:top w:w="0" w:type="dxa"/>
            <w:left w:w="0" w:type="dxa"/>
            <w:bottom w:w="0" w:type="dxa"/>
            <w:right w:w="0" w:type="dxa"/>
          </w:tblCellMar>
        </w:tblPrEx>
        <w:trPr>
          <w:trHeight w:val="308" w:hRule="atLeast"/>
          <w:jc w:val="center"/>
        </w:trPr>
        <w:tc>
          <w:tcPr>
            <w:tcW w:w="289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6"/>
                <w:szCs w:val="16"/>
              </w:rPr>
            </w:pPr>
            <w:r>
              <w:rPr>
                <w:rFonts w:hint="eastAsia" w:cs="Arial"/>
                <w:color w:val="000000"/>
                <w:sz w:val="16"/>
                <w:szCs w:val="16"/>
              </w:rPr>
              <w:t>205</w:t>
            </w:r>
          </w:p>
        </w:tc>
        <w:tc>
          <w:tcPr>
            <w:tcW w:w="3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Cs w:val="21"/>
              </w:rPr>
            </w:pPr>
            <w:r>
              <w:rPr>
                <w:rFonts w:hint="eastAsia" w:cs="Arial"/>
                <w:color w:val="000000"/>
                <w:szCs w:val="21"/>
              </w:rPr>
              <w:t>教育支出</w:t>
            </w:r>
          </w:p>
        </w:tc>
        <w:tc>
          <w:tcPr>
            <w:tcW w:w="1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1,380.05</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1,318.55</w:t>
            </w:r>
          </w:p>
        </w:tc>
        <w:tc>
          <w:tcPr>
            <w:tcW w:w="7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61.51</w:t>
            </w:r>
          </w:p>
        </w:tc>
      </w:tr>
      <w:tr>
        <w:tblPrEx>
          <w:tblLayout w:type="fixed"/>
          <w:tblCellMar>
            <w:top w:w="0" w:type="dxa"/>
            <w:left w:w="0" w:type="dxa"/>
            <w:bottom w:w="0" w:type="dxa"/>
            <w:right w:w="0" w:type="dxa"/>
          </w:tblCellMar>
        </w:tblPrEx>
        <w:trPr>
          <w:trHeight w:val="308" w:hRule="atLeast"/>
          <w:jc w:val="center"/>
        </w:trPr>
        <w:tc>
          <w:tcPr>
            <w:tcW w:w="289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6"/>
                <w:szCs w:val="16"/>
              </w:rPr>
            </w:pPr>
            <w:r>
              <w:rPr>
                <w:rFonts w:hint="eastAsia" w:cs="Arial"/>
                <w:color w:val="000000"/>
                <w:sz w:val="16"/>
                <w:szCs w:val="16"/>
              </w:rPr>
              <w:t>20501</w:t>
            </w:r>
          </w:p>
        </w:tc>
        <w:tc>
          <w:tcPr>
            <w:tcW w:w="3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Cs w:val="21"/>
              </w:rPr>
            </w:pPr>
            <w:r>
              <w:rPr>
                <w:rFonts w:hint="eastAsia" w:cs="Arial"/>
                <w:color w:val="000000"/>
                <w:szCs w:val="21"/>
              </w:rPr>
              <w:t>教育管理事务</w:t>
            </w:r>
          </w:p>
        </w:tc>
        <w:tc>
          <w:tcPr>
            <w:tcW w:w="1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1,362.05</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1,300.55</w:t>
            </w:r>
          </w:p>
        </w:tc>
        <w:tc>
          <w:tcPr>
            <w:tcW w:w="7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61.51</w:t>
            </w:r>
          </w:p>
        </w:tc>
      </w:tr>
      <w:tr>
        <w:tblPrEx>
          <w:tblLayout w:type="fixed"/>
          <w:tblCellMar>
            <w:top w:w="0" w:type="dxa"/>
            <w:left w:w="0" w:type="dxa"/>
            <w:bottom w:w="0" w:type="dxa"/>
            <w:right w:w="0" w:type="dxa"/>
          </w:tblCellMar>
        </w:tblPrEx>
        <w:trPr>
          <w:trHeight w:val="308" w:hRule="atLeast"/>
          <w:jc w:val="center"/>
        </w:trPr>
        <w:tc>
          <w:tcPr>
            <w:tcW w:w="289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6"/>
                <w:szCs w:val="16"/>
              </w:rPr>
            </w:pPr>
            <w:r>
              <w:rPr>
                <w:rFonts w:hint="eastAsia" w:cs="Arial"/>
                <w:color w:val="000000"/>
                <w:sz w:val="16"/>
                <w:szCs w:val="16"/>
              </w:rPr>
              <w:t>2050101</w:t>
            </w:r>
          </w:p>
        </w:tc>
        <w:tc>
          <w:tcPr>
            <w:tcW w:w="3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Cs w:val="21"/>
              </w:rPr>
            </w:pPr>
            <w:r>
              <w:rPr>
                <w:rFonts w:hint="eastAsia" w:cs="Arial"/>
                <w:color w:val="000000"/>
                <w:szCs w:val="21"/>
              </w:rPr>
              <w:t xml:space="preserve">  行政运行</w:t>
            </w:r>
          </w:p>
        </w:tc>
        <w:tc>
          <w:tcPr>
            <w:tcW w:w="1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1,300.55</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1,300.55</w:t>
            </w:r>
          </w:p>
        </w:tc>
        <w:tc>
          <w:tcPr>
            <w:tcW w:w="7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0.00</w:t>
            </w:r>
          </w:p>
        </w:tc>
      </w:tr>
      <w:tr>
        <w:tblPrEx>
          <w:tblLayout w:type="fixed"/>
          <w:tblCellMar>
            <w:top w:w="0" w:type="dxa"/>
            <w:left w:w="0" w:type="dxa"/>
            <w:bottom w:w="0" w:type="dxa"/>
            <w:right w:w="0" w:type="dxa"/>
          </w:tblCellMar>
        </w:tblPrEx>
        <w:trPr>
          <w:trHeight w:val="308" w:hRule="atLeast"/>
          <w:jc w:val="center"/>
        </w:trPr>
        <w:tc>
          <w:tcPr>
            <w:tcW w:w="289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6"/>
                <w:szCs w:val="16"/>
              </w:rPr>
            </w:pPr>
            <w:r>
              <w:rPr>
                <w:rFonts w:hint="eastAsia" w:cs="Arial"/>
                <w:color w:val="000000"/>
                <w:sz w:val="16"/>
                <w:szCs w:val="16"/>
              </w:rPr>
              <w:t>2050102</w:t>
            </w:r>
          </w:p>
        </w:tc>
        <w:tc>
          <w:tcPr>
            <w:tcW w:w="3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Cs w:val="21"/>
              </w:rPr>
            </w:pPr>
            <w:r>
              <w:rPr>
                <w:rFonts w:hint="eastAsia" w:cs="Arial"/>
                <w:color w:val="000000"/>
                <w:szCs w:val="21"/>
              </w:rPr>
              <w:t xml:space="preserve">  一般行政管理事务</w:t>
            </w:r>
          </w:p>
        </w:tc>
        <w:tc>
          <w:tcPr>
            <w:tcW w:w="1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44.65</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0.00</w:t>
            </w:r>
          </w:p>
        </w:tc>
        <w:tc>
          <w:tcPr>
            <w:tcW w:w="7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44.65</w:t>
            </w:r>
          </w:p>
        </w:tc>
      </w:tr>
      <w:tr>
        <w:tblPrEx>
          <w:tblLayout w:type="fixed"/>
          <w:tblCellMar>
            <w:top w:w="0" w:type="dxa"/>
            <w:left w:w="0" w:type="dxa"/>
            <w:bottom w:w="0" w:type="dxa"/>
            <w:right w:w="0" w:type="dxa"/>
          </w:tblCellMar>
        </w:tblPrEx>
        <w:trPr>
          <w:trHeight w:val="888" w:hRule="atLeast"/>
          <w:jc w:val="center"/>
        </w:trPr>
        <w:tc>
          <w:tcPr>
            <w:tcW w:w="289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6"/>
                <w:szCs w:val="16"/>
              </w:rPr>
            </w:pPr>
            <w:r>
              <w:rPr>
                <w:rFonts w:hint="eastAsia" w:cs="Arial"/>
                <w:color w:val="000000"/>
                <w:sz w:val="16"/>
                <w:szCs w:val="16"/>
              </w:rPr>
              <w:t>2050199</w:t>
            </w:r>
          </w:p>
        </w:tc>
        <w:tc>
          <w:tcPr>
            <w:tcW w:w="3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Cs w:val="21"/>
              </w:rPr>
            </w:pPr>
            <w:r>
              <w:rPr>
                <w:rFonts w:hint="eastAsia" w:cs="Arial"/>
                <w:color w:val="000000"/>
                <w:szCs w:val="21"/>
              </w:rPr>
              <w:t xml:space="preserve">  其他教育管理事务支出</w:t>
            </w:r>
          </w:p>
        </w:tc>
        <w:tc>
          <w:tcPr>
            <w:tcW w:w="1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16.85</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0.00</w:t>
            </w:r>
          </w:p>
        </w:tc>
        <w:tc>
          <w:tcPr>
            <w:tcW w:w="7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16.85</w:t>
            </w:r>
          </w:p>
        </w:tc>
      </w:tr>
      <w:tr>
        <w:tblPrEx>
          <w:tblLayout w:type="fixed"/>
          <w:tblCellMar>
            <w:top w:w="0" w:type="dxa"/>
            <w:left w:w="0" w:type="dxa"/>
            <w:bottom w:w="0" w:type="dxa"/>
            <w:right w:w="0" w:type="dxa"/>
          </w:tblCellMar>
        </w:tblPrEx>
        <w:trPr>
          <w:trHeight w:val="308" w:hRule="atLeast"/>
          <w:jc w:val="center"/>
        </w:trPr>
        <w:tc>
          <w:tcPr>
            <w:tcW w:w="289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6"/>
                <w:szCs w:val="16"/>
              </w:rPr>
            </w:pPr>
            <w:r>
              <w:rPr>
                <w:rFonts w:hint="eastAsia" w:cs="Arial"/>
                <w:color w:val="000000"/>
                <w:sz w:val="16"/>
                <w:szCs w:val="16"/>
              </w:rPr>
              <w:t>20502</w:t>
            </w:r>
          </w:p>
        </w:tc>
        <w:tc>
          <w:tcPr>
            <w:tcW w:w="3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Cs w:val="21"/>
              </w:rPr>
            </w:pPr>
            <w:r>
              <w:rPr>
                <w:rFonts w:hint="eastAsia" w:cs="Arial"/>
                <w:color w:val="000000"/>
                <w:szCs w:val="21"/>
              </w:rPr>
              <w:t>普通教育</w:t>
            </w:r>
          </w:p>
        </w:tc>
        <w:tc>
          <w:tcPr>
            <w:tcW w:w="1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18.00</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18.00</w:t>
            </w:r>
          </w:p>
        </w:tc>
        <w:tc>
          <w:tcPr>
            <w:tcW w:w="7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0.00</w:t>
            </w:r>
          </w:p>
        </w:tc>
      </w:tr>
      <w:tr>
        <w:tblPrEx>
          <w:tblLayout w:type="fixed"/>
          <w:tblCellMar>
            <w:top w:w="0" w:type="dxa"/>
            <w:left w:w="0" w:type="dxa"/>
            <w:bottom w:w="0" w:type="dxa"/>
            <w:right w:w="0" w:type="dxa"/>
          </w:tblCellMar>
        </w:tblPrEx>
        <w:trPr>
          <w:trHeight w:val="308" w:hRule="atLeast"/>
          <w:jc w:val="center"/>
        </w:trPr>
        <w:tc>
          <w:tcPr>
            <w:tcW w:w="289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6"/>
                <w:szCs w:val="16"/>
              </w:rPr>
            </w:pPr>
            <w:r>
              <w:rPr>
                <w:rFonts w:hint="eastAsia" w:cs="Arial"/>
                <w:color w:val="000000"/>
                <w:sz w:val="16"/>
                <w:szCs w:val="16"/>
              </w:rPr>
              <w:t>2050299</w:t>
            </w:r>
          </w:p>
        </w:tc>
        <w:tc>
          <w:tcPr>
            <w:tcW w:w="3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Cs w:val="21"/>
              </w:rPr>
            </w:pPr>
            <w:r>
              <w:rPr>
                <w:rFonts w:hint="eastAsia" w:cs="Arial"/>
                <w:color w:val="000000"/>
                <w:szCs w:val="21"/>
              </w:rPr>
              <w:t xml:space="preserve">  其他普通教育支出</w:t>
            </w:r>
          </w:p>
        </w:tc>
        <w:tc>
          <w:tcPr>
            <w:tcW w:w="1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18.00</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18.00</w:t>
            </w:r>
          </w:p>
        </w:tc>
        <w:tc>
          <w:tcPr>
            <w:tcW w:w="7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0.00</w:t>
            </w:r>
          </w:p>
        </w:tc>
      </w:tr>
      <w:tr>
        <w:tblPrEx>
          <w:tblLayout w:type="fixed"/>
          <w:tblCellMar>
            <w:top w:w="0" w:type="dxa"/>
            <w:left w:w="0" w:type="dxa"/>
            <w:bottom w:w="0" w:type="dxa"/>
            <w:right w:w="0" w:type="dxa"/>
          </w:tblCellMar>
        </w:tblPrEx>
        <w:trPr>
          <w:trHeight w:val="308" w:hRule="atLeast"/>
          <w:jc w:val="center"/>
        </w:trPr>
        <w:tc>
          <w:tcPr>
            <w:tcW w:w="289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6"/>
                <w:szCs w:val="16"/>
              </w:rPr>
            </w:pPr>
            <w:r>
              <w:rPr>
                <w:rFonts w:hint="eastAsia" w:cs="Arial"/>
                <w:color w:val="000000"/>
                <w:sz w:val="16"/>
                <w:szCs w:val="16"/>
              </w:rPr>
              <w:t>208</w:t>
            </w:r>
          </w:p>
        </w:tc>
        <w:tc>
          <w:tcPr>
            <w:tcW w:w="3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Cs w:val="21"/>
              </w:rPr>
            </w:pPr>
            <w:r>
              <w:rPr>
                <w:rFonts w:hint="eastAsia" w:cs="Arial"/>
                <w:color w:val="000000"/>
                <w:szCs w:val="21"/>
              </w:rPr>
              <w:t>社会保障和就业支出</w:t>
            </w:r>
          </w:p>
        </w:tc>
        <w:tc>
          <w:tcPr>
            <w:tcW w:w="1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29.93</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29.93</w:t>
            </w:r>
          </w:p>
        </w:tc>
        <w:tc>
          <w:tcPr>
            <w:tcW w:w="7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0.00</w:t>
            </w:r>
          </w:p>
        </w:tc>
      </w:tr>
      <w:tr>
        <w:tblPrEx>
          <w:tblLayout w:type="fixed"/>
          <w:tblCellMar>
            <w:top w:w="0" w:type="dxa"/>
            <w:left w:w="0" w:type="dxa"/>
            <w:bottom w:w="0" w:type="dxa"/>
            <w:right w:w="0" w:type="dxa"/>
          </w:tblCellMar>
        </w:tblPrEx>
        <w:trPr>
          <w:trHeight w:val="308" w:hRule="atLeast"/>
          <w:jc w:val="center"/>
        </w:trPr>
        <w:tc>
          <w:tcPr>
            <w:tcW w:w="289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6"/>
                <w:szCs w:val="16"/>
              </w:rPr>
            </w:pPr>
            <w:r>
              <w:rPr>
                <w:rFonts w:hint="eastAsia" w:cs="Arial"/>
                <w:color w:val="000000"/>
                <w:sz w:val="16"/>
                <w:szCs w:val="16"/>
              </w:rPr>
              <w:t>20805</w:t>
            </w:r>
          </w:p>
        </w:tc>
        <w:tc>
          <w:tcPr>
            <w:tcW w:w="3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Cs w:val="21"/>
              </w:rPr>
            </w:pPr>
            <w:r>
              <w:rPr>
                <w:rFonts w:hint="eastAsia" w:eastAsia="宋体" w:cs="Arial"/>
                <w:color w:val="000000"/>
                <w:szCs w:val="21"/>
              </w:rPr>
              <w:t xml:space="preserve"> </w:t>
            </w:r>
            <w:r>
              <w:rPr>
                <w:rFonts w:hint="eastAsia" w:cs="Arial"/>
                <w:color w:val="000000"/>
                <w:szCs w:val="21"/>
              </w:rPr>
              <w:t>行政事业单位离退休</w:t>
            </w:r>
          </w:p>
        </w:tc>
        <w:tc>
          <w:tcPr>
            <w:tcW w:w="1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29.93</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29.93</w:t>
            </w:r>
          </w:p>
        </w:tc>
        <w:tc>
          <w:tcPr>
            <w:tcW w:w="7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0.00</w:t>
            </w:r>
          </w:p>
        </w:tc>
      </w:tr>
      <w:tr>
        <w:tblPrEx>
          <w:tblLayout w:type="fixed"/>
          <w:tblCellMar>
            <w:top w:w="0" w:type="dxa"/>
            <w:left w:w="0" w:type="dxa"/>
            <w:bottom w:w="0" w:type="dxa"/>
            <w:right w:w="0" w:type="dxa"/>
          </w:tblCellMar>
        </w:tblPrEx>
        <w:trPr>
          <w:trHeight w:val="308" w:hRule="atLeast"/>
          <w:jc w:val="center"/>
        </w:trPr>
        <w:tc>
          <w:tcPr>
            <w:tcW w:w="289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16"/>
                <w:szCs w:val="16"/>
              </w:rPr>
            </w:pPr>
            <w:r>
              <w:rPr>
                <w:rFonts w:hint="eastAsia" w:cs="Arial"/>
                <w:color w:val="000000"/>
                <w:sz w:val="16"/>
                <w:szCs w:val="16"/>
              </w:rPr>
              <w:t>2080505</w:t>
            </w:r>
          </w:p>
        </w:tc>
        <w:tc>
          <w:tcPr>
            <w:tcW w:w="3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Cs w:val="21"/>
              </w:rPr>
            </w:pPr>
            <w:r>
              <w:rPr>
                <w:rFonts w:hint="eastAsia" w:cs="Arial"/>
                <w:color w:val="000000"/>
                <w:szCs w:val="21"/>
              </w:rPr>
              <w:t xml:space="preserve">  机关事业单位基本养老保险缴费支出</w:t>
            </w:r>
          </w:p>
        </w:tc>
        <w:tc>
          <w:tcPr>
            <w:tcW w:w="1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29.93</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29.93</w:t>
            </w:r>
          </w:p>
        </w:tc>
        <w:tc>
          <w:tcPr>
            <w:tcW w:w="7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0.00</w:t>
            </w:r>
          </w:p>
        </w:tc>
      </w:tr>
    </w:tbl>
    <w:p>
      <w:r>
        <w:rPr>
          <w:sz w:val="20"/>
          <w:szCs w:val="21"/>
        </w:rPr>
        <w:br w:type="page"/>
      </w:r>
    </w:p>
    <w:tbl>
      <w:tblPr>
        <w:tblStyle w:val="8"/>
        <w:tblW w:w="10000" w:type="dxa"/>
        <w:jc w:val="center"/>
        <w:tblInd w:w="0" w:type="dxa"/>
        <w:tblLayout w:type="fixed"/>
        <w:tblCellMar>
          <w:top w:w="0" w:type="dxa"/>
          <w:left w:w="0" w:type="dxa"/>
          <w:bottom w:w="0" w:type="dxa"/>
          <w:right w:w="0" w:type="dxa"/>
        </w:tblCellMar>
      </w:tblPr>
      <w:tblGrid>
        <w:gridCol w:w="896"/>
        <w:gridCol w:w="153"/>
        <w:gridCol w:w="1779"/>
        <w:gridCol w:w="783"/>
        <w:gridCol w:w="655"/>
        <w:gridCol w:w="1599"/>
        <w:gridCol w:w="768"/>
        <w:gridCol w:w="744"/>
        <w:gridCol w:w="1891"/>
        <w:gridCol w:w="732"/>
      </w:tblGrid>
      <w:tr>
        <w:tblPrEx>
          <w:tblLayout w:type="fixed"/>
          <w:tblCellMar>
            <w:top w:w="0" w:type="dxa"/>
            <w:left w:w="0" w:type="dxa"/>
            <w:bottom w:w="0" w:type="dxa"/>
            <w:right w:w="0" w:type="dxa"/>
          </w:tblCellMar>
        </w:tblPrEx>
        <w:trPr>
          <w:trHeight w:val="662" w:hRule="atLeast"/>
          <w:jc w:val="center"/>
        </w:trPr>
        <w:tc>
          <w:tcPr>
            <w:tcW w:w="1000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Layout w:type="fixed"/>
          <w:tblCellMar>
            <w:top w:w="0" w:type="dxa"/>
            <w:left w:w="0" w:type="dxa"/>
            <w:bottom w:w="0" w:type="dxa"/>
            <w:right w:w="0" w:type="dxa"/>
          </w:tblCellMar>
        </w:tblPrEx>
        <w:trPr>
          <w:trHeight w:val="339" w:hRule="atLeast"/>
          <w:jc w:val="center"/>
        </w:trPr>
        <w:tc>
          <w:tcPr>
            <w:tcW w:w="1049"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77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Layout w:type="fixed"/>
          <w:tblCellMar>
            <w:top w:w="0" w:type="dxa"/>
            <w:left w:w="0" w:type="dxa"/>
            <w:bottom w:w="0" w:type="dxa"/>
            <w:right w:w="0" w:type="dxa"/>
          </w:tblCellMar>
        </w:tblPrEx>
        <w:trPr>
          <w:trHeight w:val="933" w:hRule="atLeast"/>
          <w:jc w:val="center"/>
        </w:trPr>
        <w:tc>
          <w:tcPr>
            <w:tcW w:w="1049" w:type="dxa"/>
            <w:gridSpan w:val="2"/>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 xml:space="preserve">部门：石家庄市鹿泉区教育局（本级）              </w:t>
            </w:r>
          </w:p>
        </w:tc>
        <w:tc>
          <w:tcPr>
            <w:tcW w:w="177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 xml:space="preserve">                  </w:t>
            </w: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Layout w:type="fixed"/>
          <w:tblCellMar>
            <w:top w:w="0" w:type="dxa"/>
            <w:left w:w="0" w:type="dxa"/>
            <w:bottom w:w="0" w:type="dxa"/>
            <w:right w:w="0" w:type="dxa"/>
          </w:tblCellMar>
        </w:tblPrEx>
        <w:trPr>
          <w:trHeight w:val="339" w:hRule="atLeast"/>
          <w:jc w:val="center"/>
        </w:trPr>
        <w:tc>
          <w:tcPr>
            <w:tcW w:w="1049" w:type="dxa"/>
            <w:gridSpan w:val="2"/>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kern w:val="0"/>
                <w:sz w:val="20"/>
                <w:szCs w:val="20"/>
              </w:rPr>
            </w:pPr>
          </w:p>
        </w:tc>
        <w:tc>
          <w:tcPr>
            <w:tcW w:w="177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kern w:val="0"/>
                <w:sz w:val="18"/>
                <w:szCs w:val="18"/>
              </w:rPr>
            </w:pPr>
          </w:p>
        </w:tc>
      </w:tr>
      <w:tr>
        <w:tblPrEx>
          <w:tblLayout w:type="fixed"/>
          <w:tblCellMar>
            <w:top w:w="0" w:type="dxa"/>
            <w:left w:w="0" w:type="dxa"/>
            <w:bottom w:w="0" w:type="dxa"/>
            <w:right w:w="0" w:type="dxa"/>
          </w:tblCellMar>
        </w:tblPrEx>
        <w:trPr>
          <w:trHeight w:val="362" w:hRule="atLeast"/>
          <w:jc w:val="center"/>
        </w:trPr>
        <w:tc>
          <w:tcPr>
            <w:tcW w:w="3611"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Layout w:type="fixed"/>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科目</w:t>
            </w:r>
          </w:p>
          <w:p>
            <w:pPr>
              <w:widowControl/>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编码</w:t>
            </w:r>
          </w:p>
        </w:tc>
        <w:tc>
          <w:tcPr>
            <w:tcW w:w="1932"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科目</w:t>
            </w:r>
          </w:p>
          <w:p>
            <w:pPr>
              <w:widowControl/>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决算数</w:t>
            </w:r>
          </w:p>
        </w:tc>
      </w:tr>
      <w:tr>
        <w:tblPrEx>
          <w:tblLayout w:type="fixed"/>
          <w:tblCellMar>
            <w:top w:w="0" w:type="dxa"/>
            <w:left w:w="0" w:type="dxa"/>
            <w:bottom w:w="0" w:type="dxa"/>
            <w:right w:w="0" w:type="dxa"/>
          </w:tblCellMar>
        </w:tblPrEx>
        <w:trPr>
          <w:trHeight w:val="312"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1,160.99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122.91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30101</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367.19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13.04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30102</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28.03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1.70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30103</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236.63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11.86</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30106</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30107</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205.09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11.86</w:t>
            </w:r>
          </w:p>
        </w:tc>
      </w:tr>
      <w:tr>
        <w:tblPrEx>
          <w:tblLayout w:type="fixed"/>
          <w:tblCellMar>
            <w:top w:w="0" w:type="dxa"/>
            <w:left w:w="0" w:type="dxa"/>
            <w:bottom w:w="0" w:type="dxa"/>
            <w:right w:w="0" w:type="dxa"/>
          </w:tblCellMar>
        </w:tblPrEx>
        <w:trPr>
          <w:trHeight w:val="341"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30108</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124.77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30109</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39.42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93"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30110</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80.73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371"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30111</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8.91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30112</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2.63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0.68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25"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30113</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64.09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30114</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2.46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336"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30199</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51.83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303</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52.72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30301</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32.37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0.30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30302</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1.66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5"/>
                <w:szCs w:val="15"/>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30303</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30304</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30305</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18.70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38"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30306</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0.14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30307</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40.82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30308</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1.51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tcPr>
          <w:p>
            <w:pPr>
              <w:jc w:val="right"/>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398"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30309</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5.87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tcPr>
          <w:p>
            <w:pPr>
              <w:jc w:val="right"/>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334"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30310</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0.65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tcPr>
          <w:p>
            <w:pPr>
              <w:jc w:val="right"/>
            </w:pPr>
            <w:r>
              <w:rPr>
                <w:rFonts w:hint="eastAsia" w:ascii="宋体" w:hAnsi="宋体" w:eastAsia="宋体" w:cs="Arial"/>
                <w:color w:val="000000"/>
                <w:sz w:val="15"/>
                <w:szCs w:val="15"/>
              </w:rPr>
              <w:t>0.00</w:t>
            </w:r>
          </w:p>
        </w:tc>
      </w:tr>
      <w:tr>
        <w:tblPrEx>
          <w:tblLayout w:type="fixed"/>
          <w:tblCellMar>
            <w:top w:w="0" w:type="dxa"/>
            <w:left w:w="0" w:type="dxa"/>
            <w:bottom w:w="0" w:type="dxa"/>
            <w:right w:w="0" w:type="dxa"/>
          </w:tblCellMar>
        </w:tblPrEx>
        <w:trPr>
          <w:trHeight w:val="283"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30399</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3"/>
                <w:szCs w:val="13"/>
              </w:rPr>
            </w:pPr>
            <w:r>
              <w:rPr>
                <w:rFonts w:hint="eastAsia" w:ascii="宋体" w:hAnsi="宋体" w:eastAsia="宋体" w:cs="Arial"/>
                <w:color w:val="000000"/>
                <w:sz w:val="13"/>
                <w:szCs w:val="13"/>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6.14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5"/>
                <w:szCs w:val="15"/>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5"/>
                <w:szCs w:val="15"/>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7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5"/>
                <w:szCs w:val="15"/>
              </w:rPr>
            </w:pP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5"/>
                <w:szCs w:val="15"/>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15"/>
                <w:szCs w:val="15"/>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5"/>
                <w:szCs w:val="15"/>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5"/>
                <w:szCs w:val="15"/>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0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3"/>
                <w:szCs w:val="13"/>
              </w:rPr>
            </w:pP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3"/>
                <w:szCs w:val="13"/>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13"/>
                <w:szCs w:val="13"/>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其他商品和服务支出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Arial"/>
                <w:color w:val="000000"/>
                <w:sz w:val="15"/>
                <w:szCs w:val="15"/>
              </w:rPr>
            </w:pPr>
            <w:r>
              <w:rPr>
                <w:rFonts w:hint="eastAsia" w:ascii="宋体" w:hAnsi="宋体" w:eastAsia="宋体" w:cs="Arial"/>
                <w:color w:val="000000"/>
                <w:sz w:val="15"/>
                <w:szCs w:val="15"/>
              </w:rPr>
              <w:t>1.29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317" w:hRule="atLeast"/>
          <w:jc w:val="center"/>
        </w:trPr>
        <w:tc>
          <w:tcPr>
            <w:tcW w:w="282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人员经费合计</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13"/>
                <w:szCs w:val="13"/>
              </w:rPr>
            </w:pPr>
            <w:r>
              <w:rPr>
                <w:rFonts w:hint="eastAsia" w:ascii="宋体" w:hAnsi="宋体" w:eastAsia="宋体" w:cs="宋体"/>
                <w:b/>
                <w:color w:val="000000"/>
                <w:sz w:val="13"/>
                <w:szCs w:val="13"/>
              </w:rPr>
              <w:t>1,213.70</w:t>
            </w:r>
          </w:p>
          <w:p>
            <w:pPr>
              <w:spacing w:line="220" w:lineRule="exact"/>
              <w:jc w:val="right"/>
              <w:rPr>
                <w:rFonts w:ascii="宋体" w:hAnsi="宋体" w:eastAsia="宋体" w:cs="宋体"/>
                <w:b/>
                <w:color w:val="000000"/>
                <w:sz w:val="13"/>
                <w:szCs w:val="13"/>
              </w:rPr>
            </w:pPr>
          </w:p>
        </w:tc>
        <w:tc>
          <w:tcPr>
            <w:tcW w:w="565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b/>
                <w:color w:val="000000"/>
                <w:sz w:val="13"/>
                <w:szCs w:val="13"/>
              </w:rPr>
            </w:pPr>
            <w:r>
              <w:rPr>
                <w:rFonts w:hint="eastAsia" w:ascii="宋体" w:hAnsi="宋体" w:eastAsia="宋体" w:cs="宋体"/>
                <w:b/>
                <w:color w:val="000000"/>
                <w:kern w:val="0"/>
                <w:sz w:val="13"/>
                <w:szCs w:val="13"/>
              </w:rPr>
              <w:t>公用经费合计</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3"/>
                <w:szCs w:val="13"/>
              </w:rPr>
            </w:pPr>
            <w:r>
              <w:rPr>
                <w:rFonts w:hint="eastAsia" w:ascii="宋体" w:hAnsi="宋体" w:eastAsia="宋体" w:cs="宋体"/>
                <w:color w:val="000000"/>
                <w:sz w:val="13"/>
                <w:szCs w:val="13"/>
              </w:rPr>
              <w:t>134.78</w:t>
            </w:r>
          </w:p>
          <w:p>
            <w:pPr>
              <w:spacing w:line="180" w:lineRule="exact"/>
              <w:jc w:val="right"/>
              <w:rPr>
                <w:rFonts w:ascii="宋体" w:hAnsi="宋体" w:eastAsia="宋体" w:cs="宋体"/>
                <w:color w:val="000000"/>
                <w:sz w:val="20"/>
                <w:szCs w:val="20"/>
              </w:rPr>
            </w:pPr>
          </w:p>
        </w:tc>
      </w:tr>
    </w:tbl>
    <w:p>
      <w:r>
        <w:br w:type="page"/>
      </w:r>
    </w:p>
    <w:tbl>
      <w:tblPr>
        <w:tblStyle w:val="8"/>
        <w:tblW w:w="9220" w:type="dxa"/>
        <w:jc w:val="center"/>
        <w:tblInd w:w="0" w:type="dxa"/>
        <w:tblLayout w:type="fixed"/>
        <w:tblCellMar>
          <w:top w:w="0" w:type="dxa"/>
          <w:left w:w="0" w:type="dxa"/>
          <w:bottom w:w="0" w:type="dxa"/>
          <w:right w:w="0" w:type="dxa"/>
        </w:tblCellMar>
      </w:tblPr>
      <w:tblGrid>
        <w:gridCol w:w="3430"/>
        <w:gridCol w:w="1442"/>
        <w:gridCol w:w="1003"/>
        <w:gridCol w:w="919"/>
        <w:gridCol w:w="854"/>
        <w:gridCol w:w="1572"/>
      </w:tblGrid>
      <w:tr>
        <w:tblPrEx>
          <w:tblLayout w:type="fixed"/>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Layout w:type="fixed"/>
          <w:tblCellMar>
            <w:top w:w="0" w:type="dxa"/>
            <w:left w:w="0" w:type="dxa"/>
            <w:bottom w:w="0" w:type="dxa"/>
            <w:right w:w="0" w:type="dxa"/>
          </w:tblCellMar>
        </w:tblPrEx>
        <w:trPr>
          <w:trHeight w:val="360" w:hRule="atLeast"/>
          <w:jc w:val="center"/>
        </w:trPr>
        <w:tc>
          <w:tcPr>
            <w:tcW w:w="343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4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1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5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Layout w:type="fixed"/>
          <w:tblCellMar>
            <w:top w:w="0" w:type="dxa"/>
            <w:left w:w="0" w:type="dxa"/>
            <w:bottom w:w="0" w:type="dxa"/>
            <w:right w:w="0" w:type="dxa"/>
          </w:tblCellMar>
        </w:tblPrEx>
        <w:trPr>
          <w:trHeight w:val="360" w:hRule="atLeast"/>
          <w:jc w:val="center"/>
        </w:trPr>
        <w:tc>
          <w:tcPr>
            <w:tcW w:w="3430"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部门：石家庄市鹿泉区教育局（本级）</w:t>
            </w:r>
          </w:p>
        </w:tc>
        <w:tc>
          <w:tcPr>
            <w:tcW w:w="144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1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5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Layout w:type="fixed"/>
          <w:tblCellMar>
            <w:top w:w="0" w:type="dxa"/>
            <w:left w:w="0" w:type="dxa"/>
            <w:bottom w:w="0" w:type="dxa"/>
            <w:right w:w="0" w:type="dxa"/>
          </w:tblCellMar>
        </w:tblPrEx>
        <w:trPr>
          <w:trHeight w:val="417" w:hRule="atLeast"/>
          <w:jc w:val="center"/>
        </w:trPr>
        <w:tc>
          <w:tcPr>
            <w:tcW w:w="3430"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442"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2776"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Layout w:type="fixed"/>
          <w:tblCellMar>
            <w:top w:w="0" w:type="dxa"/>
            <w:left w:w="0" w:type="dxa"/>
            <w:bottom w:w="0" w:type="dxa"/>
            <w:right w:w="0" w:type="dxa"/>
          </w:tblCellMar>
        </w:tblPrEx>
        <w:trPr>
          <w:trHeight w:val="417" w:hRule="atLeast"/>
          <w:jc w:val="center"/>
        </w:trPr>
        <w:tc>
          <w:tcPr>
            <w:tcW w:w="3430"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4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9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3430"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4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Layout w:type="fixed"/>
          <w:tblCellMar>
            <w:top w:w="0" w:type="dxa"/>
            <w:left w:w="0" w:type="dxa"/>
            <w:bottom w:w="0" w:type="dxa"/>
            <w:right w:w="0" w:type="dxa"/>
          </w:tblCellMar>
        </w:tblPrEx>
        <w:trPr>
          <w:trHeight w:val="417" w:hRule="atLeast"/>
          <w:jc w:val="center"/>
        </w:trPr>
        <w:tc>
          <w:tcPr>
            <w:tcW w:w="3430"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5.85</w:t>
            </w:r>
          </w:p>
        </w:tc>
        <w:tc>
          <w:tcPr>
            <w:tcW w:w="14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0.00</w:t>
            </w:r>
          </w:p>
        </w:tc>
        <w:tc>
          <w:tcPr>
            <w:tcW w:w="1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4.05</w:t>
            </w:r>
          </w:p>
        </w:tc>
        <w:tc>
          <w:tcPr>
            <w:tcW w:w="9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0.00</w:t>
            </w: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1.80</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Layout w:type="fixed"/>
          <w:tblCellMar>
            <w:top w:w="0" w:type="dxa"/>
            <w:left w:w="0" w:type="dxa"/>
            <w:bottom w:w="0" w:type="dxa"/>
            <w:right w:w="0" w:type="dxa"/>
          </w:tblCellMar>
        </w:tblPrEx>
        <w:trPr>
          <w:trHeight w:val="417" w:hRule="atLeast"/>
          <w:jc w:val="center"/>
        </w:trPr>
        <w:tc>
          <w:tcPr>
            <w:tcW w:w="3430"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442"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2776"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Layout w:type="fixed"/>
          <w:tblCellMar>
            <w:top w:w="0" w:type="dxa"/>
            <w:left w:w="0" w:type="dxa"/>
            <w:bottom w:w="0" w:type="dxa"/>
            <w:right w:w="0" w:type="dxa"/>
          </w:tblCellMar>
        </w:tblPrEx>
        <w:trPr>
          <w:trHeight w:val="417" w:hRule="atLeast"/>
          <w:jc w:val="center"/>
        </w:trPr>
        <w:tc>
          <w:tcPr>
            <w:tcW w:w="3430"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4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9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3430"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4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9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Layout w:type="fixed"/>
          <w:tblCellMar>
            <w:top w:w="0" w:type="dxa"/>
            <w:left w:w="0" w:type="dxa"/>
            <w:bottom w:w="0" w:type="dxa"/>
            <w:right w:w="0" w:type="dxa"/>
          </w:tblCellMar>
        </w:tblPrEx>
        <w:trPr>
          <w:trHeight w:val="447" w:hRule="atLeast"/>
          <w:jc w:val="center"/>
        </w:trPr>
        <w:tc>
          <w:tcPr>
            <w:tcW w:w="3430"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0.65</w:t>
            </w:r>
          </w:p>
        </w:tc>
        <w:tc>
          <w:tcPr>
            <w:tcW w:w="1442"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0.00</w:t>
            </w:r>
          </w:p>
        </w:tc>
        <w:tc>
          <w:tcPr>
            <w:tcW w:w="1003"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0.65</w:t>
            </w:r>
          </w:p>
        </w:tc>
        <w:tc>
          <w:tcPr>
            <w:tcW w:w="91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0.00</w:t>
            </w:r>
          </w:p>
        </w:tc>
        <w:tc>
          <w:tcPr>
            <w:tcW w:w="85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0.65</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0.00</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8"/>
        <w:tblW w:w="9510" w:type="dxa"/>
        <w:jc w:val="center"/>
        <w:tblInd w:w="0" w:type="dxa"/>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Layout w:type="fixed"/>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Layout w:type="fixed"/>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pPr>
        <w:widowControl/>
        <w:spacing w:line="560" w:lineRule="exact"/>
        <w:jc w:val="left"/>
        <w:rPr>
          <w:rFonts w:hint="eastAsia" w:ascii="仿宋_GB2312" w:eastAsia="仿宋_GB2312" w:hAnsiTheme="majorEastAsia"/>
          <w:b/>
          <w:sz w:val="28"/>
          <w:szCs w:val="28"/>
        </w:rPr>
        <w:sectPr>
          <w:pgSz w:w="11906" w:h="16838"/>
          <w:pgMar w:top="2098" w:right="1474" w:bottom="1984" w:left="1588" w:header="851" w:footer="992" w:gutter="0"/>
          <w:cols w:space="0" w:num="1"/>
          <w:docGrid w:type="lines" w:linePitch="312" w:charSpace="0"/>
        </w:sectPr>
      </w:pPr>
      <w:r>
        <w:rPr>
          <w:rFonts w:hint="eastAsia" w:ascii="仿宋_GB2312" w:eastAsia="仿宋_GB2312" w:hAnsiTheme="majorEastAsia"/>
          <w:b/>
          <w:sz w:val="28"/>
          <w:szCs w:val="28"/>
        </w:rPr>
        <w:t>本部门本年度无政府性基金预算财政拨款收入支出情况，按要求空表列示。</w:t>
      </w:r>
    </w:p>
    <w:p/>
    <w:tbl>
      <w:tblPr>
        <w:tblStyle w:val="8"/>
        <w:tblW w:w="9915" w:type="dxa"/>
        <w:jc w:val="center"/>
        <w:tblInd w:w="0" w:type="dxa"/>
        <w:tblLayout w:type="fixed"/>
        <w:tblCellMar>
          <w:top w:w="0" w:type="dxa"/>
          <w:left w:w="0" w:type="dxa"/>
          <w:bottom w:w="0" w:type="dxa"/>
          <w:right w:w="0" w:type="dxa"/>
        </w:tblCellMar>
      </w:tblPr>
      <w:tblGrid>
        <w:gridCol w:w="1288"/>
        <w:gridCol w:w="74"/>
        <w:gridCol w:w="74"/>
        <w:gridCol w:w="3798"/>
        <w:gridCol w:w="961"/>
        <w:gridCol w:w="1860"/>
        <w:gridCol w:w="1860"/>
      </w:tblGrid>
      <w:tr>
        <w:tblPrEx>
          <w:tblLayout w:type="fixed"/>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Layout w:type="fixed"/>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pPr>
        <w:widowControl/>
        <w:spacing w:line="560" w:lineRule="exact"/>
        <w:jc w:val="left"/>
        <w:rPr>
          <w:rFonts w:hint="eastAsia" w:ascii="仿宋_GB2312" w:eastAsia="仿宋_GB2312" w:hAnsiTheme="majorEastAsia"/>
          <w:b/>
          <w:sz w:val="28"/>
          <w:szCs w:val="28"/>
        </w:rPr>
        <w:sectPr>
          <w:pgSz w:w="11906" w:h="16838"/>
          <w:pgMar w:top="2098" w:right="1474" w:bottom="1984" w:left="1588" w:header="851" w:footer="992" w:gutter="0"/>
          <w:cols w:space="0" w:num="1"/>
          <w:docGrid w:type="lines" w:linePitch="312" w:charSpace="0"/>
        </w:sectPr>
      </w:pPr>
      <w:r>
        <w:rPr>
          <w:rFonts w:hint="eastAsia" w:ascii="仿宋_GB2312" w:eastAsia="仿宋_GB2312" w:hAnsiTheme="majorEastAsia"/>
          <w:b/>
          <w:sz w:val="28"/>
          <w:szCs w:val="28"/>
        </w:rPr>
        <w:t>本部门本年度无国有资本经营预算财政拨款支出情况，按要求空表列示。</w:t>
      </w:r>
    </w:p>
    <w:p>
      <w:r>
        <w:br w:type="page"/>
      </w:r>
    </w:p>
    <w:p>
      <w:r>
        <w:pict>
          <v:rect id="_x0000_s1027" o:spid="_x0000_s1027" o:spt="1" style="position:absolute;left:0pt;margin-left:-70.5pt;margin-top:-85.25pt;height:841.15pt;width:595.1pt;z-index:437187584;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path/>
            <v:fill on="t" focussize="0,0"/>
            <v:stroke on="f" weight="1pt"/>
            <v:imagedata o:title=""/>
            <o:lock v:ext="edit"/>
          </v:rect>
        </w:pict>
      </w:r>
    </w:p>
    <w:sectPr>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0000000000000000000"/>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UI"/>
    <w:panose1 w:val="00000000000000000000"/>
    <w:charset w:val="80"/>
    <w:family w:val="swiss"/>
    <w:pitch w:val="default"/>
    <w:sig w:usb0="00000000" w:usb1="00000000" w:usb2="00000016" w:usb3="00000000" w:csb0="2002009F" w:csb1="00000000"/>
  </w:font>
  <w:font w:name="思源黑体 HW Bold">
    <w:altName w:val="宋体"/>
    <w:panose1 w:val="00000000000000000000"/>
    <w:charset w:val="86"/>
    <w:family w:val="swiss"/>
    <w:pitch w:val="default"/>
    <w:sig w:usb0="00000000" w:usb1="00000000" w:usb2="00000016" w:usb3="00000000" w:csb0="002E0107"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AFF" w:usb1="C0007843" w:usb2="00000009" w:usb3="00000000" w:csb0="400001FF" w:csb1="FFFF0000"/>
  </w:font>
  <w:font w:name="等线 Light">
    <w:altName w:val="宋体"/>
    <w:panose1 w:val="00000000000000000000"/>
    <w:charset w:val="86"/>
    <w:family w:val="roman"/>
    <w:pitch w:val="default"/>
    <w:sig w:usb0="00000000" w:usb1="00000000" w:usb2="00000000" w:usb3="00000000" w:csb0="00000000" w:csb1="00000000"/>
  </w:font>
  <w:font w:name="等线">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Meiryo UI">
    <w:panose1 w:val="020B0604030504040204"/>
    <w:charset w:val="80"/>
    <w:family w:val="auto"/>
    <w:pitch w:val="default"/>
    <w:sig w:usb0="E10102FF" w:usb1="EAC7FFFF" w:usb2="00010012" w:usb3="00000000" w:csb0="6002009F" w:csb1="DFD70000"/>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62" o:spid="_x0000_s2062"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- 12 -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7" o:spid="_x0000_s2077"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- 11 -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85" o:spid="_x0000_s2085"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54" o:spid="_x0000_s2054"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- 31 -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90" o:spid="_x0000_s2090" o:spt="203" style="position:absolute;left:0pt;margin-top:29.75pt;height:32pt;width:157.5pt;mso-position-horizontal:left;mso-position-horizontal-relative:page;mso-position-vertical-relative:page;z-index:251659264;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v:shape id="_x0000_s2092" o:spid="_x0000_s2092"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91"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86" o:spid="_x0000_s2086" o:spt="203" style="position:absolute;left:0pt;margin-left:0pt;margin-top:0pt;height:58.95pt;width:596.5pt;mso-position-horizontal-relative:page;mso-position-vertical-relative:page;z-index:251658240;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v:rect id="矩形 2" o:spid="_x0000_s2089"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88"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87"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58" o:spid="_x0000_s2058" o:spt="203" style="position:absolute;left:0pt;margin-left:0pt;margin-top:43.35pt;height:37.85pt;width:594.8pt;mso-position-horizontal-relative:page;mso-position-vertical-relative:page;z-index:251754496;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v:rect id="矩形 2" o:spid="_x0000_s2061"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60"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59"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55" o:spid="_x0000_s2055" o:spt="203" style="position:absolute;left:0pt;margin-left:-2.15pt;margin-top:47.15pt;height:32pt;width:235.7pt;mso-position-horizontal-relative:page;mso-position-vertical-relative:page;z-index:251755520;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v:shape id="_x0000_s2057" o:spid="_x0000_s2057"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5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7" o:spid="_x0000_s2067" o:spt="203" style="position:absolute;left:0pt;margin-top:29.75pt;height:32pt;width:157.5pt;mso-position-horizontal:left;mso-position-horizontal-relative:page;mso-position-vertical-relative:page;z-index:251757568;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v:shape id="_x0000_s2069" o:spid="_x0000_s2069"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68"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63" o:spid="_x0000_s2063" o:spt="203" style="position:absolute;left:0pt;margin-left:0pt;margin-top:0pt;height:58.95pt;width:596.5pt;mso-position-horizontal-relative:page;mso-position-vertical-relative:page;z-index:25175654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v:rect id="矩形 2" o:spid="_x0000_s206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65"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2064"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50" o:spid="_x0000_s2050" o:spt="203" style="position:absolute;left:0pt;margin-left:-2.15pt;margin-top:59pt;height:32.8pt;width:596.85pt;mso-position-horizontal-relative:page;mso-position-vertical-relative:page;z-index:252834816;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v:rect id="矩形 2" o:spid="_x0000_s2053"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52"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1"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 path="m668,0l2619,10,2619,1265,0,1265,668,0xe">
            <v:path o:connecttype="segments" o:connectlocs="608,0;2385,8;2385,1107;0,1107;608,0" o:connectangles="0,0,0,0,0"/>
            <v:fill on="t" focussize="0,0"/>
            <v:stroke on="f" weight="1pt" joinstyle="miter"/>
            <v:imagedata o:title=""/>
            <o:lock v:ext="edit"/>
          </v:shape>
        </v:group>
      </w:pict>
    </w:r>
    <w:r>
      <w:pict>
        <v:shape id="_x0000_s2049" o:spid="_x0000_s2049"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1" o:spid="_x0000_s2081" o:spt="203" style="position:absolute;left:0pt;margin-left:0pt;margin-top:53.75pt;height:31.5pt;width:594.8pt;mso-position-horizontal-relative:page;mso-position-vertical-relative:page;z-index:25188556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084"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83"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82"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pict>
        <v:group id="_x0000_s2078" o:spid="_x0000_s2078" o:spt="203" style="position:absolute;left:0pt;margin-left:-2.15pt;margin-top:47.15pt;height:32pt;width:235.7pt;mso-position-horizontal-relative:page;mso-position-vertical-relative:page;z-index:25188659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v:shape id="_x0000_s2080" o:spid="_x0000_s2080"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79"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4" o:spid="_x0000_s2074" o:spt="203" style="position:absolute;left:0pt;margin-left:2.25pt;margin-top:45.75pt;height:32.05pt;width:239.85pt;mso-position-horizontal-relative:page;mso-position-vertical-relative:page;z-index:251706368;mso-width-relative:page;mso-height-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v:shape id="_x0000_s2076" o:spid="_x0000_s207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75"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70" o:spid="_x0000_s2070" o:spt="203" style="position:absolute;left:0pt;margin-left:2.75pt;margin-top:46.95pt;height:32.8pt;width:596.85pt;mso-position-horizontal-relative:page;mso-position-vertical-relative:page;z-index:251705344;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v:rect id="矩形 2" o:spid="_x0000_s2073"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72"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2071"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7063E"/>
    <w:rsid w:val="00073392"/>
    <w:rsid w:val="00073F4E"/>
    <w:rsid w:val="0008031F"/>
    <w:rsid w:val="00086C89"/>
    <w:rsid w:val="000A39FB"/>
    <w:rsid w:val="00117746"/>
    <w:rsid w:val="00144917"/>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36BC3"/>
    <w:rsid w:val="00552226"/>
    <w:rsid w:val="00566120"/>
    <w:rsid w:val="00582E6D"/>
    <w:rsid w:val="005954D5"/>
    <w:rsid w:val="005A53FA"/>
    <w:rsid w:val="005D1293"/>
    <w:rsid w:val="005E3509"/>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07CE"/>
    <w:rsid w:val="00966E5B"/>
    <w:rsid w:val="009B4EF0"/>
    <w:rsid w:val="009D271F"/>
    <w:rsid w:val="00A67F25"/>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41400"/>
    <w:rsid w:val="00E82A1E"/>
    <w:rsid w:val="00EA05EC"/>
    <w:rsid w:val="00EC06F4"/>
    <w:rsid w:val="00EE4E36"/>
    <w:rsid w:val="00F665F4"/>
    <w:rsid w:val="00FD225F"/>
    <w:rsid w:val="046D3F0C"/>
    <w:rsid w:val="04DD0D95"/>
    <w:rsid w:val="05B00A30"/>
    <w:rsid w:val="0B011416"/>
    <w:rsid w:val="0D286081"/>
    <w:rsid w:val="118F26A5"/>
    <w:rsid w:val="13022B84"/>
    <w:rsid w:val="166772D2"/>
    <w:rsid w:val="18251793"/>
    <w:rsid w:val="1B877B62"/>
    <w:rsid w:val="22F4103D"/>
    <w:rsid w:val="2A78455C"/>
    <w:rsid w:val="2AC66DD5"/>
    <w:rsid w:val="2B957E67"/>
    <w:rsid w:val="31C2036A"/>
    <w:rsid w:val="320D02A5"/>
    <w:rsid w:val="348E566F"/>
    <w:rsid w:val="362B205A"/>
    <w:rsid w:val="36966677"/>
    <w:rsid w:val="3A226944"/>
    <w:rsid w:val="3AEE6A48"/>
    <w:rsid w:val="3C1620AA"/>
    <w:rsid w:val="3D371D11"/>
    <w:rsid w:val="3D8F080F"/>
    <w:rsid w:val="40173599"/>
    <w:rsid w:val="40725171"/>
    <w:rsid w:val="42CE701B"/>
    <w:rsid w:val="42EF1A4F"/>
    <w:rsid w:val="43084E76"/>
    <w:rsid w:val="44CE1FA4"/>
    <w:rsid w:val="487F73ED"/>
    <w:rsid w:val="4A347EAE"/>
    <w:rsid w:val="4EFD58C5"/>
    <w:rsid w:val="52600405"/>
    <w:rsid w:val="529B4319"/>
    <w:rsid w:val="57773DD6"/>
    <w:rsid w:val="578B79AB"/>
    <w:rsid w:val="5CCD3FD5"/>
    <w:rsid w:val="5D7504B5"/>
    <w:rsid w:val="5DCF3779"/>
    <w:rsid w:val="5E3270C4"/>
    <w:rsid w:val="61D445C4"/>
    <w:rsid w:val="61FA5F9D"/>
    <w:rsid w:val="64CD6910"/>
    <w:rsid w:val="668609DC"/>
    <w:rsid w:val="6789158D"/>
    <w:rsid w:val="67D81BA4"/>
    <w:rsid w:val="67FB4163"/>
    <w:rsid w:val="69151A3F"/>
    <w:rsid w:val="6AAF1C96"/>
    <w:rsid w:val="6AE04B07"/>
    <w:rsid w:val="75681757"/>
    <w:rsid w:val="75A346A8"/>
    <w:rsid w:val="776B3ACC"/>
    <w:rsid w:val="78220F53"/>
    <w:rsid w:val="79B9382C"/>
    <w:rsid w:val="7B043B76"/>
    <w:rsid w:val="7C041A6A"/>
    <w:rsid w:val="7DAF6F55"/>
    <w:rsid w:val="7DCD4C92"/>
    <w:rsid w:val="7E327570"/>
    <w:rsid w:val="7EA209F4"/>
    <w:rsid w:val="7EC70A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7">
    <w:name w:val="Default Paragraph Font"/>
    <w:unhideWhenUsed/>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unhideWhenUsed/>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9">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0">
    <w:name w:val="页眉 Char"/>
    <w:basedOn w:val="7"/>
    <w:link w:val="6"/>
    <w:qFormat/>
    <w:uiPriority w:val="99"/>
    <w:rPr>
      <w:rFonts w:asciiTheme="minorHAnsi" w:hAnsiTheme="minorHAnsi" w:eastAsiaTheme="minorEastAsia"/>
      <w:sz w:val="18"/>
      <w:szCs w:val="18"/>
    </w:rPr>
  </w:style>
  <w:style w:type="character" w:customStyle="1" w:styleId="11">
    <w:name w:val="页脚 Char"/>
    <w:basedOn w:val="7"/>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7"/>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customXml" Target="../customXml/item2.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GIF"/><Relationship Id="rId27" Type="http://schemas.openxmlformats.org/officeDocument/2006/relationships/theme" Target="theme/theme1.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footer" Target="footer10.xml"/><Relationship Id="rId22" Type="http://schemas.openxmlformats.org/officeDocument/2006/relationships/footer" Target="footer9.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horzOverflow="overflow"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收入构成</c:v>
                </c:pt>
              </c:strCache>
            </c:strRef>
          </c:tx>
          <c:spPr>
            <a:effectLst/>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Sheet1!$A$2:$A$5</c:f>
              <c:strCache>
                <c:ptCount val="4"/>
                <c:pt idx="0">
                  <c:v>财政拨款收入</c:v>
                </c:pt>
                <c:pt idx="1">
                  <c:v>事业收入</c:v>
                </c:pt>
              </c:strCache>
            </c:strRef>
          </c:cat>
          <c:val>
            <c:numRef>
              <c:f>Sheet1!$B$2:$B$5</c:f>
              <c:numCache>
                <c:formatCode>General</c:formatCode>
                <c:ptCount val="4"/>
                <c:pt idx="0">
                  <c:v>97.91</c:v>
                </c:pt>
                <c:pt idx="1">
                  <c:v>2.09</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rot="0" spcFirstLastPara="0" vertOverflow="ellipsis" horzOverflow="overflow" vert="horz" wrap="square" anchor="ctr" anchorCtr="1"/>
    <a:lstStyle/>
    <a:p>
      <a:pPr>
        <a:defRPr lang="zh-CN" sz="900" kern="1200">
          <a:solidFill>
            <a:schemeClr val="tx1"/>
          </a:solidFill>
          <a:latin typeface="+mn-lt"/>
          <a:ea typeface="+mn-ea"/>
          <a:cs typeface="+mn-cs"/>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horzOverflow="overflow"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manualLayout>
          <c:layoutTarget val="inner"/>
          <c:xMode val="edge"/>
          <c:yMode val="edge"/>
          <c:x val="0.279705569961253"/>
          <c:y val="0.198103404882609"/>
          <c:w val="0.445110337093319"/>
          <c:h val="0.674271024341137"/>
        </c:manualLayout>
      </c:layout>
      <c:pieChart>
        <c:varyColors val="1"/>
        <c:ser>
          <c:idx val="0"/>
          <c:order val="0"/>
          <c:tx>
            <c:strRef>
              <c:f>Sheet1!$B$1</c:f>
              <c:strCache>
                <c:ptCount val="1"/>
                <c:pt idx="0">
                  <c:v>支出构成</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Sheet1!$A$2:$A$5</c:f>
              <c:strCache>
                <c:ptCount val="4"/>
                <c:pt idx="0">
                  <c:v>基本支出</c:v>
                </c:pt>
                <c:pt idx="1">
                  <c:v>项目支出</c:v>
                </c:pt>
              </c:strCache>
            </c:strRef>
          </c:cat>
          <c:val>
            <c:numRef>
              <c:f>Sheet1!$B$2:$B$5</c:f>
              <c:numCache>
                <c:formatCode>General</c:formatCode>
                <c:ptCount val="4"/>
                <c:pt idx="0">
                  <c:v>93.76</c:v>
                </c:pt>
                <c:pt idx="1">
                  <c:v>6.24</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196748323754789"/>
          <c:y val="0.872686413902053"/>
        </c:manualLayout>
      </c:layout>
      <c:overlay val="0"/>
      <c:spPr>
        <a:noFill/>
        <a:ln>
          <a:noFill/>
        </a:ln>
        <a:effectLst/>
      </c:spPr>
      <c:txPr>
        <a:bodyPr rot="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rot="0" spcFirstLastPara="0" vertOverflow="ellipsis" horzOverflow="overflow" vert="horz" wrap="square" anchor="ctr" anchorCtr="1"/>
    <a:lstStyle/>
    <a:p>
      <a:pPr>
        <a:defRPr lang="zh-CN" sz="900" kern="1200">
          <a:solidFill>
            <a:schemeClr val="tx1"/>
          </a:solidFill>
          <a:latin typeface="+mn-lt"/>
          <a:ea typeface="+mn-ea"/>
          <a:cs typeface="+mn-cs"/>
        </a:defRPr>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horzOverflow="overflow"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财政拨款决算构成</c:v>
                </c:pt>
              </c:strCache>
            </c:strRef>
          </c:tx>
          <c:spPr>
            <a:effectLst/>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Sheet1!$A$2:$A$5</c:f>
              <c:strCache>
                <c:ptCount val="4"/>
                <c:pt idx="0">
                  <c:v>教育（类）支出</c:v>
                </c:pt>
                <c:pt idx="1">
                  <c:v>社会保障和就业（类）</c:v>
                </c:pt>
              </c:strCache>
            </c:strRef>
          </c:cat>
          <c:val>
            <c:numRef>
              <c:f>Sheet1!$B$2:$B$5</c:f>
              <c:numCache>
                <c:formatCode>General</c:formatCode>
                <c:ptCount val="4"/>
                <c:pt idx="0">
                  <c:v>97.88</c:v>
                </c:pt>
                <c:pt idx="1">
                  <c:v>2.12</c:v>
                </c:pt>
              </c:numCache>
            </c:numRef>
          </c:val>
        </c:ser>
        <c:ser>
          <c:idx val="1"/>
          <c:order val="1"/>
          <c:tx>
            <c:strRef>
              <c:f>Sheet1!$C$1</c:f>
              <c:strCache>
                <c:ptCount val="1"/>
                <c:pt idx="0">
                  <c:v/>
                </c:pt>
              </c:strCache>
            </c:strRef>
          </c:tx>
          <c:spPr>
            <a:effectLst/>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Sheet1!$A$2:$A$5</c:f>
              <c:strCache>
                <c:ptCount val="4"/>
                <c:pt idx="0">
                  <c:v>教育（类）支出</c:v>
                </c:pt>
                <c:pt idx="1">
                  <c:v>社会保障和就业（类）</c:v>
                </c:pt>
              </c:strCache>
            </c:strRef>
          </c:cat>
          <c:val>
            <c:numRef>
              <c:f>Sheet1!$C$2:$C$5</c:f>
              <c:numCache>
                <c:formatCode>General</c:formatCode>
                <c:ptCount val="4"/>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rot="0" spcFirstLastPara="0" vertOverflow="ellipsis" horzOverflow="overflow" vert="horz" wrap="square" anchor="ctr" anchorCtr="1"/>
    <a:lstStyle/>
    <a:p>
      <a:pPr>
        <a:defRPr lang="zh-CN" sz="900" kern="1200">
          <a:solidFill>
            <a:schemeClr val="tx1"/>
          </a:solidFill>
          <a:latin typeface="+mn-lt"/>
          <a:ea typeface="+mn-ea"/>
          <a:cs typeface="+mn-cs"/>
        </a:defRPr>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2092"/>
    <customShpInfo spid="_x0000_s2091"/>
    <customShpInfo spid="_x0000_s2090"/>
    <customShpInfo spid="_x0000_s2089"/>
    <customShpInfo spid="_x0000_s2088"/>
    <customShpInfo spid="_x0000_s2087"/>
    <customShpInfo spid="_x0000_s2086"/>
    <customShpInfo spid="_x0000_s2084"/>
    <customShpInfo spid="_x0000_s2083"/>
    <customShpInfo spid="_x0000_s2082"/>
    <customShpInfo spid="_x0000_s2081"/>
    <customShpInfo spid="_x0000_s2080"/>
    <customShpInfo spid="_x0000_s2079"/>
    <customShpInfo spid="_x0000_s2078"/>
    <customShpInfo spid="_x0000_s2077"/>
    <customShpInfo spid="_x0000_s2085"/>
    <customShpInfo spid="_x0000_s2076"/>
    <customShpInfo spid="_x0000_s2075"/>
    <customShpInfo spid="_x0000_s2074"/>
    <customShpInfo spid="_x0000_s2073"/>
    <customShpInfo spid="_x0000_s2072"/>
    <customShpInfo spid="_x0000_s2071"/>
    <customShpInfo spid="_x0000_s2070"/>
    <customShpInfo spid="_x0000_s2061"/>
    <customShpInfo spid="_x0000_s2060"/>
    <customShpInfo spid="_x0000_s2059"/>
    <customShpInfo spid="_x0000_s2058"/>
    <customShpInfo spid="_x0000_s2057"/>
    <customShpInfo spid="_x0000_s2056"/>
    <customShpInfo spid="_x0000_s2055"/>
    <customShpInfo spid="_x0000_s2069"/>
    <customShpInfo spid="_x0000_s2068"/>
    <customShpInfo spid="_x0000_s2067"/>
    <customShpInfo spid="_x0000_s2066"/>
    <customShpInfo spid="_x0000_s2065"/>
    <customShpInfo spid="_x0000_s2064"/>
    <customShpInfo spid="_x0000_s2063"/>
    <customShpInfo spid="_x0000_s2054"/>
    <customShpInfo spid="_x0000_s2062"/>
    <customShpInfo spid="_x0000_s2053"/>
    <customShpInfo spid="_x0000_s2052"/>
    <customShpInfo spid="_x0000_s2051"/>
    <customShpInfo spid="_x0000_s2050"/>
    <customShpInfo spid="_x0000_s2049"/>
    <customShpInfo spid="_x0000_s1026"/>
    <customShpInfo spid="_x0000_s1055"/>
    <customShpInfo spid="_x0000_s1054"/>
    <customShpInfo spid="_x0000_s1053"/>
    <customShpInfo spid="_x0000_s1052"/>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7F9B65F-9910-42E1-8971-777D373E411C}">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35</Pages>
  <Words>1702</Words>
  <Characters>9702</Characters>
  <Lines>80</Lines>
  <Paragraphs>22</Paragraphs>
  <TotalTime>0</TotalTime>
  <ScaleCrop>false</ScaleCrop>
  <LinksUpToDate>false</LinksUpToDate>
  <CharactersWithSpaces>11382</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ARUGYW7HXB3J8V2G83XD9UR2G</cp:lastModifiedBy>
  <cp:lastPrinted>2020-07-30T02:37:00Z</cp:lastPrinted>
  <dcterms:modified xsi:type="dcterms:W3CDTF">2021-05-20T07:25:53Z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