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hint="eastAsia" w:asciiTheme="minorEastAsia" w:hAnsiTheme="minorEastAsia" w:eastAsiaTheme="minorEastAsia" w:cstheme="minorEastAsia"/>
          <w:sz w:val="36"/>
          <w:szCs w:val="36"/>
          <w:lang w:val="en-US" w:eastAsia="zh-CN"/>
        </w:rPr>
      </w:pPr>
      <w:r>
        <w:rPr>
          <w:rFonts w:hint="eastAsia" w:asciiTheme="minorEastAsia" w:hAnsiTheme="minorEastAsia" w:eastAsiaTheme="minorEastAsia" w:cstheme="minorEastAsia"/>
          <w:sz w:val="36"/>
          <w:szCs w:val="36"/>
          <w:lang w:val="en-US" w:eastAsia="zh-CN"/>
        </w:rPr>
        <w:t>鹿泉区医疗保障局医疗救助</w:t>
      </w:r>
    </w:p>
    <w:p>
      <w:pPr>
        <w:jc w:val="center"/>
        <w:rPr>
          <w:rFonts w:hint="eastAsia" w:asciiTheme="minorEastAsia" w:hAnsiTheme="minorEastAsia" w:eastAsiaTheme="minorEastAsia" w:cstheme="minorEastAsia"/>
          <w:sz w:val="36"/>
          <w:szCs w:val="36"/>
          <w:lang w:val="en-US" w:eastAsia="zh-CN"/>
        </w:rPr>
      </w:pPr>
      <w:r>
        <w:rPr>
          <w:rFonts w:hint="eastAsia" w:asciiTheme="minorEastAsia" w:hAnsiTheme="minorEastAsia" w:eastAsiaTheme="minorEastAsia" w:cstheme="minorEastAsia"/>
          <w:sz w:val="36"/>
          <w:szCs w:val="36"/>
          <w:lang w:val="en-US" w:eastAsia="zh-CN"/>
        </w:rPr>
        <w:t>项目</w:t>
      </w:r>
      <w:bookmarkStart w:id="0" w:name="_GoBack"/>
      <w:bookmarkEnd w:id="0"/>
      <w:r>
        <w:rPr>
          <w:rFonts w:hint="eastAsia" w:asciiTheme="minorEastAsia" w:hAnsiTheme="minorEastAsia" w:eastAsiaTheme="minorEastAsia" w:cstheme="minorEastAsia"/>
          <w:sz w:val="36"/>
          <w:szCs w:val="36"/>
          <w:lang w:val="en-US" w:eastAsia="zh-CN"/>
        </w:rPr>
        <w:t>绩效评价报告</w:t>
      </w:r>
    </w:p>
    <w:p>
      <w:pPr>
        <w:keepNext w:val="0"/>
        <w:keepLines w:val="0"/>
        <w:pageBreakBefore w:val="0"/>
        <w:widowControl w:val="0"/>
        <w:kinsoku/>
        <w:wordWrap/>
        <w:overflowPunct/>
        <w:topLinePunct w:val="0"/>
        <w:autoSpaceDE/>
        <w:autoSpaceDN/>
        <w:bidi w:val="0"/>
        <w:adjustRightInd/>
        <w:snapToGrid/>
        <w:ind w:firstLine="640" w:firstLineChars="200"/>
        <w:textAlignment w:val="auto"/>
        <w:outlineLvl w:val="9"/>
        <w:rPr>
          <w:rFonts w:hint="eastAsia" w:ascii="仿宋_GB2312" w:hAnsi="仿宋_GB2312" w:eastAsia="仿宋_GB2312" w:cs="仿宋_GB2312"/>
          <w:sz w:val="32"/>
          <w:szCs w:val="32"/>
          <w:lang w:val="en-US" w:eastAsia="zh-CN"/>
        </w:rPr>
      </w:pPr>
    </w:p>
    <w:p>
      <w:pPr>
        <w:keepNext w:val="0"/>
        <w:keepLines w:val="0"/>
        <w:pageBreakBefore w:val="0"/>
        <w:widowControl w:val="0"/>
        <w:kinsoku/>
        <w:wordWrap/>
        <w:overflowPunct/>
        <w:topLinePunct w:val="0"/>
        <w:autoSpaceDE/>
        <w:autoSpaceDN/>
        <w:bidi w:val="0"/>
        <w:adjustRightInd/>
        <w:snapToGrid/>
        <w:ind w:firstLine="640" w:firstLineChars="200"/>
        <w:textAlignment w:val="auto"/>
        <w:outlineLvl w:val="9"/>
        <w:rPr>
          <w:rFonts w:hint="eastAsia"/>
          <w:sz w:val="32"/>
          <w:szCs w:val="32"/>
          <w:lang w:val="en-US" w:eastAsia="zh-CN"/>
        </w:rPr>
      </w:pPr>
      <w:r>
        <w:rPr>
          <w:rFonts w:hint="eastAsia" w:ascii="仿宋_GB2312" w:hAnsi="仿宋_GB2312" w:eastAsia="仿宋_GB2312" w:cs="仿宋_GB2312"/>
          <w:sz w:val="32"/>
          <w:szCs w:val="32"/>
          <w:lang w:val="en-US" w:eastAsia="zh-CN"/>
        </w:rPr>
        <w:t>根据《石家庄市鹿泉区区级部门预算绩效管理办法》（鹿财字[2019]65号），遵循“科学性、规范性、客观性和公正性”的原则，对医疗救助项目实施了绩效评价，形成本评价报告。</w:t>
      </w:r>
    </w:p>
    <w:p>
      <w:pPr>
        <w:keepNext w:val="0"/>
        <w:keepLines w:val="0"/>
        <w:pageBreakBefore w:val="0"/>
        <w:widowControl w:val="0"/>
        <w:numPr>
          <w:ilvl w:val="0"/>
          <w:numId w:val="1"/>
        </w:numPr>
        <w:kinsoku/>
        <w:wordWrap/>
        <w:overflowPunct/>
        <w:topLinePunct w:val="0"/>
        <w:autoSpaceDE/>
        <w:autoSpaceDN/>
        <w:bidi w:val="0"/>
        <w:adjustRightInd/>
        <w:snapToGrid/>
        <w:ind w:firstLine="640" w:firstLineChars="200"/>
        <w:textAlignment w:val="auto"/>
        <w:outlineLvl w:val="9"/>
        <w:rPr>
          <w:rFonts w:hint="eastAsia" w:ascii="楷体_GB2312" w:hAnsi="楷体_GB2312" w:eastAsia="楷体_GB2312" w:cs="楷体_GB2312"/>
          <w:b w:val="0"/>
          <w:bCs w:val="0"/>
          <w:sz w:val="32"/>
          <w:szCs w:val="32"/>
          <w:lang w:val="en-US" w:eastAsia="zh-CN"/>
        </w:rPr>
      </w:pPr>
      <w:r>
        <w:rPr>
          <w:rFonts w:hint="eastAsia" w:ascii="楷体_GB2312" w:hAnsi="楷体_GB2312" w:eastAsia="楷体_GB2312" w:cs="楷体_GB2312"/>
          <w:b w:val="0"/>
          <w:bCs w:val="0"/>
          <w:sz w:val="32"/>
          <w:szCs w:val="32"/>
          <w:lang w:val="en-US" w:eastAsia="zh-CN"/>
        </w:rPr>
        <w:t>项目基本情况</w:t>
      </w:r>
    </w:p>
    <w:p>
      <w:pPr>
        <w:keepNext w:val="0"/>
        <w:keepLines w:val="0"/>
        <w:pageBreakBefore w:val="0"/>
        <w:widowControl w:val="0"/>
        <w:numPr>
          <w:ilvl w:val="0"/>
          <w:numId w:val="2"/>
        </w:numPr>
        <w:kinsoku/>
        <w:wordWrap/>
        <w:overflowPunct/>
        <w:topLinePunct w:val="0"/>
        <w:autoSpaceDE/>
        <w:autoSpaceDN/>
        <w:bidi w:val="0"/>
        <w:adjustRightInd/>
        <w:snapToGrid/>
        <w:ind w:firstLine="640" w:firstLineChars="200"/>
        <w:textAlignment w:val="auto"/>
        <w:outlineLvl w:val="9"/>
        <w:rPr>
          <w:rFonts w:hint="eastAsia" w:ascii="楷体_GB2312" w:hAnsi="楷体_GB2312" w:eastAsia="楷体_GB2312" w:cs="楷体_GB2312"/>
          <w:b w:val="0"/>
          <w:bCs w:val="0"/>
          <w:sz w:val="32"/>
          <w:szCs w:val="32"/>
          <w:lang w:val="en-US" w:eastAsia="zh-CN"/>
        </w:rPr>
      </w:pPr>
      <w:r>
        <w:rPr>
          <w:rFonts w:hint="eastAsia" w:ascii="楷体_GB2312" w:hAnsi="楷体_GB2312" w:eastAsia="楷体_GB2312" w:cs="楷体_GB2312"/>
          <w:b w:val="0"/>
          <w:bCs w:val="0"/>
          <w:sz w:val="32"/>
          <w:szCs w:val="32"/>
          <w:lang w:val="en-US" w:eastAsia="zh-CN"/>
        </w:rPr>
        <w:t>项目概况</w:t>
      </w:r>
    </w:p>
    <w:p>
      <w:pPr>
        <w:keepNext w:val="0"/>
        <w:keepLines w:val="0"/>
        <w:pageBreakBefore w:val="0"/>
        <w:widowControl w:val="0"/>
        <w:numPr>
          <w:ilvl w:val="0"/>
          <w:numId w:val="0"/>
        </w:numPr>
        <w:kinsoku/>
        <w:wordWrap/>
        <w:overflowPunct/>
        <w:topLinePunct w:val="0"/>
        <w:autoSpaceDE/>
        <w:autoSpaceDN/>
        <w:bidi w:val="0"/>
        <w:adjustRightInd/>
        <w:snapToGrid/>
        <w:ind w:firstLine="640" w:firstLineChars="200"/>
        <w:textAlignment w:val="auto"/>
        <w:outlineLvl w:val="9"/>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据国家机构改革，2019年成立医保局后，设立医疗救助项目，主要对低保、五保及因病导致生活困难的人员实施医疗救助。主要资金来源区财政局拨款。</w:t>
      </w:r>
    </w:p>
    <w:p>
      <w:pPr>
        <w:keepNext w:val="0"/>
        <w:keepLines w:val="0"/>
        <w:pageBreakBefore w:val="0"/>
        <w:widowControl w:val="0"/>
        <w:numPr>
          <w:ilvl w:val="0"/>
          <w:numId w:val="2"/>
        </w:numPr>
        <w:kinsoku/>
        <w:wordWrap/>
        <w:overflowPunct/>
        <w:topLinePunct w:val="0"/>
        <w:autoSpaceDE/>
        <w:autoSpaceDN/>
        <w:bidi w:val="0"/>
        <w:adjustRightInd/>
        <w:snapToGrid/>
        <w:ind w:left="0" w:leftChars="0" w:firstLine="640" w:firstLineChars="200"/>
        <w:textAlignment w:val="auto"/>
        <w:outlineLvl w:val="9"/>
        <w:rPr>
          <w:rFonts w:hint="eastAsia" w:ascii="楷体_GB2312" w:hAnsi="楷体_GB2312" w:eastAsia="楷体_GB2312" w:cs="楷体_GB2312"/>
          <w:b w:val="0"/>
          <w:bCs w:val="0"/>
          <w:sz w:val="32"/>
          <w:szCs w:val="32"/>
          <w:lang w:val="en-US" w:eastAsia="zh-CN"/>
        </w:rPr>
      </w:pPr>
      <w:r>
        <w:rPr>
          <w:rFonts w:hint="eastAsia" w:ascii="楷体_GB2312" w:hAnsi="楷体_GB2312" w:eastAsia="楷体_GB2312" w:cs="楷体_GB2312"/>
          <w:b w:val="0"/>
          <w:bCs w:val="0"/>
          <w:sz w:val="32"/>
          <w:szCs w:val="32"/>
          <w:lang w:val="en-US" w:eastAsia="zh-CN"/>
        </w:rPr>
        <w:t>项目预期绩效目标</w:t>
      </w:r>
    </w:p>
    <w:p>
      <w:pPr>
        <w:keepNext w:val="0"/>
        <w:keepLines w:val="0"/>
        <w:pageBreakBefore w:val="0"/>
        <w:widowControl w:val="0"/>
        <w:numPr>
          <w:ilvl w:val="0"/>
          <w:numId w:val="0"/>
        </w:numPr>
        <w:kinsoku/>
        <w:wordWrap/>
        <w:overflowPunct/>
        <w:topLinePunct w:val="0"/>
        <w:autoSpaceDE/>
        <w:autoSpaceDN/>
        <w:bidi w:val="0"/>
        <w:adjustRightInd/>
        <w:snapToGrid/>
        <w:ind w:leftChars="0" w:firstLine="640" w:firstLineChars="200"/>
        <w:textAlignment w:val="auto"/>
        <w:outlineLvl w:val="9"/>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确保困难群体的基本医疗有保障，防止贫困边缘人群因病致贫或返贫，使困难群众有更多获得感。</w:t>
      </w:r>
    </w:p>
    <w:p>
      <w:pPr>
        <w:keepNext w:val="0"/>
        <w:keepLines w:val="0"/>
        <w:pageBreakBefore w:val="0"/>
        <w:widowControl w:val="0"/>
        <w:numPr>
          <w:ilvl w:val="0"/>
          <w:numId w:val="1"/>
        </w:numPr>
        <w:kinsoku/>
        <w:wordWrap/>
        <w:overflowPunct/>
        <w:topLinePunct w:val="0"/>
        <w:autoSpaceDE/>
        <w:autoSpaceDN/>
        <w:bidi w:val="0"/>
        <w:adjustRightInd/>
        <w:snapToGrid/>
        <w:ind w:left="0" w:leftChars="0" w:firstLine="640" w:firstLineChars="200"/>
        <w:textAlignment w:val="auto"/>
        <w:outlineLvl w:val="9"/>
        <w:rPr>
          <w:rFonts w:hint="eastAsia"/>
          <w:b/>
          <w:bCs/>
          <w:sz w:val="32"/>
          <w:szCs w:val="32"/>
          <w:lang w:val="en-US" w:eastAsia="zh-CN"/>
        </w:rPr>
      </w:pPr>
      <w:r>
        <w:rPr>
          <w:rFonts w:hint="eastAsia" w:ascii="楷体_GB2312" w:hAnsi="楷体_GB2312" w:eastAsia="楷体_GB2312" w:cs="楷体_GB2312"/>
          <w:b w:val="0"/>
          <w:bCs w:val="0"/>
          <w:sz w:val="32"/>
          <w:szCs w:val="32"/>
          <w:lang w:val="en-US" w:eastAsia="zh-CN"/>
        </w:rPr>
        <w:t>绩效评价工作情况</w:t>
      </w:r>
    </w:p>
    <w:p>
      <w:pPr>
        <w:keepNext w:val="0"/>
        <w:keepLines w:val="0"/>
        <w:pageBreakBefore w:val="0"/>
        <w:widowControl w:val="0"/>
        <w:numPr>
          <w:ilvl w:val="0"/>
          <w:numId w:val="0"/>
        </w:numPr>
        <w:kinsoku/>
        <w:wordWrap/>
        <w:overflowPunct/>
        <w:topLinePunct w:val="0"/>
        <w:autoSpaceDE/>
        <w:autoSpaceDN/>
        <w:bidi w:val="0"/>
        <w:adjustRightInd/>
        <w:snapToGrid/>
        <w:ind w:leftChars="0" w:firstLine="640" w:firstLineChars="200"/>
        <w:textAlignment w:val="auto"/>
        <w:outlineLvl w:val="9"/>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通过对救助群众的回访，及对来访来电咨询群众的询问对本项政策和工作管理的满意度。</w:t>
      </w:r>
    </w:p>
    <w:p>
      <w:pPr>
        <w:keepNext w:val="0"/>
        <w:keepLines w:val="0"/>
        <w:pageBreakBefore w:val="0"/>
        <w:widowControl w:val="0"/>
        <w:numPr>
          <w:ilvl w:val="0"/>
          <w:numId w:val="1"/>
        </w:numPr>
        <w:kinsoku/>
        <w:wordWrap/>
        <w:overflowPunct/>
        <w:topLinePunct w:val="0"/>
        <w:autoSpaceDE/>
        <w:autoSpaceDN/>
        <w:bidi w:val="0"/>
        <w:adjustRightInd/>
        <w:snapToGrid/>
        <w:ind w:left="0" w:leftChars="0" w:firstLine="640" w:firstLineChars="200"/>
        <w:textAlignment w:val="auto"/>
        <w:outlineLvl w:val="9"/>
        <w:rPr>
          <w:rFonts w:hint="eastAsia"/>
          <w:b/>
          <w:bCs/>
          <w:sz w:val="32"/>
          <w:szCs w:val="32"/>
          <w:lang w:val="en-US" w:eastAsia="zh-CN"/>
        </w:rPr>
      </w:pPr>
      <w:r>
        <w:rPr>
          <w:rFonts w:hint="eastAsia" w:ascii="楷体_GB2312" w:hAnsi="楷体_GB2312" w:eastAsia="楷体_GB2312" w:cs="楷体_GB2312"/>
          <w:b w:val="0"/>
          <w:bCs w:val="0"/>
          <w:sz w:val="32"/>
          <w:szCs w:val="32"/>
          <w:lang w:val="en-US" w:eastAsia="zh-CN"/>
        </w:rPr>
        <w:t>项目执行及绩效实现情况</w:t>
      </w:r>
    </w:p>
    <w:p>
      <w:pPr>
        <w:keepNext w:val="0"/>
        <w:keepLines w:val="0"/>
        <w:pageBreakBefore w:val="0"/>
        <w:widowControl w:val="0"/>
        <w:numPr>
          <w:ilvl w:val="0"/>
          <w:numId w:val="0"/>
        </w:numPr>
        <w:kinsoku/>
        <w:wordWrap/>
        <w:overflowPunct/>
        <w:topLinePunct w:val="0"/>
        <w:autoSpaceDE/>
        <w:autoSpaceDN/>
        <w:bidi w:val="0"/>
        <w:adjustRightInd/>
        <w:snapToGrid/>
        <w:ind w:leftChars="0" w:firstLine="640" w:firstLineChars="200"/>
        <w:textAlignment w:val="auto"/>
        <w:outlineLvl w:val="9"/>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根据国家方针及鹿政办函〔2016〕51号文制定出每季度由乡镇收取需要医疗救助群众的相关资料，初审后报鹿泉区医保局审批。鹿泉区医保局审批后，一方面向区财政局申请救助资金，财政局批拨款后，再由医保局将救助金拨到每个被救助人的账户上；另一方面鹿泉区医保局将审批结果返回各乡镇公示。目前已救助困难群众533人次，救助资金1159024.14元，且已全部发放给每个被救助人。</w:t>
      </w:r>
    </w:p>
    <w:p>
      <w:pPr>
        <w:keepNext w:val="0"/>
        <w:keepLines w:val="0"/>
        <w:pageBreakBefore w:val="0"/>
        <w:widowControl w:val="0"/>
        <w:numPr>
          <w:ilvl w:val="0"/>
          <w:numId w:val="0"/>
        </w:numPr>
        <w:kinsoku/>
        <w:wordWrap/>
        <w:overflowPunct/>
        <w:topLinePunct w:val="0"/>
        <w:autoSpaceDE/>
        <w:autoSpaceDN/>
        <w:bidi w:val="0"/>
        <w:adjustRightInd/>
        <w:snapToGrid/>
        <w:ind w:leftChars="0" w:firstLine="640" w:firstLineChars="200"/>
        <w:textAlignment w:val="auto"/>
        <w:outlineLvl w:val="9"/>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在项目执行整个过程，各个环节衔接紧密，各项制度健全严谨，可操作性强，执行效率高。</w:t>
      </w:r>
    </w:p>
    <w:p>
      <w:pPr>
        <w:keepNext w:val="0"/>
        <w:keepLines w:val="0"/>
        <w:pageBreakBefore w:val="0"/>
        <w:widowControl w:val="0"/>
        <w:numPr>
          <w:ilvl w:val="0"/>
          <w:numId w:val="0"/>
        </w:numPr>
        <w:kinsoku/>
        <w:wordWrap/>
        <w:overflowPunct/>
        <w:topLinePunct w:val="0"/>
        <w:autoSpaceDE/>
        <w:autoSpaceDN/>
        <w:bidi w:val="0"/>
        <w:adjustRightInd/>
        <w:snapToGrid/>
        <w:ind w:leftChars="0" w:firstLine="640" w:firstLineChars="200"/>
        <w:textAlignment w:val="auto"/>
        <w:outlineLvl w:val="9"/>
        <w:rPr>
          <w:rFonts w:hint="eastAsia" w:ascii="楷体_GB2312" w:hAnsi="楷体_GB2312" w:eastAsia="楷体_GB2312" w:cs="楷体_GB2312"/>
          <w:b w:val="0"/>
          <w:bCs w:val="0"/>
          <w:sz w:val="32"/>
          <w:szCs w:val="32"/>
          <w:lang w:val="en-US" w:eastAsia="zh-CN"/>
        </w:rPr>
      </w:pPr>
      <w:r>
        <w:rPr>
          <w:rFonts w:hint="eastAsia" w:ascii="楷体_GB2312" w:hAnsi="楷体_GB2312" w:eastAsia="楷体_GB2312" w:cs="楷体_GB2312"/>
          <w:b w:val="0"/>
          <w:bCs w:val="0"/>
          <w:sz w:val="32"/>
          <w:szCs w:val="32"/>
          <w:lang w:val="en-US" w:eastAsia="zh-CN"/>
        </w:rPr>
        <w:t>项目效益</w:t>
      </w:r>
    </w:p>
    <w:p>
      <w:pPr>
        <w:keepNext w:val="0"/>
        <w:keepLines w:val="0"/>
        <w:pageBreakBefore w:val="0"/>
        <w:widowControl w:val="0"/>
        <w:numPr>
          <w:ilvl w:val="0"/>
          <w:numId w:val="0"/>
        </w:numPr>
        <w:kinsoku/>
        <w:wordWrap/>
        <w:overflowPunct/>
        <w:topLinePunct w:val="0"/>
        <w:autoSpaceDE/>
        <w:autoSpaceDN/>
        <w:bidi w:val="0"/>
        <w:adjustRightInd/>
        <w:snapToGrid/>
        <w:ind w:leftChars="0" w:firstLine="640" w:firstLineChars="200"/>
        <w:textAlignment w:val="auto"/>
        <w:outlineLvl w:val="9"/>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医疗救助制度的高效执行，促进了人体健康，提高了生命质量，增强了社会劳动力，从而间接支持经济发展，也充分体现出社会主义制度的优越性，使人民群众切实感受到党的温暖，有更多的获得感，对维护党的形象，提高民族素质和社会发展动力，增强爱国热情，具有深远意义。</w:t>
      </w:r>
    </w:p>
    <w:p>
      <w:pPr>
        <w:keepNext w:val="0"/>
        <w:keepLines w:val="0"/>
        <w:pageBreakBefore w:val="0"/>
        <w:widowControl w:val="0"/>
        <w:numPr>
          <w:ilvl w:val="0"/>
          <w:numId w:val="0"/>
        </w:numPr>
        <w:kinsoku/>
        <w:wordWrap/>
        <w:overflowPunct/>
        <w:topLinePunct w:val="0"/>
        <w:autoSpaceDE/>
        <w:autoSpaceDN/>
        <w:bidi w:val="0"/>
        <w:adjustRightInd/>
        <w:snapToGrid/>
        <w:ind w:leftChars="0" w:firstLine="640" w:firstLineChars="200"/>
        <w:textAlignment w:val="auto"/>
        <w:outlineLvl w:val="9"/>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通过回访和询问来访者群众对本项政策满意度100%，对工作管理满意度95%。</w:t>
      </w:r>
    </w:p>
    <w:p>
      <w:pPr>
        <w:keepNext w:val="0"/>
        <w:keepLines w:val="0"/>
        <w:pageBreakBefore w:val="0"/>
        <w:widowControl w:val="0"/>
        <w:numPr>
          <w:ilvl w:val="0"/>
          <w:numId w:val="0"/>
        </w:numPr>
        <w:kinsoku/>
        <w:wordWrap/>
        <w:overflowPunct/>
        <w:topLinePunct w:val="0"/>
        <w:autoSpaceDE/>
        <w:autoSpaceDN/>
        <w:bidi w:val="0"/>
        <w:adjustRightInd/>
        <w:snapToGrid/>
        <w:ind w:leftChars="0" w:firstLine="600" w:firstLineChars="200"/>
        <w:textAlignment w:val="auto"/>
        <w:outlineLvl w:val="9"/>
        <w:rPr>
          <w:rFonts w:hint="eastAsia"/>
          <w:sz w:val="30"/>
          <w:szCs w:val="30"/>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right="0" w:rightChars="0"/>
        <w:jc w:val="both"/>
        <w:textAlignment w:val="auto"/>
        <w:outlineLvl w:val="9"/>
        <w:rPr>
          <w:rFonts w:hint="eastAsia" w:ascii="仿宋_GB2312" w:hAnsi="宋体" w:eastAsia="仿宋_GB2312"/>
          <w:sz w:val="32"/>
          <w:szCs w:val="32"/>
          <w:lang w:val="en-US" w:eastAsia="zh-CN"/>
        </w:rPr>
      </w:pPr>
      <w:r>
        <w:rPr>
          <w:rFonts w:hint="eastAsia" w:ascii="黑体" w:hAnsi="黑体" w:eastAsia="黑体" w:cs="黑体"/>
          <w:sz w:val="32"/>
          <w:szCs w:val="32"/>
          <w:lang w:val="en-US" w:eastAsia="zh-CN"/>
        </w:rPr>
        <w:t>附件</w:t>
      </w: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right="0" w:rightChars="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3" w:firstLineChars="200"/>
        <w:jc w:val="both"/>
        <w:textAlignment w:val="auto"/>
        <w:outlineLvl w:val="9"/>
        <w:rPr>
          <w:rFonts w:hint="eastAsia" w:ascii="宋体" w:hAnsi="宋体" w:eastAsia="宋体"/>
          <w:b/>
          <w:i w:val="0"/>
          <w:snapToGrid/>
          <w:color w:val="000000"/>
          <w:sz w:val="32"/>
          <w:u w:val="none"/>
          <w:shd w:val="clear" w:color="auto" w:fill="FFFFFF"/>
          <w:lang w:val="en-US" w:eastAsia="zh-CN"/>
        </w:rPr>
      </w:pPr>
      <w:r>
        <w:rPr>
          <w:rFonts w:hint="eastAsia" w:ascii="宋体" w:hAnsi="宋体"/>
          <w:b/>
          <w:i w:val="0"/>
          <w:snapToGrid/>
          <w:color w:val="000000"/>
          <w:sz w:val="32"/>
          <w:u w:val="none"/>
          <w:shd w:val="clear" w:color="auto" w:fill="FFFFFF"/>
          <w:lang w:val="en-US" w:eastAsia="zh-CN"/>
        </w:rPr>
        <w:t xml:space="preserve">      </w:t>
      </w:r>
      <w:r>
        <w:rPr>
          <w:rFonts w:hint="default" w:ascii="宋体" w:hAnsi="宋体" w:eastAsia="宋体"/>
          <w:b/>
          <w:i w:val="0"/>
          <w:snapToGrid/>
          <w:color w:val="000000"/>
          <w:sz w:val="32"/>
          <w:u w:val="none"/>
          <w:shd w:val="clear" w:color="auto" w:fill="FFFFFF"/>
          <w:lang w:eastAsia="zh-CN"/>
        </w:rPr>
        <w:t>项目支出绩效评价共性指标体系框架</w:t>
      </w:r>
    </w:p>
    <w:tbl>
      <w:tblPr>
        <w:tblStyle w:val="3"/>
        <w:tblW w:w="8646"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742"/>
        <w:gridCol w:w="778"/>
        <w:gridCol w:w="818"/>
        <w:gridCol w:w="2414"/>
        <w:gridCol w:w="3894"/>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55" w:hRule="atLeast"/>
          <w:tblHeader/>
        </w:trPr>
        <w:tc>
          <w:tcPr>
            <w:tcW w:w="742"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i w:val="0"/>
                <w:snapToGrid/>
                <w:color w:val="000000"/>
                <w:sz w:val="24"/>
                <w:szCs w:val="28"/>
                <w:u w:val="none"/>
                <w:shd w:val="clear" w:color="auto" w:fill="FFFFFF"/>
                <w:lang w:eastAsia="zh-CN"/>
              </w:rPr>
            </w:pPr>
            <w:r>
              <w:rPr>
                <w:rFonts w:hint="default" w:ascii="楷体_GB2312" w:hAnsi="楷体_GB2312" w:eastAsia="楷体_GB2312"/>
                <w:b/>
                <w:i w:val="0"/>
                <w:snapToGrid/>
                <w:color w:val="000000"/>
                <w:sz w:val="24"/>
                <w:szCs w:val="28"/>
                <w:u w:val="none"/>
                <w:shd w:val="clear" w:color="auto" w:fill="FFFFFF"/>
                <w:lang w:eastAsia="zh-CN"/>
              </w:rPr>
              <w:t>一级</w:t>
            </w:r>
            <w:r>
              <w:rPr>
                <w:rFonts w:hint="default" w:ascii="楷体_GB2312" w:hAnsi="楷体_GB2312" w:eastAsia="楷体_GB2312"/>
                <w:b/>
                <w:i w:val="0"/>
                <w:snapToGrid/>
                <w:color w:val="000000"/>
                <w:sz w:val="24"/>
                <w:szCs w:val="28"/>
                <w:u w:val="none"/>
                <w:shd w:val="clear" w:color="auto" w:fill="FFFFFF"/>
                <w:lang w:eastAsia="zh-CN"/>
              </w:rPr>
              <w:br w:type="textWrapping"/>
            </w:r>
            <w:r>
              <w:rPr>
                <w:rFonts w:hint="default" w:ascii="楷体_GB2312" w:hAnsi="楷体_GB2312" w:eastAsia="楷体_GB2312"/>
                <w:b/>
                <w:i w:val="0"/>
                <w:snapToGrid/>
                <w:color w:val="000000"/>
                <w:sz w:val="24"/>
                <w:szCs w:val="28"/>
                <w:u w:val="none"/>
                <w:shd w:val="clear" w:color="auto" w:fill="FFFFFF"/>
                <w:lang w:eastAsia="zh-CN"/>
              </w:rPr>
              <w:t>指标</w:t>
            </w:r>
          </w:p>
        </w:tc>
        <w:tc>
          <w:tcPr>
            <w:tcW w:w="77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i w:val="0"/>
                <w:snapToGrid/>
                <w:color w:val="000000"/>
                <w:sz w:val="24"/>
                <w:szCs w:val="28"/>
                <w:u w:val="none"/>
                <w:shd w:val="clear" w:color="auto" w:fill="FFFFFF"/>
                <w:lang w:eastAsia="zh-CN"/>
              </w:rPr>
            </w:pPr>
            <w:r>
              <w:rPr>
                <w:rFonts w:hint="default" w:ascii="楷体_GB2312" w:hAnsi="楷体_GB2312" w:eastAsia="楷体_GB2312"/>
                <w:b/>
                <w:i w:val="0"/>
                <w:snapToGrid/>
                <w:color w:val="000000"/>
                <w:sz w:val="24"/>
                <w:szCs w:val="28"/>
                <w:u w:val="none"/>
                <w:shd w:val="clear" w:color="auto" w:fill="FFFFFF"/>
                <w:lang w:eastAsia="zh-CN"/>
              </w:rPr>
              <w:t>二级</w:t>
            </w:r>
            <w:r>
              <w:rPr>
                <w:rFonts w:hint="default" w:ascii="楷体_GB2312" w:hAnsi="楷体_GB2312" w:eastAsia="楷体_GB2312"/>
                <w:b/>
                <w:i w:val="0"/>
                <w:snapToGrid/>
                <w:color w:val="000000"/>
                <w:sz w:val="24"/>
                <w:szCs w:val="28"/>
                <w:u w:val="none"/>
                <w:shd w:val="clear" w:color="auto" w:fill="FFFFFF"/>
                <w:lang w:eastAsia="zh-CN"/>
              </w:rPr>
              <w:br w:type="textWrapping"/>
            </w:r>
            <w:r>
              <w:rPr>
                <w:rFonts w:hint="default" w:ascii="楷体_GB2312" w:hAnsi="楷体_GB2312" w:eastAsia="楷体_GB2312"/>
                <w:b/>
                <w:i w:val="0"/>
                <w:snapToGrid/>
                <w:color w:val="000000"/>
                <w:sz w:val="24"/>
                <w:szCs w:val="28"/>
                <w:u w:val="none"/>
                <w:shd w:val="clear" w:color="auto" w:fill="FFFFFF"/>
                <w:lang w:eastAsia="zh-CN"/>
              </w:rPr>
              <w:t>指标</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i w:val="0"/>
                <w:snapToGrid/>
                <w:color w:val="000000"/>
                <w:sz w:val="24"/>
                <w:szCs w:val="28"/>
                <w:u w:val="none"/>
                <w:shd w:val="clear" w:color="auto" w:fill="FFFFFF"/>
                <w:lang w:eastAsia="zh-CN"/>
              </w:rPr>
            </w:pPr>
            <w:r>
              <w:rPr>
                <w:rFonts w:hint="default" w:ascii="楷体_GB2312" w:hAnsi="楷体_GB2312" w:eastAsia="楷体_GB2312"/>
                <w:b/>
                <w:i w:val="0"/>
                <w:snapToGrid/>
                <w:color w:val="000000"/>
                <w:sz w:val="24"/>
                <w:szCs w:val="28"/>
                <w:u w:val="none"/>
                <w:shd w:val="clear" w:color="auto" w:fill="FFFFFF"/>
                <w:lang w:eastAsia="zh-CN"/>
              </w:rPr>
              <w:t>三级指标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i w:val="0"/>
                <w:snapToGrid/>
                <w:color w:val="000000"/>
                <w:sz w:val="24"/>
                <w:szCs w:val="28"/>
                <w:u w:val="none"/>
                <w:shd w:val="clear" w:color="auto" w:fill="FFFFFF"/>
                <w:lang w:eastAsia="zh-CN"/>
              </w:rPr>
            </w:pPr>
            <w:r>
              <w:rPr>
                <w:rFonts w:hint="default" w:ascii="楷体_GB2312" w:hAnsi="楷体_GB2312" w:eastAsia="楷体_GB2312"/>
                <w:b/>
                <w:i w:val="0"/>
                <w:snapToGrid/>
                <w:color w:val="000000"/>
                <w:sz w:val="24"/>
                <w:szCs w:val="28"/>
                <w:u w:val="none"/>
                <w:shd w:val="clear" w:color="auto" w:fill="FFFFFF"/>
                <w:lang w:eastAsia="zh-CN"/>
              </w:rPr>
              <w:t>指标解释</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i w:val="0"/>
                <w:snapToGrid/>
                <w:color w:val="000000"/>
                <w:sz w:val="24"/>
                <w:szCs w:val="28"/>
                <w:u w:val="none"/>
                <w:shd w:val="clear" w:color="auto" w:fill="FFFFFF"/>
                <w:lang w:eastAsia="zh-CN"/>
              </w:rPr>
            </w:pPr>
            <w:r>
              <w:rPr>
                <w:rFonts w:hint="default" w:ascii="楷体_GB2312" w:hAnsi="楷体_GB2312" w:eastAsia="楷体_GB2312"/>
                <w:b/>
                <w:i w:val="0"/>
                <w:snapToGrid/>
                <w:color w:val="000000"/>
                <w:sz w:val="24"/>
                <w:szCs w:val="28"/>
                <w:u w:val="none"/>
                <w:shd w:val="clear" w:color="auto" w:fill="FFFFFF"/>
                <w:lang w:eastAsia="zh-CN"/>
              </w:rPr>
              <w:t>指标说明</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380" w:hRule="atLeast"/>
        </w:trPr>
        <w:tc>
          <w:tcPr>
            <w:tcW w:w="742"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投   入</w:t>
            </w:r>
          </w:p>
        </w:tc>
        <w:tc>
          <w:tcPr>
            <w:tcW w:w="778"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立项</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项目立项规范性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项目的申请、设立过程是否符合相关要求，用以反映和考核项目立项的规范情况。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①项目是否按照规定的程序申请设立；</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②所提交的文件、材料是否符合相关要求；</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③事前是否已经过必要的可行性研究、专家论证、风险评估、集体决策等。</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085" w:hRule="atLeast"/>
        </w:trPr>
        <w:tc>
          <w:tcPr>
            <w:tcW w:w="742"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绩效目标合理性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项目所设定的绩效目标是否依据充分，是否符合客观实际，用以反映和考核项目绩效目标与项目实施的相符情况。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①是否符合国家相关法律法规、国民经济发展规划和党委政府决策；</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②是否与项目实施单位或委托单位职责密切相关；</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③项目是否为促进事业发展所必需；</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④项目预期产出效益和效果是否符合正常的业绩水平。</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950" w:hRule="atLeast"/>
        </w:trPr>
        <w:tc>
          <w:tcPr>
            <w:tcW w:w="742"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绩效指标明确性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依据绩效目标设定的绩效指标是否清晰、细化、可衡量等，用以反映和考核项目绩效目标的明细化情况。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①是否将项目绩效目标细化分解为具体的绩效指标；</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②是否通过清晰、可衡量的指标值予以体现；</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③是否与项目年度任务数或计划数相对应；</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④是否与预算确定的项目投资额或资金量相匹配。</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575" w:hRule="atLeast"/>
        </w:trPr>
        <w:tc>
          <w:tcPr>
            <w:tcW w:w="742"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778"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资金</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落实</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资金到位率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实际到位资金与计划投入资金的比率，用以反映和考核资金落实情况对项目实施的总体保障程度。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资金到位率=（实际到位资金/计划投入资金）×100%。</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实际到位资金：一定时期（本年度或项目期）内实际落实到具体项目的资金。</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计划投入资金：一定时期（本年度或项目期）内计划投入到具体项目的资金。</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737" w:hRule="atLeast"/>
        </w:trPr>
        <w:tc>
          <w:tcPr>
            <w:tcW w:w="742" w:type="dxa"/>
            <w:vMerge w:val="continue"/>
            <w:tcBorders>
              <w:top w:val="single" w:color="000000"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到位及时率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及时到位资金与应到位资金的比率，用以反映和考核项目资金落实的及时性程度。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到位及时率=（及时到位资金/应到位资金）×100%。</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及时到位资金：截至规定时点实际落实到具体项目的资金。</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应到位资金：按照合同或项目进度要求截至规定时点应落实到具体项目的资金。</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695" w:hRule="atLeast"/>
        </w:trPr>
        <w:tc>
          <w:tcPr>
            <w:tcW w:w="742" w:type="dxa"/>
            <w:vMerge w:val="restart"/>
            <w:tcBorders>
              <w:top w:val="single" w:color="auto" w:sz="4" w:space="0"/>
              <w:left w:val="single" w:color="auto" w:sz="4" w:space="0"/>
              <w:bottom w:val="single" w:color="auto" w:sz="4" w:space="0"/>
              <w:right w:val="single" w:color="auto"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过   程</w:t>
            </w:r>
          </w:p>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p>
        </w:tc>
        <w:tc>
          <w:tcPr>
            <w:tcW w:w="778" w:type="dxa"/>
            <w:vMerge w:val="restart"/>
            <w:tcBorders>
              <w:top w:val="single" w:color="000000" w:sz="4" w:space="0"/>
              <w:left w:val="single" w:color="auto"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业务</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管理</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管理制度健全性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项目实施单位的业务管理制度是否健全，用以反映和考核业务管理制度对项目顺利实施的保障情况。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①是否已制定或具有相应的业务管理制度；</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②业务管理制度是否合法、合规、完整。</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370" w:hRule="atLeast"/>
        </w:trPr>
        <w:tc>
          <w:tcPr>
            <w:tcW w:w="742" w:type="dxa"/>
            <w:vMerge w:val="continue"/>
            <w:tcBorders>
              <w:top w:val="single" w:color="auto" w:sz="4" w:space="0"/>
              <w:left w:val="single" w:color="auto" w:sz="4" w:space="0"/>
              <w:bottom w:val="single" w:color="auto" w:sz="4" w:space="0"/>
              <w:right w:val="single" w:color="auto" w:sz="4" w:space="0"/>
            </w:tcBorders>
            <w:shd w:val="solid" w:color="FFFFFF" w:fill="auto"/>
            <w:vAlign w:val="center"/>
          </w:tcPr>
          <w:p>
            <w:pPr>
              <w:rPr>
                <w:rFonts w:hint="default"/>
                <w:sz w:val="22"/>
              </w:rPr>
            </w:pPr>
          </w:p>
        </w:tc>
        <w:tc>
          <w:tcPr>
            <w:tcW w:w="778" w:type="dxa"/>
            <w:vMerge w:val="continue"/>
            <w:tcBorders>
              <w:top w:val="single" w:color="000000" w:sz="4" w:space="0"/>
              <w:left w:val="single" w:color="auto"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制度执行有效性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项目实施是否符合相关业务管理规定，用以反映和考核业务管理制度的有效执行情况。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①是否遵守相关法律法规和业务管理规定；</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②项目调整及支出调整手续是否完备；</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③项目合同书、验收报告、技术鉴定等资料是否齐全并及时归档；</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④项目实施的人员条件、场地设备、信息支撑等是否落实到位。</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980" w:hRule="atLeast"/>
        </w:trPr>
        <w:tc>
          <w:tcPr>
            <w:tcW w:w="742" w:type="dxa"/>
            <w:vMerge w:val="continue"/>
            <w:tcBorders>
              <w:top w:val="single" w:color="auto" w:sz="4" w:space="0"/>
              <w:left w:val="single" w:color="auto" w:sz="4" w:space="0"/>
              <w:bottom w:val="single" w:color="auto" w:sz="4" w:space="0"/>
              <w:right w:val="single" w:color="auto" w:sz="4" w:space="0"/>
            </w:tcBorders>
            <w:shd w:val="solid" w:color="FFFFFF" w:fill="auto"/>
            <w:vAlign w:val="center"/>
          </w:tcPr>
          <w:p>
            <w:pPr>
              <w:rPr>
                <w:rFonts w:hint="default"/>
                <w:sz w:val="22"/>
              </w:rPr>
            </w:pPr>
          </w:p>
        </w:tc>
        <w:tc>
          <w:tcPr>
            <w:tcW w:w="778" w:type="dxa"/>
            <w:vMerge w:val="continue"/>
            <w:tcBorders>
              <w:top w:val="single" w:color="000000" w:sz="4" w:space="0"/>
              <w:left w:val="single" w:color="auto"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项目质量可控性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项目实施单位是否为达到项目质量要求而采取了必需的措施,用以反映和考核项目实施单位对项目质量的控制情况。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①是否已制定或具有相应的项目质量要求或标准；</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②是否采取了相应的项目质量检查、验收等必需的控制措施或手段。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095" w:hRule="atLeast"/>
        </w:trPr>
        <w:tc>
          <w:tcPr>
            <w:tcW w:w="742" w:type="dxa"/>
            <w:vMerge w:val="continue"/>
            <w:tcBorders>
              <w:top w:val="single" w:color="auto" w:sz="4" w:space="0"/>
              <w:left w:val="single" w:color="auto" w:sz="4" w:space="0"/>
              <w:bottom w:val="single" w:color="auto" w:sz="4" w:space="0"/>
              <w:right w:val="single" w:color="auto"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p>
        </w:tc>
        <w:tc>
          <w:tcPr>
            <w:tcW w:w="778" w:type="dxa"/>
            <w:vMerge w:val="restart"/>
            <w:tcBorders>
              <w:top w:val="single" w:color="000000" w:sz="4" w:space="0"/>
              <w:left w:val="single" w:color="auto"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财务</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管理</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管理制度健全性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项目实施单位的财务制度是否健全，用以反映和考核财务管理制度对资金规范、安全运行的保障情况。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①是否已制定或具有相应的项目资金管理办法；</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②项目资金管理办法是否符合相关财务会计制度的规定。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680" w:hRule="atLeast"/>
        </w:trPr>
        <w:tc>
          <w:tcPr>
            <w:tcW w:w="742" w:type="dxa"/>
            <w:vMerge w:val="continue"/>
            <w:tcBorders>
              <w:top w:val="single" w:color="auto" w:sz="4" w:space="0"/>
              <w:left w:val="single" w:color="auto" w:sz="4" w:space="0"/>
              <w:bottom w:val="single" w:color="auto" w:sz="4" w:space="0"/>
              <w:right w:val="single" w:color="auto" w:sz="4" w:space="0"/>
            </w:tcBorders>
            <w:shd w:val="solid" w:color="FFFFFF" w:fill="auto"/>
            <w:vAlign w:val="center"/>
          </w:tcPr>
          <w:p>
            <w:pPr>
              <w:rPr>
                <w:rFonts w:hint="default"/>
                <w:sz w:val="22"/>
              </w:rPr>
            </w:pPr>
          </w:p>
        </w:tc>
        <w:tc>
          <w:tcPr>
            <w:tcW w:w="778" w:type="dxa"/>
            <w:vMerge w:val="continue"/>
            <w:tcBorders>
              <w:top w:val="single" w:color="000000" w:sz="4" w:space="0"/>
              <w:left w:val="single" w:color="auto"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资金使用合规性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项目资金使用是否符合相关的财务管理制度规定，用以反映和考核项目资金的规范运行情况。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①是否符合国家财经法规和财务管理制度以及有关专项资金管理办法的规定；</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②资金的拨付是否有完整的审批程序和手续；</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③项目的重大开支是否经过评估认证；</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④是否符合项目预算批复或合同规定的用途；</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⑤是否存在截留、挤占、挪用、虚列支出等情况。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095" w:hRule="atLeast"/>
        </w:trPr>
        <w:tc>
          <w:tcPr>
            <w:tcW w:w="742" w:type="dxa"/>
            <w:vMerge w:val="continue"/>
            <w:tcBorders>
              <w:top w:val="single" w:color="auto" w:sz="4" w:space="0"/>
              <w:left w:val="single" w:color="auto" w:sz="4" w:space="0"/>
              <w:bottom w:val="single" w:color="auto" w:sz="4" w:space="0"/>
              <w:right w:val="single" w:color="auto" w:sz="4" w:space="0"/>
            </w:tcBorders>
            <w:shd w:val="solid" w:color="FFFFFF" w:fill="auto"/>
            <w:vAlign w:val="center"/>
          </w:tcPr>
          <w:p>
            <w:pPr>
              <w:rPr>
                <w:rFonts w:hint="default"/>
                <w:sz w:val="22"/>
              </w:rPr>
            </w:pPr>
          </w:p>
        </w:tc>
        <w:tc>
          <w:tcPr>
            <w:tcW w:w="778" w:type="dxa"/>
            <w:vMerge w:val="continue"/>
            <w:tcBorders>
              <w:top w:val="single" w:color="000000" w:sz="4" w:space="0"/>
              <w:left w:val="single" w:color="auto"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财务监控有效性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项目实施单位是否为保障资金的安全、规范运行而采取了必要的监控措施，用以反映和考核项目实施单位对资金运行的控制情况。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①是否已制定或具有相应的监控机制；</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②是否采取了相应的财务检查等必要的监控措施或手段。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114" w:hRule="atLeast"/>
        </w:trPr>
        <w:tc>
          <w:tcPr>
            <w:tcW w:w="742" w:type="dxa"/>
            <w:vMerge w:val="restart"/>
            <w:tcBorders>
              <w:top w:val="single" w:color="auto" w:sz="4" w:space="0"/>
              <w:left w:val="single" w:color="000000" w:sz="4" w:space="0"/>
              <w:bottom w:val="single" w:color="auto"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产   出</w:t>
            </w:r>
          </w:p>
        </w:tc>
        <w:tc>
          <w:tcPr>
            <w:tcW w:w="778"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产出</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实际完成率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项目实施的实际产出数与计划产出数的比率，用以反映和考核项目产出数量目标的实现程度。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实际完成率=（实际产出数/计划产出数）×100%。</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实际产出数：一定时期（本年度或项目期）内项目实际产出的产品或提供的服务数量。</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计划产出数：项目绩效目标确定的在一定时期（本年度或项目期）内计划产出的产品或提供的服务数量。</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755"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完成及时率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项目实际提前完成时间与计划完成时间的比率，用以反映和考核项目产出时效目标的实现程度。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完成及时率=[（计划完成时间-实际完成时间）/计划完成时间]×100%。</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实际完成时间：项目实施单位完成该项目实际所耗用的时间。</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计划完成时间：按照项目实施计划或相关规定完成该项目所需的时间。</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219"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质量达标率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项目完成的质量达标产出数与实际产出数的比率，用以反映和考核项目产出质量目标的实现程度。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质量达标率=（质量达标产出数/实际产出数）×100%。</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质量达标产出数：一定时期（本年度或项目期）内实际达到既定质量标准的产品或服务数量。</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既定质量标准是指项目实施单位设立绩效目标时依据计划标准、行业标准、历史标准或其他标准而设定的绩效指标值。</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996"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成本节约率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完成项目计划工作目标的实际节约成本与计划成本的比率，用以反映和考核项目的成本节约程度。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成本节约率=[（计划成本-实际成本）/计划成本]×100%。</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实际成本：项目实施单位如期、保质、保量完成既定工作目标实际所耗费的支出。</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计划成本：项目实施单位为完成工作目标计划安排的支出，一般以项目预算为参考。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821" w:hRule="atLeast"/>
        </w:trPr>
        <w:tc>
          <w:tcPr>
            <w:tcW w:w="742" w:type="dxa"/>
            <w:vMerge w:val="restart"/>
            <w:tcBorders>
              <w:top w:val="single" w:color="auto" w:sz="4" w:space="0"/>
              <w:left w:val="single" w:color="000000" w:sz="4" w:space="0"/>
              <w:bottom w:val="single" w:color="auto"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效   果</w:t>
            </w:r>
          </w:p>
        </w:tc>
        <w:tc>
          <w:tcPr>
            <w:tcW w:w="778"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效益</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经济效益</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项目实施对经济发展所带来的直接或间接影响情况。</w:t>
            </w:r>
          </w:p>
        </w:tc>
        <w:tc>
          <w:tcPr>
            <w:tcW w:w="3894"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此四项指标为设置项目支出绩效评价指标时必须考虑的共性要素，可根据项目实际并结合绩效目标设立情况有选择的进行设置，并将其细化为相应的个性化指标。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684"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社会效益</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项目实施对社会发展所带来的直接或间接影响情况。</w:t>
            </w:r>
          </w:p>
        </w:tc>
        <w:tc>
          <w:tcPr>
            <w:tcW w:w="3894"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kinsoku/>
              <w:autoSpaceDE/>
              <w:autoSpaceDN w:val="0"/>
              <w:textAlignment w:val="auto"/>
              <w:rPr>
                <w:rFonts w:hint="default"/>
                <w:snapToGrid/>
                <w:sz w:val="22"/>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335"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生态效益</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项目实施对生态环境所带来的直接或间接影响情况。</w:t>
            </w:r>
          </w:p>
        </w:tc>
        <w:tc>
          <w:tcPr>
            <w:tcW w:w="3894"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kinsoku/>
              <w:autoSpaceDE/>
              <w:autoSpaceDN w:val="0"/>
              <w:textAlignment w:val="auto"/>
              <w:rPr>
                <w:rFonts w:hint="default"/>
                <w:snapToGrid/>
                <w:sz w:val="22"/>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294"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可持续影响</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项目后续运行及成效发挥的可持续影响情况。</w:t>
            </w:r>
          </w:p>
        </w:tc>
        <w:tc>
          <w:tcPr>
            <w:tcW w:w="3894"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kinsoku/>
              <w:autoSpaceDE/>
              <w:autoSpaceDN w:val="0"/>
              <w:textAlignment w:val="auto"/>
              <w:rPr>
                <w:rFonts w:hint="default"/>
                <w:snapToGrid/>
                <w:sz w:val="22"/>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554"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社会公众或服务对象满意度</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社会公众或服务对象对项目实施效果的满意程度。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社会公众或服务对象是指因该项目实施而受到影响的部门（单位）、群体或个人。一般采取社会调查的方式。</w:t>
            </w:r>
          </w:p>
        </w:tc>
      </w:tr>
    </w:tbl>
    <w:p>
      <w:pPr>
        <w:keepNext w:val="0"/>
        <w:keepLines w:val="0"/>
        <w:pageBreakBefore w:val="0"/>
        <w:widowControl w:val="0"/>
        <w:numPr>
          <w:ilvl w:val="0"/>
          <w:numId w:val="0"/>
        </w:numPr>
        <w:kinsoku/>
        <w:wordWrap/>
        <w:overflowPunct/>
        <w:topLinePunct w:val="0"/>
        <w:autoSpaceDE/>
        <w:autoSpaceDN/>
        <w:bidi w:val="0"/>
        <w:adjustRightInd/>
        <w:snapToGrid/>
        <w:ind w:leftChars="0" w:firstLine="600" w:firstLineChars="200"/>
        <w:textAlignment w:val="auto"/>
        <w:outlineLvl w:val="9"/>
        <w:rPr>
          <w:rFonts w:hint="eastAsia"/>
          <w:sz w:val="30"/>
          <w:szCs w:val="30"/>
          <w:lang w:val="en-US" w:eastAsia="zh-CN"/>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080E0000" w:usb2="00000000"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00007A87" w:usb1="80000000" w:usb2="00000008" w:usb3="00000000" w:csb0="400001FF" w:csb1="FFFF0000"/>
  </w:font>
  <w:font w:name="黑体">
    <w:panose1 w:val="02010600030101010101"/>
    <w:charset w:val="86"/>
    <w:family w:val="auto"/>
    <w:pitch w:val="default"/>
    <w:sig w:usb0="00000001" w:usb1="080E0000" w:usb2="00000000" w:usb3="00000000" w:csb0="00040000" w:csb1="00000000"/>
  </w:font>
  <w:font w:name="Courier New">
    <w:panose1 w:val="02070309020205020404"/>
    <w:charset w:val="01"/>
    <w:family w:val="modern"/>
    <w:pitch w:val="default"/>
    <w:sig w:usb0="00007A87" w:usb1="80000000" w:usb2="00000008"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A00002EF" w:usb1="4000207B" w:usb2="00000000" w:usb3="00000000" w:csb0="2000009F" w:csb1="00000000"/>
  </w:font>
  <w:font w:name="仿宋_GB2312">
    <w:panose1 w:val="02010609030101010101"/>
    <w:charset w:val="86"/>
    <w:family w:val="decorative"/>
    <w:pitch w:val="default"/>
    <w:sig w:usb0="00000001" w:usb1="080E0000" w:usb2="00000000" w:usb3="00000000" w:csb0="00040000" w:csb1="00000000"/>
  </w:font>
  <w:font w:name="楷体_GB2312">
    <w:panose1 w:val="02010609030101010101"/>
    <w:charset w:val="86"/>
    <w:family w:val="auto"/>
    <w:pitch w:val="default"/>
    <w:sig w:usb0="00000001" w:usb1="080E0000" w:usb2="00000000" w:usb3="00000000" w:csb0="00040000" w:csb1="00000000"/>
  </w:font>
  <w:font w:name="新宋体">
    <w:panose1 w:val="02010609030101010101"/>
    <w:charset w:val="86"/>
    <w:family w:val="auto"/>
    <w:pitch w:val="default"/>
    <w:sig w:usb0="00000003" w:usb1="080E0000" w:usb2="00000000" w:usb3="00000000" w:csb0="00040001" w:csb1="00000000"/>
  </w:font>
  <w:font w:name="宋体-PUA">
    <w:panose1 w:val="02010600030101010101"/>
    <w:charset w:val="86"/>
    <w:family w:val="auto"/>
    <w:pitch w:val="default"/>
    <w:sig w:usb0="00000000" w:usb1="10000000" w:usb2="00000000" w:usb3="00000000" w:csb0="00040000"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B3E4F1A7"/>
    <w:multiLevelType w:val="singleLevel"/>
    <w:tmpl w:val="B3E4F1A7"/>
    <w:lvl w:ilvl="0" w:tentative="0">
      <w:start w:val="1"/>
      <w:numFmt w:val="chineseCounting"/>
      <w:suff w:val="nothing"/>
      <w:lvlText w:val="%1、"/>
      <w:lvlJc w:val="left"/>
      <w:rPr>
        <w:rFonts w:hint="eastAsia"/>
      </w:rPr>
    </w:lvl>
  </w:abstractNum>
  <w:abstractNum w:abstractNumId="1">
    <w:nsid w:val="500ADB65"/>
    <w:multiLevelType w:val="singleLevel"/>
    <w:tmpl w:val="500ADB65"/>
    <w:lvl w:ilvl="0" w:tentative="0">
      <w:start w:val="1"/>
      <w:numFmt w:val="chineseCounting"/>
      <w:suff w:val="nothing"/>
      <w:lvlText w:val="（%1）"/>
      <w:lvlJc w:val="left"/>
      <w:rPr>
        <w:rFonts w:hint="eastAsia"/>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8C21075"/>
    <w:rsid w:val="09E12599"/>
    <w:rsid w:val="0DC90761"/>
    <w:rsid w:val="1E8A3C9D"/>
    <w:rsid w:val="21983800"/>
    <w:rsid w:val="3A05641A"/>
    <w:rsid w:val="3CAC202A"/>
    <w:rsid w:val="5E27150B"/>
    <w:rsid w:val="672829C4"/>
    <w:rsid w:val="6A014928"/>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2">
    <w:name w:val="Default Paragraph Font"/>
    <w:semiHidden/>
    <w:uiPriority w:val="0"/>
  </w:style>
  <w:style w:type="table" w:default="1" w:styleId="3">
    <w:name w:val="Normal Table"/>
    <w:semiHidden/>
    <w:qFormat/>
    <w:uiPriority w:val="0"/>
    <w:tblPr>
      <w:tblLayout w:type="fixed"/>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18</TotalTime>
  <ScaleCrop>false</ScaleCrop>
  <LinksUpToDate>false</LinksUpToDate>
  <CharactersWithSpaces>0</CharactersWithSpaces>
  <Application>WPS Office_10.8.2.7119_F1E327BC-269C-435d-A152-05C5408002CA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2014-10-29T12:08:00Z</dcterms:created>
  <dc:creator>fuzhe</dc:creator>
  <cp:lastModifiedBy>F.e.i</cp:lastModifiedBy>
  <cp:lastPrinted>2020-01-07T06:47:32Z</cp:lastPrinted>
  <dcterms:modified xsi:type="dcterms:W3CDTF">2020-01-07T07:22:06Z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2052-10.8.2.7119</vt:lpwstr>
  </property>
</Properties>
</file>