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right="0" w:rightChars="0"/>
        <w:jc w:val="center"/>
        <w:textAlignment w:val="auto"/>
        <w:outlineLvl w:val="9"/>
        <w:rPr>
          <w:rFonts w:hint="eastAsia" w:ascii="方正小标宋简体" w:hAnsi="方正小标宋简体" w:eastAsia="方正小标宋简体" w:cs="方正小标宋简体"/>
          <w:b w:val="0"/>
          <w:i w:val="0"/>
          <w:caps w:val="0"/>
          <w:color w:val="auto"/>
          <w:spacing w:val="0"/>
          <w:sz w:val="44"/>
          <w:szCs w:val="44"/>
          <w:shd w:val="clear" w:fill="FFFFFF"/>
          <w:lang w:eastAsia="zh-CN"/>
        </w:rPr>
      </w:pPr>
      <w:r>
        <w:rPr>
          <w:rFonts w:hint="eastAsia" w:ascii="方正小标宋简体" w:hAnsi="方正小标宋简体" w:eastAsia="方正小标宋简体" w:cs="方正小标宋简体"/>
          <w:b w:val="0"/>
          <w:i w:val="0"/>
          <w:caps w:val="0"/>
          <w:color w:val="auto"/>
          <w:spacing w:val="0"/>
          <w:sz w:val="44"/>
          <w:szCs w:val="44"/>
          <w:shd w:val="clear" w:fill="FFFFFF"/>
          <w:lang w:eastAsia="zh-CN"/>
        </w:rPr>
        <w:t>石家庄市鹿泉区人力资源和社会保障局</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b w:val="0"/>
          <w:i w:val="0"/>
          <w:caps w:val="0"/>
          <w:color w:val="auto"/>
          <w:spacing w:val="0"/>
          <w:sz w:val="44"/>
          <w:szCs w:val="44"/>
          <w:shd w:val="clear" w:fill="FFFFFF"/>
          <w:lang w:eastAsia="zh-CN"/>
        </w:rPr>
      </w:pPr>
      <w:r>
        <w:rPr>
          <w:rFonts w:hint="eastAsia" w:ascii="方正小标宋简体" w:hAnsi="方正小标宋简体" w:eastAsia="方正小标宋简体" w:cs="方正小标宋简体"/>
          <w:b w:val="0"/>
          <w:i w:val="0"/>
          <w:caps w:val="0"/>
          <w:color w:val="auto"/>
          <w:spacing w:val="0"/>
          <w:sz w:val="44"/>
          <w:szCs w:val="44"/>
          <w:shd w:val="clear" w:fill="FFFFFF"/>
          <w:lang w:val="en-US" w:eastAsia="zh-CN"/>
        </w:rPr>
        <w:t>2021年度</w:t>
      </w:r>
      <w:r>
        <w:rPr>
          <w:rFonts w:hint="eastAsia" w:ascii="方正小标宋简体" w:hAnsi="方正小标宋简体" w:eastAsia="方正小标宋简体" w:cs="方正小标宋简体"/>
          <w:b w:val="0"/>
          <w:i w:val="0"/>
          <w:caps w:val="0"/>
          <w:color w:val="auto"/>
          <w:spacing w:val="0"/>
          <w:sz w:val="44"/>
          <w:szCs w:val="44"/>
          <w:shd w:val="clear" w:fill="FFFFFF"/>
          <w:lang w:eastAsia="zh-CN"/>
        </w:rPr>
        <w:t>“双随机、一公开”监管工作</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宋体" w:hAnsi="宋体" w:eastAsia="宋体" w:cs="宋体"/>
          <w:sz w:val="44"/>
          <w:szCs w:val="44"/>
        </w:rPr>
      </w:pPr>
      <w:r>
        <w:rPr>
          <w:rFonts w:hint="eastAsia" w:ascii="方正小标宋简体" w:hAnsi="方正小标宋简体" w:eastAsia="方正小标宋简体" w:cs="方正小标宋简体"/>
          <w:b w:val="0"/>
          <w:i w:val="0"/>
          <w:caps w:val="0"/>
          <w:color w:val="auto"/>
          <w:spacing w:val="0"/>
          <w:sz w:val="44"/>
          <w:szCs w:val="44"/>
          <w:shd w:val="clear" w:fill="FFFFFF"/>
          <w:lang w:eastAsia="zh-CN"/>
        </w:rPr>
        <w:t>随机抽查实施方案</w:t>
      </w:r>
    </w:p>
    <w:p>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8" w:lineRule="exact"/>
        <w:ind w:left="0" w:leftChars="0" w:right="0" w:rightChars="0"/>
        <w:jc w:val="center"/>
        <w:textAlignment w:val="auto"/>
        <w:outlineLvl w:val="9"/>
        <w:rPr>
          <w:rFonts w:hint="eastAsia" w:ascii="方正小标宋简体" w:hAnsi="方正小标宋简体" w:eastAsia="方正小标宋简体" w:cs="方正小标宋简体"/>
          <w:color w:val="auto"/>
          <w:sz w:val="44"/>
          <w:szCs w:val="44"/>
        </w:rPr>
      </w:pP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 w:hAnsi="仿宋" w:eastAsia="仿宋" w:cs="仿宋"/>
          <w:sz w:val="32"/>
          <w:szCs w:val="32"/>
          <w:lang w:val="en-US" w:eastAsia="zh-CN"/>
        </w:rPr>
        <w:t>为认真贯彻落实国务院、省政府、市政府、区政府关于深化“放管服”改革优化营商环境部署要求，深入推进“双随机、一公开”监管，减少对企业（单位）正常生产经营的干扰，震慑违法违规行为，助力全区经济高质量发展，深入推进部门内部联合和部门联合“双随机、一公开”监管，根据《国务院关于在市场监管领域全面推行部门联合“双随机、一公开”监管的意见》（国发〔2019〕5号）、《河北省人民政府关于在市场监管领域全面推行部门联合“双随机、一公开”监管的实施意见》（冀政字〔2019〕22号）、《河北省人民政府办公厅关于印发河北省“双随机、一公开”监管与企业信用风险分级分类相结合实施方案的通知》（冀政办字〔2020〕144号）、《2021年石家庄市鹿泉区“双随机、一公开”监管工作实施方案》和</w:t>
      </w:r>
      <w:r>
        <w:rPr>
          <w:rFonts w:hint="eastAsia" w:ascii="仿宋_GB2312" w:hAnsi="仿宋_GB2312" w:eastAsia="仿宋_GB2312" w:cs="仿宋_GB2312"/>
          <w:sz w:val="32"/>
          <w:szCs w:val="32"/>
          <w:lang w:val="en-US" w:eastAsia="zh-CN"/>
        </w:rPr>
        <w:t>《石家庄市鹿泉区人力资源和社会保障局2021年“双随机、一公开”监管工作实施方案》文件精神</w:t>
      </w:r>
      <w:r>
        <w:rPr>
          <w:rFonts w:hint="eastAsia" w:ascii="仿宋" w:hAnsi="仿宋" w:eastAsia="仿宋" w:cs="仿宋"/>
          <w:sz w:val="32"/>
          <w:szCs w:val="32"/>
          <w:lang w:val="en-US" w:eastAsia="zh-CN"/>
        </w:rPr>
        <w:t>文件精神，进一步规范执法行为，创新管理方式，提高监管效能，切实加强事中事后监管，规范统一部门执法机制，</w:t>
      </w:r>
      <w:r>
        <w:rPr>
          <w:rFonts w:hint="eastAsia" w:ascii="仿宋_GB2312" w:hAnsi="仿宋_GB2312" w:eastAsia="仿宋_GB2312" w:cs="仿宋_GB2312"/>
          <w:color w:val="000000"/>
          <w:sz w:val="32"/>
          <w:szCs w:val="32"/>
          <w:lang w:eastAsia="zh-CN"/>
        </w:rPr>
        <w:t>进一步推进我局内部“双随机、一公开”监管工作，现制定实施方案</w:t>
      </w:r>
      <w:r>
        <w:rPr>
          <w:rFonts w:hint="eastAsia" w:ascii="仿宋_GB2312" w:hAnsi="仿宋_GB2312" w:eastAsia="仿宋_GB2312" w:cs="仿宋_GB2312"/>
          <w:sz w:val="32"/>
          <w:szCs w:val="32"/>
        </w:rPr>
        <w:t>如下：</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一、抽查时间</w:t>
      </w:r>
    </w:p>
    <w:p>
      <w:pPr>
        <w:keepNext w:val="0"/>
        <w:keepLines w:val="0"/>
        <w:pageBreakBefore w:val="0"/>
        <w:kinsoku/>
        <w:wordWrap/>
        <w:overflowPunct/>
        <w:topLinePunct w:val="0"/>
        <w:autoSpaceDE/>
        <w:autoSpaceDN/>
        <w:bidi w:val="0"/>
        <w:adjustRightInd/>
        <w:snapToGrid/>
        <w:spacing w:line="54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2021年5月1日至 2021 年6月30日。</w:t>
      </w:r>
    </w:p>
    <w:p>
      <w:pPr>
        <w:keepNext w:val="0"/>
        <w:keepLines w:val="0"/>
        <w:pageBreakBefore w:val="0"/>
        <w:kinsoku/>
        <w:wordWrap/>
        <w:overflowPunct/>
        <w:topLinePunct w:val="0"/>
        <w:autoSpaceDE/>
        <w:autoSpaceDN/>
        <w:bidi w:val="0"/>
        <w:adjustRightInd/>
        <w:snapToGrid/>
        <w:spacing w:line="540" w:lineRule="exact"/>
        <w:ind w:left="0" w:leftChars="0" w:right="0" w:righ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二、抽查对象范围</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抽查对象范围为2020年12月31日（含）前登记注册的企业（不包括企业集团、外国企业常驻代表机构），抽查类型为抽查比例为2%。</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三、抽查事项</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楷体_GB2312" w:hAnsi="楷体_GB2312" w:eastAsia="楷体_GB2312" w:cs="楷体_GB2312"/>
          <w:i w:val="0"/>
          <w:color w:val="000000"/>
          <w:kern w:val="0"/>
          <w:sz w:val="32"/>
          <w:szCs w:val="32"/>
          <w:u w:val="none"/>
          <w:lang w:val="en-US" w:eastAsia="zh-CN" w:bidi="ar"/>
        </w:rPr>
      </w:pPr>
      <w:r>
        <w:rPr>
          <w:rFonts w:hint="eastAsia" w:ascii="仿宋_GB2312" w:hAnsi="宋体" w:eastAsia="仿宋_GB2312" w:cs="宋体"/>
          <w:color w:val="000000"/>
          <w:kern w:val="0"/>
          <w:sz w:val="32"/>
          <w:szCs w:val="32"/>
          <w:lang w:val="en-US" w:eastAsia="zh-CN"/>
        </w:rPr>
        <w:t>石家庄市鹿泉区人力资源和社会保障局随机抽查事项清单中所有抽查项目。</w:t>
      </w:r>
    </w:p>
    <w:p>
      <w:pPr>
        <w:pStyle w:val="9"/>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eastAsia" w:ascii="黑体" w:hAnsi="黑体" w:eastAsia="黑体" w:cs="Times New Roman"/>
          <w:snapToGrid w:val="0"/>
          <w:spacing w:val="-4"/>
          <w:sz w:val="32"/>
          <w:szCs w:val="32"/>
        </w:rPr>
      </w:pPr>
      <w:r>
        <w:rPr>
          <w:rFonts w:hint="eastAsia" w:ascii="仿宋" w:hAnsi="仿宋" w:eastAsia="仿宋" w:cs="仿宋"/>
          <w:sz w:val="32"/>
          <w:szCs w:val="32"/>
          <w:lang w:val="en-US" w:eastAsia="zh-CN"/>
        </w:rPr>
        <w:t xml:space="preserve"> </w:t>
      </w:r>
      <w:r>
        <w:rPr>
          <w:rFonts w:hint="eastAsia" w:ascii="黑体" w:hAnsi="黑体" w:eastAsia="黑体" w:cs="Times New Roman"/>
          <w:snapToGrid w:val="0"/>
          <w:spacing w:val="-4"/>
          <w:sz w:val="32"/>
          <w:szCs w:val="32"/>
        </w:rPr>
        <w:t>四、</w:t>
      </w:r>
      <w:r>
        <w:rPr>
          <w:rFonts w:hint="eastAsia" w:ascii="黑体" w:hAnsi="黑体" w:eastAsia="黑体" w:cs="Times New Roman"/>
          <w:snapToGrid w:val="0"/>
          <w:spacing w:val="-4"/>
          <w:sz w:val="32"/>
          <w:szCs w:val="32"/>
          <w:lang w:eastAsia="zh-CN"/>
        </w:rPr>
        <w:t>联合</w:t>
      </w:r>
      <w:r>
        <w:rPr>
          <w:rFonts w:hint="eastAsia" w:ascii="黑体" w:hAnsi="黑体" w:eastAsia="黑体" w:cs="Times New Roman"/>
          <w:snapToGrid w:val="0"/>
          <w:spacing w:val="-4"/>
          <w:sz w:val="32"/>
          <w:szCs w:val="32"/>
        </w:rPr>
        <w:t>抽查组织实施</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（一）任务分工</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仲裁信访科牵头部署此次“双随机、一公开”监管不定向抽查工作和行政执法合法性法制审查工作，具体负责部署抽查任务，明确工作要求。石家庄市鹿泉区劳动和社会保障监察大队具体负责涉及本次抽查工作人员调配、教育培训和抽查工作中的廉政、工作纪律和业务培训、业务指导，负责实施具体抽查工作和法制宣传教育工作，形成总结报告；局办公室负责网络维护、后勤保障工作。</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（二）抽查方式及流程</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仲裁信访科通过“河北省双随机监管工作平台”，将随机抽取的检查对象名单分派至石家庄市鹿泉区劳动和社会保障监察大队。石家庄市鹿泉区劳动和社会保障监察大队登录“河北省双随机监管工作平台”确认抽查对象。</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随机匹配执法人员。仲裁信访科利用“河北省双随机监管工作平台”从石家庄市鹿泉区劳动和社会保障监察大队执法人员库随机抽取执法检查人员，分为四个小组，生成针对每个检查对象的《随机抽查联合检查记录表》。</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 w:eastAsia="仿宋_GB2312"/>
          <w:color w:val="000000"/>
          <w:sz w:val="32"/>
          <w:szCs w:val="32"/>
          <w:lang w:eastAsia="zh-CN"/>
        </w:rPr>
      </w:pPr>
      <w:r>
        <w:rPr>
          <w:rFonts w:hint="eastAsia" w:ascii="仿宋_GB2312" w:hAnsi="仿宋_GB2312" w:eastAsia="仿宋_GB2312" w:cs="仿宋_GB2312"/>
          <w:sz w:val="32"/>
          <w:szCs w:val="32"/>
          <w:lang w:val="en-US" w:eastAsia="zh-CN"/>
        </w:rPr>
        <w:t>3.实施检查。参与抽查的人员，做好抽查前期准备，一是根据经营范围梳理检查事项，做到有针对性的检查；二是按照规定的检查事项，通知企业准备资料；三是实地核查，对检查对象所涉及到的事项实施全覆盖检查。对确定的检查事项及内容，应依法一次性完成检查，执法人员、被检查对象在联合抽查记录表、实地核查记录表签字或盖章。实施检查时，留下影像资料，进行全过程记录。</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eastAsia" w:ascii="楷体_GB2312" w:hAnsi="仿宋" w:eastAsia="楷体_GB2312"/>
          <w:b w:val="0"/>
          <w:bCs/>
          <w:sz w:val="32"/>
          <w:szCs w:val="32"/>
          <w:lang w:val="en-US" w:eastAsia="zh-CN"/>
        </w:rPr>
      </w:pPr>
      <w:r>
        <w:rPr>
          <w:rFonts w:hint="eastAsia" w:ascii="楷体_GB2312" w:hAnsi="仿宋" w:eastAsia="楷体_GB2312"/>
          <w:b w:val="0"/>
          <w:bCs/>
          <w:sz w:val="32"/>
          <w:szCs w:val="32"/>
          <w:lang w:val="en-US" w:eastAsia="zh-CN"/>
        </w:rPr>
        <w:t>（三）公示抽查结果</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执法人员应在抽查工作结束后10个工作日内，将抽查结果录入“河北省双随机监管工作平台”，也可将抽查完毕的抽查结果随时录入“河北省双随机监管工作平台”，并通过国家企业信用信息公示系统（河北）向社会公示。</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2.发现抽查对象存在其他违法行为线索的，要依法处理或移交有关部门。</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黑体" w:hAnsi="黑体" w:eastAsia="黑体"/>
          <w:sz w:val="32"/>
          <w:szCs w:val="32"/>
        </w:rPr>
      </w:pPr>
      <w:r>
        <w:rPr>
          <w:rFonts w:hint="eastAsia" w:ascii="仿宋_GB2312" w:hAnsi="仿宋_GB2312" w:eastAsia="仿宋_GB2312" w:cs="仿宋_GB2312"/>
          <w:sz w:val="32"/>
          <w:szCs w:val="32"/>
          <w:lang w:val="en-US" w:eastAsia="zh-CN"/>
        </w:rPr>
        <w:t>3.抽查检查结果的公示只针对检查行为的本身，对发生的行政处罚要在规定时限内在行政执法公示网、鹿泉区政务公开网进行公示，完善信用体系建设，优化企业营商环境。</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五、工作要求</w:t>
      </w:r>
    </w:p>
    <w:p>
      <w:pPr>
        <w:keepNext w:val="0"/>
        <w:keepLines w:val="0"/>
        <w:pageBreakBefore w:val="0"/>
        <w:widowControl w:val="0"/>
        <w:kinsoku/>
        <w:wordWrap/>
        <w:overflowPunct/>
        <w:topLinePunct w:val="0"/>
        <w:autoSpaceDE/>
        <w:autoSpaceDN/>
        <w:bidi w:val="0"/>
        <w:adjustRightInd/>
        <w:snapToGrid/>
        <w:spacing w:line="54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sz w:val="32"/>
          <w:szCs w:val="32"/>
        </w:rPr>
        <w:t>（一）加强组织领导。</w:t>
      </w:r>
      <w:r>
        <w:rPr>
          <w:rFonts w:hint="eastAsia" w:ascii="仿宋_GB2312" w:hAnsi="仿宋_GB2312" w:eastAsia="仿宋_GB2312" w:cs="仿宋_GB2312"/>
          <w:sz w:val="32"/>
          <w:szCs w:val="32"/>
          <w:lang w:val="en-US" w:eastAsia="zh-CN"/>
        </w:rPr>
        <w:t>要站在经济社会发展全局的高度，深刻认识这项工作的重要性和紧迫性，强化领导小组统筹、规划，提升办公室成员、责任单位工作效率。各部门人员要增强责任意识，加强研究，切实把“双随机、一公开”落到实处。此次“双随机”联合抽查，涉及疫情期间，抽查人员要做好防护措施，确保检查不出现关于疫情的任何问题，相关科室要高度重视，密切配合、精心组织，周密部署，确保此次抽查工作依法有序开展。</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sz w:val="32"/>
          <w:szCs w:val="32"/>
          <w:lang w:val="en-US" w:eastAsia="zh-CN"/>
        </w:rPr>
      </w:pPr>
      <w:r>
        <w:rPr>
          <w:rFonts w:hint="eastAsia" w:ascii="楷体" w:hAnsi="楷体" w:eastAsia="楷体" w:cs="楷体"/>
          <w:sz w:val="32"/>
          <w:szCs w:val="32"/>
        </w:rPr>
        <w:t>（二）</w:t>
      </w:r>
      <w:r>
        <w:rPr>
          <w:rFonts w:hint="eastAsia" w:ascii="楷体" w:hAnsi="楷体" w:eastAsia="楷体" w:cs="楷体"/>
          <w:sz w:val="32"/>
          <w:szCs w:val="32"/>
          <w:lang w:eastAsia="zh-CN"/>
        </w:rPr>
        <w:t>规范统一程序</w:t>
      </w:r>
      <w:r>
        <w:rPr>
          <w:rFonts w:hint="eastAsia" w:ascii="楷体" w:hAnsi="楷体" w:eastAsia="楷体" w:cs="楷体"/>
          <w:sz w:val="32"/>
          <w:szCs w:val="32"/>
        </w:rPr>
        <w:t>。</w:t>
      </w:r>
      <w:r>
        <w:rPr>
          <w:rFonts w:hint="eastAsia" w:ascii="仿宋_GB2312" w:hAnsi="仿宋_GB2312" w:eastAsia="仿宋_GB2312" w:cs="仿宋_GB2312"/>
          <w:sz w:val="32"/>
          <w:szCs w:val="32"/>
          <w:lang w:val="en-US" w:eastAsia="zh-CN"/>
        </w:rPr>
        <w:t>要加强宣传报道，公开抽查依据、抽查主体、抽查内容、抽查方式，扩大抽查工作的社会影响力，使社会公众充分了解此次抽查工作的意义、目的，抽查工作方案和抽查结果要向社会公开。要严格执法，提高执法效能，“双随机、一公开”抽取过程、检查结果动用等要做到全程留痕，实现责任可追溯。抽查结束后，石家庄市劳动和社会保障监察大队做好归档工作。</w:t>
      </w:r>
    </w:p>
    <w:p>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 w:eastAsia="仿宋_GB2312"/>
          <w:sz w:val="32"/>
          <w:szCs w:val="32"/>
        </w:rPr>
      </w:pPr>
      <w:r>
        <w:rPr>
          <w:rFonts w:hint="eastAsia" w:ascii="楷体" w:hAnsi="楷体" w:eastAsia="楷体" w:cs="楷体"/>
          <w:sz w:val="32"/>
          <w:szCs w:val="32"/>
          <w:lang w:val="en-US" w:eastAsia="zh-CN"/>
        </w:rPr>
        <w:t>(</w:t>
      </w:r>
      <w:r>
        <w:rPr>
          <w:rFonts w:hint="eastAsia" w:ascii="楷体" w:hAnsi="楷体" w:eastAsia="楷体" w:cs="楷体"/>
          <w:sz w:val="32"/>
          <w:szCs w:val="32"/>
        </w:rPr>
        <w:t>三）</w:t>
      </w:r>
      <w:r>
        <w:rPr>
          <w:rFonts w:hint="eastAsia" w:ascii="楷体" w:hAnsi="楷体" w:eastAsia="楷体" w:cs="楷体"/>
          <w:sz w:val="32"/>
          <w:szCs w:val="32"/>
          <w:lang w:eastAsia="zh-CN"/>
        </w:rPr>
        <w:t>加强落实监管</w:t>
      </w:r>
      <w:r>
        <w:rPr>
          <w:rFonts w:hint="eastAsia" w:ascii="楷体" w:hAnsi="楷体" w:eastAsia="楷体" w:cs="楷体"/>
          <w:sz w:val="32"/>
          <w:szCs w:val="32"/>
        </w:rPr>
        <w:t>。</w:t>
      </w:r>
      <w:r>
        <w:rPr>
          <w:rFonts w:hint="eastAsia" w:ascii="仿宋_GB2312" w:hAnsi="仿宋_GB2312" w:eastAsia="仿宋_GB2312" w:cs="仿宋_GB2312"/>
          <w:sz w:val="32"/>
          <w:szCs w:val="32"/>
          <w:lang w:val="en-US" w:eastAsia="zh-CN"/>
        </w:rPr>
        <w:t>对随机抽查中发现的问题，要采取针对性强的监督检查方式，及时开展整改回访，确保整改落实到位。同时，结合“双随机、一公开”抽查工作，推动系统性监管主体诚信档案、失信联合惩戒、黑名单制度建设。</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楷体_GB2312" w:hAnsi="仿宋" w:eastAsia="楷体_GB2312"/>
          <w:b w:val="0"/>
          <w:bCs/>
          <w:sz w:val="32"/>
          <w:szCs w:val="32"/>
        </w:rPr>
        <w:t>（</w:t>
      </w:r>
      <w:r>
        <w:rPr>
          <w:rFonts w:hint="eastAsia" w:ascii="楷体_GB2312" w:hAnsi="仿宋" w:eastAsia="楷体_GB2312"/>
          <w:b w:val="0"/>
          <w:bCs/>
          <w:sz w:val="32"/>
          <w:szCs w:val="32"/>
          <w:lang w:eastAsia="zh-CN"/>
        </w:rPr>
        <w:t>四</w:t>
      </w:r>
      <w:r>
        <w:rPr>
          <w:rFonts w:hint="eastAsia" w:ascii="楷体_GB2312" w:hAnsi="仿宋" w:eastAsia="楷体_GB2312"/>
          <w:b w:val="0"/>
          <w:bCs/>
          <w:sz w:val="32"/>
          <w:szCs w:val="32"/>
        </w:rPr>
        <w:t>）加强情况反馈。</w:t>
      </w:r>
      <w:r>
        <w:rPr>
          <w:rFonts w:hint="eastAsia" w:ascii="仿宋_GB2312" w:hAnsi="仿宋_GB2312" w:eastAsia="仿宋_GB2312" w:cs="仿宋_GB2312"/>
          <w:sz w:val="32"/>
          <w:szCs w:val="32"/>
          <w:lang w:val="en-US" w:eastAsia="zh-CN"/>
        </w:rPr>
        <w:t>2021年6月30日前，石家庄市鹿泉区劳动和社会保障监察大队将工作总结报仲裁科。总结材料应包括抽查工作的主要做法，存在问题，以及加强和改进“双随机、一公司”监管抽查工作的意见建议等。</w:t>
      </w:r>
    </w:p>
    <w:p>
      <w:pPr>
        <w:keepNext w:val="0"/>
        <w:keepLines w:val="0"/>
        <w:pageBreakBefore w:val="0"/>
        <w:kinsoku/>
        <w:wordWrap/>
        <w:overflowPunct/>
        <w:topLinePunct w:val="0"/>
        <w:autoSpaceDE/>
        <w:autoSpaceDN/>
        <w:bidi w:val="0"/>
        <w:adjustRightInd/>
        <w:snapToGrid/>
        <w:spacing w:after="48" w:afterLines="20" w:line="54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联系人：聂凯忠        电  话：82100161</w:t>
      </w:r>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bookmarkStart w:id="0" w:name="_GoBack"/>
      <w:bookmarkEnd w:id="0"/>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2560" w:firstLineChars="80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2560" w:firstLineChars="8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石家庄市鹿泉区人力资源和社会保障局</w:t>
      </w:r>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2021年4月25日</w:t>
      </w:r>
    </w:p>
    <w:p>
      <w:pPr>
        <w:keepNext w:val="0"/>
        <w:keepLines w:val="0"/>
        <w:pageBreakBefore w:val="0"/>
        <w:kinsoku/>
        <w:wordWrap/>
        <w:overflowPunct/>
        <w:topLinePunct w:val="0"/>
        <w:autoSpaceDE/>
        <w:autoSpaceDN/>
        <w:bidi w:val="0"/>
        <w:adjustRightInd/>
        <w:snapToGrid/>
        <w:spacing w:after="48" w:afterLines="20" w:line="578"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kinsoku/>
        <w:overflowPunct/>
        <w:topLinePunct w:val="0"/>
        <w:autoSpaceDE/>
        <w:autoSpaceDN/>
        <w:bidi w:val="0"/>
        <w:adjustRightInd w:val="0"/>
        <w:snapToGrid w:val="0"/>
        <w:spacing w:line="560" w:lineRule="exact"/>
        <w:ind w:left="0" w:leftChars="0" w:right="0" w:rightChars="0"/>
        <w:textAlignment w:val="auto"/>
        <w:rPr>
          <w:rFonts w:hint="eastAsia" w:ascii="仿宋" w:hAnsi="仿宋" w:eastAsia="仿宋" w:cs="仿宋"/>
          <w:b w:val="0"/>
          <w:i w:val="0"/>
          <w:caps w:val="0"/>
          <w:color w:val="auto"/>
          <w:spacing w:val="0"/>
          <w:sz w:val="32"/>
          <w:szCs w:val="32"/>
          <w:shd w:val="clear" w:fill="FFFFFF"/>
          <w:lang w:val="en-US" w:eastAsia="zh-CN"/>
        </w:rPr>
      </w:pPr>
    </w:p>
    <w:sectPr>
      <w:footerReference r:id="rId3" w:type="default"/>
      <w:footerReference r:id="rId4" w:type="even"/>
      <w:pgSz w:w="11906" w:h="16838"/>
      <w:pgMar w:top="1417" w:right="1361" w:bottom="567" w:left="1361" w:header="851" w:footer="1701" w:gutter="0"/>
      <w:pgNumType w:fmt="decimal" w:start="1"/>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right" w:pos="8845"/>
        <w:tab w:val="clear" w:pos="4153"/>
      </w:tabs>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78867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8867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62.1pt;mso-position-horizontal:right;mso-position-horizontal-relative:margin;z-index:251659264;mso-width-relative:page;mso-height-relative:page;" filled="f" stroked="f" coordsize="21600,21600" o:gfxdata="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JKL6wtQAAAAFAQAADwAA&#10;AAAAAAABACAAAAAiAAAAZHJzL2Rvd25yZXYueG1sUEsBAhQAFAAAAAgAh07iQIWkpaEaAgAAFAQA&#10;AA4AAAAAAAAAAQAgAAAAIwEAAGRycy9lMm9Eb2MueG1sUEsFBgAAAAAGAAYAWQEAAK8FAAAAAA==&#10;">
              <v:fill on="f" focussize="0,0"/>
              <v:stroke on="f" weight="0.5pt"/>
              <v:imagedata o:title=""/>
              <o:lock v:ext="edit" aspectratio="f"/>
              <v:textbox inset="0mm,0mm,0mm,0mm" style="mso-fit-shape-to-text:t;">
                <w:txbxContent>
                  <w:p>
                    <w:pPr>
                      <w:snapToGrid w:val="0"/>
                      <w:rPr>
                        <w:rFonts w:hint="default"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r>
      <w:rPr>
        <w:rFonts w:hint="eastAsia" w:eastAsiaTheme="minorEastAsia"/>
        <w:lang w:val="en-US" w:eastAsia="zh-CN"/>
      </w:rPr>
      <w:ptab w:relativeTo="margin" w:alignment="right" w:leader="none"/>
    </w:r>
    <w:r>
      <w:rPr>
        <w:rFonts w:hint="eastAsia" w:eastAsiaTheme="minorEastAsia"/>
        <w:lang w:val="en-US" w:eastAsia="zh-CN"/>
      </w:rPr>
      <w:ptab w:relativeTo="margin" w:alignment="right" w:leader="none"/>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663575" cy="269875"/>
              <wp:effectExtent l="0" t="0" r="0" b="0"/>
              <wp:wrapNone/>
              <wp:docPr id="2" name="文本框 2"/>
              <wp:cNvGraphicFramePr/>
              <a:graphic xmlns:a="http://schemas.openxmlformats.org/drawingml/2006/main">
                <a:graphicData uri="http://schemas.microsoft.com/office/word/2010/wordprocessingShape">
                  <wps:wsp>
                    <wps:cNvSpPr txBox="1"/>
                    <wps:spPr>
                      <a:xfrm>
                        <a:off x="0" y="0"/>
                        <a:ext cx="663575" cy="2698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- 2 -</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21.25pt;width:52.25pt;mso-position-horizontal:right;mso-position-horizontal-relative:margin;z-index:251660288;mso-width-relative:page;mso-height-relative:page;" filled="f" stroked="f" coordsize="21600,21600" o:gfxdata="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AuQi10wAAAAQBAAAPAAAA&#10;AAAAAAEAIAAAACIAAABkcnMvZG93bnJldi54bWxQSwECFAAUAAAACACHTuJA1DePwxoCAAATBAAA&#10;DgAAAAAAAAABACAAAAAiAQAAZHJzL2Uyb0RvYy54bWxQSwUGAAAAAAYABgBZAQAArgUAAAAA&#10;">
              <v:fill on="f" focussize="0,0"/>
              <v:stroke on="f" weight="0.5pt"/>
              <v:imagedata o:title=""/>
              <o:lock v:ext="edit" aspectratio="f"/>
              <v:textbox inset="0mm,0mm,0mm,0mm">
                <w:txbxContent>
                  <w:p>
                    <w:pPr>
                      <w:snapToGrid w:val="0"/>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- 2 -</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evenAndOddHeaders w:val="1"/>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E8720F"/>
    <w:rsid w:val="045F5A1D"/>
    <w:rsid w:val="04B13016"/>
    <w:rsid w:val="08532929"/>
    <w:rsid w:val="0B921A70"/>
    <w:rsid w:val="0CB67EC0"/>
    <w:rsid w:val="0D176C5D"/>
    <w:rsid w:val="0DC77E6D"/>
    <w:rsid w:val="0DE94A90"/>
    <w:rsid w:val="0F7663BC"/>
    <w:rsid w:val="0FCA70D0"/>
    <w:rsid w:val="12AF5016"/>
    <w:rsid w:val="138509E5"/>
    <w:rsid w:val="144D4731"/>
    <w:rsid w:val="17A164CC"/>
    <w:rsid w:val="17D0076F"/>
    <w:rsid w:val="18EF55EB"/>
    <w:rsid w:val="1A485A08"/>
    <w:rsid w:val="1A8C4286"/>
    <w:rsid w:val="1C232A7B"/>
    <w:rsid w:val="1D6E661B"/>
    <w:rsid w:val="1DC04167"/>
    <w:rsid w:val="1F215688"/>
    <w:rsid w:val="204375AE"/>
    <w:rsid w:val="2613456B"/>
    <w:rsid w:val="26EC1321"/>
    <w:rsid w:val="27EF13A0"/>
    <w:rsid w:val="29A018F6"/>
    <w:rsid w:val="2A924B09"/>
    <w:rsid w:val="2B0471DB"/>
    <w:rsid w:val="2B3247B6"/>
    <w:rsid w:val="2FFC42B0"/>
    <w:rsid w:val="301D42D1"/>
    <w:rsid w:val="30E1022C"/>
    <w:rsid w:val="315B11DD"/>
    <w:rsid w:val="31664FEF"/>
    <w:rsid w:val="31816C38"/>
    <w:rsid w:val="336427F0"/>
    <w:rsid w:val="339E72D9"/>
    <w:rsid w:val="34FC123A"/>
    <w:rsid w:val="36197FEA"/>
    <w:rsid w:val="38B42DE9"/>
    <w:rsid w:val="39BF379F"/>
    <w:rsid w:val="3A5829FD"/>
    <w:rsid w:val="3AC779F4"/>
    <w:rsid w:val="3B537BB9"/>
    <w:rsid w:val="3BBB0462"/>
    <w:rsid w:val="3CC327E7"/>
    <w:rsid w:val="3E3073D5"/>
    <w:rsid w:val="408B45E4"/>
    <w:rsid w:val="41B837B3"/>
    <w:rsid w:val="42703FD6"/>
    <w:rsid w:val="431D479F"/>
    <w:rsid w:val="44167D08"/>
    <w:rsid w:val="442A5CF4"/>
    <w:rsid w:val="47C51A02"/>
    <w:rsid w:val="4947439C"/>
    <w:rsid w:val="4A5752A4"/>
    <w:rsid w:val="4AAA50A4"/>
    <w:rsid w:val="4AC34DA4"/>
    <w:rsid w:val="4C0B0E3A"/>
    <w:rsid w:val="4CB21E3A"/>
    <w:rsid w:val="4E766747"/>
    <w:rsid w:val="4F8C2809"/>
    <w:rsid w:val="50FB40BF"/>
    <w:rsid w:val="516C1007"/>
    <w:rsid w:val="525A7A18"/>
    <w:rsid w:val="53651B3A"/>
    <w:rsid w:val="53884C45"/>
    <w:rsid w:val="55CC0EF2"/>
    <w:rsid w:val="56F70906"/>
    <w:rsid w:val="573C2DFD"/>
    <w:rsid w:val="5C2862BB"/>
    <w:rsid w:val="5C2E574D"/>
    <w:rsid w:val="5CAA592F"/>
    <w:rsid w:val="5D9E5075"/>
    <w:rsid w:val="5F3D6A7F"/>
    <w:rsid w:val="60C04EB1"/>
    <w:rsid w:val="613C0BA8"/>
    <w:rsid w:val="62964EC4"/>
    <w:rsid w:val="64A4186E"/>
    <w:rsid w:val="650B6EF1"/>
    <w:rsid w:val="65283848"/>
    <w:rsid w:val="65AD3983"/>
    <w:rsid w:val="679D7E08"/>
    <w:rsid w:val="67B01010"/>
    <w:rsid w:val="690E32BE"/>
    <w:rsid w:val="6ADC42D4"/>
    <w:rsid w:val="6BC87736"/>
    <w:rsid w:val="6BDE5811"/>
    <w:rsid w:val="6CDE2F7F"/>
    <w:rsid w:val="6FA732CC"/>
    <w:rsid w:val="72EF688C"/>
    <w:rsid w:val="74464A07"/>
    <w:rsid w:val="74A75795"/>
    <w:rsid w:val="75B0593F"/>
    <w:rsid w:val="762C3979"/>
    <w:rsid w:val="7A18676E"/>
    <w:rsid w:val="7BD006E9"/>
    <w:rsid w:val="7D7950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qFormat/>
    <w:uiPriority w:val="0"/>
  </w:style>
  <w:style w:type="paragraph" w:customStyle="1" w:styleId="9">
    <w:name w:val="正文 New New New New New New New New"/>
    <w:qFormat/>
    <w:uiPriority w:val="0"/>
    <w:pPr>
      <w:widowControl w:val="0"/>
      <w:jc w:val="both"/>
    </w:pPr>
    <w:rPr>
      <w:rFonts w:ascii="Calibri" w:hAnsi="Calibri" w:eastAsia="宋体" w:cs="Calibri"/>
      <w:sz w:val="21"/>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封静</cp:lastModifiedBy>
  <cp:lastPrinted>2021-04-25T03:24:00Z</cp:lastPrinted>
  <dcterms:modified xsi:type="dcterms:W3CDTF">2021-04-25T06:38:00Z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0687A6A1072A44B68DB8BAE83E796EBE</vt:lpwstr>
  </property>
</Properties>
</file>