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widowControl/>
        <w:spacing w:before="0" w:beforeAutospacing="0" w:after="0" w:afterAutospacing="0" w:line="578" w:lineRule="exact"/>
        <w:jc w:val="center"/>
        <w:rPr>
          <w:rFonts w:hint="eastAsia" w:ascii="方正小标宋简体" w:hAnsi="宋体" w:eastAsia="方正小标宋简体" w:cs="宋体"/>
          <w:bCs/>
          <w:sz w:val="44"/>
          <w:szCs w:val="44"/>
        </w:rPr>
      </w:pPr>
      <w:r>
        <w:rPr>
          <w:rFonts w:hint="eastAsia" w:ascii="方正小标宋简体" w:hAnsi="宋体" w:eastAsia="方正小标宋简体" w:cs="宋体"/>
          <w:bCs/>
          <w:sz w:val="44"/>
          <w:szCs w:val="44"/>
        </w:rPr>
        <w:t>上庄镇人民政府</w:t>
      </w:r>
    </w:p>
    <w:p>
      <w:pPr>
        <w:pStyle w:val="4"/>
        <w:widowControl/>
        <w:spacing w:before="0" w:beforeAutospacing="0" w:after="0" w:afterAutospacing="0" w:line="578" w:lineRule="exact"/>
        <w:jc w:val="center"/>
        <w:rPr>
          <w:rFonts w:hint="eastAsia" w:ascii="方正小标宋简体" w:hAnsi="宋体" w:eastAsia="方正小标宋简体" w:cs="宋体"/>
          <w:bCs/>
          <w:sz w:val="44"/>
          <w:szCs w:val="44"/>
        </w:rPr>
      </w:pPr>
      <w:r>
        <w:rPr>
          <w:rFonts w:hint="eastAsia" w:ascii="方正小标宋简体" w:hAnsi="宋体" w:eastAsia="方正小标宋简体" w:cs="宋体"/>
          <w:bCs/>
          <w:sz w:val="44"/>
          <w:szCs w:val="44"/>
        </w:rPr>
        <w:t>2020年度政府信息公开工作年度报告</w:t>
      </w:r>
    </w:p>
    <w:p>
      <w:pPr>
        <w:pStyle w:val="4"/>
        <w:widowControl/>
        <w:spacing w:before="0" w:beforeAutospacing="0" w:after="0" w:afterAutospacing="0" w:line="578" w:lineRule="exact"/>
        <w:ind w:firstLine="642" w:firstLineChars="200"/>
        <w:jc w:val="both"/>
        <w:rPr>
          <w:rFonts w:ascii="黑体" w:hAnsi="黑体" w:eastAsia="黑体" w:cs="黑体"/>
          <w:b/>
          <w:sz w:val="32"/>
          <w:szCs w:val="32"/>
        </w:rPr>
      </w:pPr>
    </w:p>
    <w:p>
      <w:pPr>
        <w:pStyle w:val="4"/>
        <w:widowControl/>
        <w:spacing w:before="0" w:beforeAutospacing="0" w:after="0" w:afterAutospacing="0" w:line="578" w:lineRule="exact"/>
        <w:ind w:firstLine="640" w:firstLineChars="200"/>
        <w:jc w:val="both"/>
        <w:rPr>
          <w:rFonts w:hint="eastAsia" w:ascii="黑体" w:hAnsi="黑体" w:eastAsia="黑体" w:cs="黑体"/>
          <w:bCs/>
          <w:sz w:val="32"/>
          <w:szCs w:val="32"/>
        </w:rPr>
      </w:pPr>
      <w:r>
        <w:rPr>
          <w:rFonts w:hint="eastAsia" w:ascii="黑体" w:hAnsi="黑体" w:eastAsia="黑体" w:cs="黑体"/>
          <w:bCs/>
          <w:sz w:val="32"/>
          <w:szCs w:val="32"/>
        </w:rPr>
        <w:t>一、总体情况</w:t>
      </w:r>
    </w:p>
    <w:p>
      <w:pPr>
        <w:pStyle w:val="4"/>
        <w:widowControl/>
        <w:spacing w:before="0" w:beforeAutospacing="0" w:after="0" w:afterAutospacing="0" w:line="578"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上庄镇政府信息公开工作严格按照区政府工作部署和要求，结合本镇实际，以切实保障</w:t>
      </w:r>
      <w:bookmarkStart w:id="0" w:name="_GoBack"/>
      <w:bookmarkEnd w:id="0"/>
      <w:r>
        <w:rPr>
          <w:rFonts w:hint="eastAsia" w:ascii="仿宋_GB2312" w:hAnsi="仿宋" w:eastAsia="仿宋_GB2312" w:cs="仿宋"/>
          <w:sz w:val="32"/>
          <w:szCs w:val="32"/>
        </w:rPr>
        <w:t>人民群众的民主权</w:t>
      </w:r>
      <w:r>
        <w:rPr>
          <w:rFonts w:hint="eastAsia" w:ascii="仿宋_GB2312" w:hAnsi="仿宋" w:eastAsia="仿宋_GB2312" w:cs="仿宋"/>
          <w:sz w:val="32"/>
          <w:szCs w:val="32"/>
          <w:lang w:eastAsia="zh"/>
        </w:rPr>
        <w:t>利</w:t>
      </w:r>
      <w:r>
        <w:rPr>
          <w:rFonts w:hint="eastAsia" w:ascii="仿宋_GB2312" w:hAnsi="仿宋" w:eastAsia="仿宋_GB2312" w:cs="仿宋"/>
          <w:sz w:val="32"/>
          <w:szCs w:val="32"/>
        </w:rPr>
        <w:t>、维护人民群众的切身利益为出发点和落脚点，以公正便民、依法行政、勤政廉政为基本要求，切实加强对部门开展信息公开工作的监督管理，进一步提升了政府信息公开工作透明度、进一步密切了党群干群关系。</w:t>
      </w:r>
    </w:p>
    <w:p>
      <w:pPr>
        <w:pStyle w:val="4"/>
        <w:widowControl/>
        <w:spacing w:before="0" w:beforeAutospacing="0" w:after="0" w:afterAutospacing="0" w:line="578" w:lineRule="exact"/>
        <w:ind w:firstLine="642" w:firstLineChars="200"/>
        <w:rPr>
          <w:rFonts w:hint="eastAsia" w:ascii="仿宋_GB2312" w:hAnsi="仿宋" w:eastAsia="仿宋_GB2312" w:cs="仿宋"/>
          <w:sz w:val="32"/>
          <w:szCs w:val="32"/>
        </w:rPr>
      </w:pPr>
      <w:r>
        <w:rPr>
          <w:rFonts w:hint="eastAsia" w:ascii="楷体_GB2312" w:hAnsi="仿宋" w:eastAsia="楷体_GB2312" w:cs="仿宋"/>
          <w:b/>
          <w:bCs/>
          <w:sz w:val="32"/>
          <w:szCs w:val="32"/>
        </w:rPr>
        <w:t>1.强化组织领导。</w:t>
      </w:r>
      <w:r>
        <w:rPr>
          <w:rFonts w:hint="eastAsia" w:ascii="仿宋_GB2312" w:hAnsi="仿宋" w:eastAsia="仿宋_GB2312" w:cs="仿宋"/>
          <w:sz w:val="32"/>
          <w:szCs w:val="32"/>
        </w:rPr>
        <w:t xml:space="preserve">为进一步密切党群干群关系，拆除党群干群之间的“隔心墙”，架起亲民“连心桥”，坚持“以人为本，以民为本”的理念，把政府信息公开作为一项“民心工程”来抓，按照“谁公开、谁负责”的原则，要求各部门按规定依时公开各类政务信息、政策法规等信息。进一步通过公开平台，对政务公开和政务服务事项的信息量、完整性、时效性、准确性等进行监察，确保信息公开及时、准确。有力地促进了我镇各项工作的正常顺利开展。  </w:t>
      </w:r>
    </w:p>
    <w:p>
      <w:pPr>
        <w:pStyle w:val="4"/>
        <w:widowControl/>
        <w:spacing w:before="0" w:beforeAutospacing="0" w:after="0" w:afterAutospacing="0" w:line="578" w:lineRule="exact"/>
        <w:ind w:firstLine="642" w:firstLineChars="200"/>
        <w:rPr>
          <w:rFonts w:hint="eastAsia" w:ascii="仿宋_GB2312" w:hAnsi="仿宋" w:eastAsia="仿宋_GB2312" w:cs="仿宋"/>
          <w:sz w:val="32"/>
          <w:szCs w:val="32"/>
        </w:rPr>
      </w:pPr>
      <w:r>
        <w:rPr>
          <w:rFonts w:hint="eastAsia" w:ascii="楷体_GB2312" w:hAnsi="仿宋" w:eastAsia="楷体_GB2312" w:cs="仿宋"/>
          <w:b/>
          <w:bCs/>
          <w:sz w:val="32"/>
          <w:szCs w:val="32"/>
        </w:rPr>
        <w:t>2.强化管理服务。</w:t>
      </w:r>
      <w:r>
        <w:rPr>
          <w:rFonts w:hint="eastAsia" w:ascii="仿宋_GB2312" w:hAnsi="仿宋" w:eastAsia="仿宋_GB2312" w:cs="仿宋"/>
          <w:b/>
          <w:bCs/>
          <w:sz w:val="32"/>
          <w:szCs w:val="32"/>
        </w:rPr>
        <w:t>一是</w:t>
      </w:r>
      <w:r>
        <w:rPr>
          <w:rFonts w:hint="eastAsia" w:ascii="仿宋_GB2312" w:hAnsi="仿宋" w:eastAsia="仿宋_GB2312" w:cs="仿宋"/>
          <w:sz w:val="32"/>
          <w:szCs w:val="32"/>
        </w:rPr>
        <w:t>不断摸索总结经验，逐步建立一套符合实际的可操作性强的管理制度。</w:t>
      </w:r>
      <w:r>
        <w:rPr>
          <w:rFonts w:hint="eastAsia" w:ascii="仿宋_GB2312" w:hAnsi="仿宋" w:eastAsia="仿宋_GB2312" w:cs="仿宋"/>
          <w:b/>
          <w:bCs/>
          <w:sz w:val="32"/>
          <w:szCs w:val="32"/>
        </w:rPr>
        <w:t>二是</w:t>
      </w:r>
      <w:r>
        <w:rPr>
          <w:rFonts w:hint="eastAsia" w:ascii="仿宋_GB2312" w:hAnsi="仿宋" w:eastAsia="仿宋_GB2312" w:cs="仿宋"/>
          <w:sz w:val="32"/>
          <w:szCs w:val="32"/>
        </w:rPr>
        <w:t>成立上庄镇行政综合服务中心。2020年6月8日正式成立，服务中心占地面积约700平方米，共设立市场准入、涉军服务、卫生健康、城乡建设、涉农事物、民生保障6个窗口，配备工作人员16名，区审批局共下放审批事项115项，真正实现一个“中心”对外，一个“窗口”受理，一站式办结，一条龙服务，让政府放心，让群众满意。</w:t>
      </w:r>
      <w:r>
        <w:rPr>
          <w:rFonts w:hint="eastAsia" w:ascii="仿宋_GB2312" w:hAnsi="仿宋" w:eastAsia="仿宋_GB2312" w:cs="仿宋"/>
          <w:b/>
          <w:bCs/>
          <w:sz w:val="32"/>
          <w:szCs w:val="32"/>
        </w:rPr>
        <w:t>三是</w:t>
      </w:r>
      <w:r>
        <w:rPr>
          <w:rFonts w:hint="eastAsia" w:ascii="仿宋_GB2312" w:hAnsi="仿宋" w:eastAsia="仿宋_GB2312" w:cs="仿宋"/>
          <w:sz w:val="32"/>
          <w:szCs w:val="32"/>
        </w:rPr>
        <w:t>合理调配业务熟、服务意识强的工作人员，确保群众来了有人办事、办得了事、办得成事。</w:t>
      </w:r>
    </w:p>
    <w:p>
      <w:pPr>
        <w:pStyle w:val="4"/>
        <w:widowControl/>
        <w:spacing w:before="0" w:beforeAutospacing="0" w:after="0" w:afterAutospacing="0" w:line="578" w:lineRule="exact"/>
        <w:ind w:firstLine="642" w:firstLineChars="200"/>
        <w:rPr>
          <w:rFonts w:ascii="仿宋_GB2312" w:hAnsi="仿宋" w:eastAsia="仿宋_GB2312" w:cs="仿宋"/>
          <w:sz w:val="32"/>
          <w:szCs w:val="32"/>
        </w:rPr>
      </w:pPr>
      <w:r>
        <w:rPr>
          <w:rFonts w:hint="eastAsia" w:ascii="楷体_GB2312" w:hAnsi="仿宋" w:eastAsia="楷体_GB2312" w:cs="仿宋"/>
          <w:b/>
          <w:bCs/>
          <w:sz w:val="32"/>
          <w:szCs w:val="32"/>
        </w:rPr>
        <w:t>3.强化信息公开。</w:t>
      </w:r>
      <w:r>
        <w:rPr>
          <w:rFonts w:hint="eastAsia" w:ascii="仿宋_GB2312" w:hAnsi="仿宋" w:eastAsia="仿宋_GB2312" w:cs="仿宋"/>
          <w:sz w:val="32"/>
          <w:szCs w:val="32"/>
        </w:rPr>
        <w:t>在政府信息公开工作推进过程中，我们按照“格式规范、内容全面、数据准确”的要求，根据我镇的实际，突出重点，创新形式，不断提高政府信息公开工作水平。积极创新政府信息公开载体形式。除了运用政务公开宣传栏、新闻、网站等形式进行公开以外，我镇还把政务公开工作纳入日常政府管理，针对不同公开对象，采取了不同的公开方式，及时公开各类政务信息。</w:t>
      </w:r>
    </w:p>
    <w:p>
      <w:pPr>
        <w:pStyle w:val="4"/>
        <w:widowControl/>
        <w:spacing w:before="0" w:beforeAutospacing="0" w:after="0" w:afterAutospacing="0" w:line="578" w:lineRule="exact"/>
        <w:ind w:firstLine="640" w:firstLineChars="200"/>
        <w:jc w:val="both"/>
        <w:rPr>
          <w:rFonts w:hint="eastAsia" w:ascii="黑体" w:hAnsi="黑体" w:eastAsia="黑体" w:cs="黑体"/>
          <w:bCs/>
          <w:sz w:val="32"/>
          <w:szCs w:val="32"/>
        </w:rPr>
      </w:pPr>
      <w:r>
        <w:rPr>
          <w:rFonts w:hint="eastAsia" w:ascii="黑体" w:hAnsi="黑体" w:eastAsia="黑体" w:cs="黑体"/>
          <w:bCs/>
          <w:sz w:val="32"/>
          <w:szCs w:val="32"/>
        </w:rPr>
        <w:t>二、主动公开政府信息情况</w:t>
      </w:r>
    </w:p>
    <w:tbl>
      <w:tblPr>
        <w:tblStyle w:val="5"/>
        <w:tblW w:w="8145" w:type="dxa"/>
        <w:jc w:val="center"/>
        <w:tblLayout w:type="fixed"/>
        <w:tblCellMar>
          <w:top w:w="0" w:type="dxa"/>
          <w:left w:w="108" w:type="dxa"/>
          <w:bottom w:w="0" w:type="dxa"/>
          <w:right w:w="108" w:type="dxa"/>
        </w:tblCellMar>
      </w:tblPr>
      <w:tblGrid>
        <w:gridCol w:w="3115"/>
        <w:gridCol w:w="1876"/>
        <w:gridCol w:w="6"/>
        <w:gridCol w:w="1266"/>
        <w:gridCol w:w="1882"/>
      </w:tblGrid>
      <w:tr>
        <w:tblPrEx>
          <w:tblCellMar>
            <w:top w:w="0" w:type="dxa"/>
            <w:left w:w="108" w:type="dxa"/>
            <w:bottom w:w="0" w:type="dxa"/>
            <w:right w:w="108" w:type="dxa"/>
          </w:tblCellMar>
        </w:tblPrEx>
        <w:trPr>
          <w:trHeight w:val="495" w:hRule="atLeast"/>
          <w:jc w:val="center"/>
        </w:trPr>
        <w:tc>
          <w:tcPr>
            <w:tcW w:w="8140" w:type="dxa"/>
            <w:gridSpan w:val="5"/>
            <w:tcBorders>
              <w:top w:val="single" w:color="auto" w:sz="8" w:space="0"/>
              <w:left w:val="single" w:color="auto" w:sz="8" w:space="0"/>
              <w:bottom w:val="single" w:color="auto" w:sz="8" w:space="0"/>
              <w:right w:val="single" w:color="auto" w:sz="8" w:space="0"/>
            </w:tcBorders>
            <w:shd w:val="clear" w:color="auto" w:fill="C6D9F1"/>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第二十条第（一）项</w:t>
            </w:r>
          </w:p>
        </w:tc>
      </w:tr>
      <w:tr>
        <w:tblPrEx>
          <w:tblCellMar>
            <w:top w:w="0" w:type="dxa"/>
            <w:left w:w="108" w:type="dxa"/>
            <w:bottom w:w="0" w:type="dxa"/>
            <w:right w:w="108"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shd w:val="clear" w:color="auto" w:fill="E6F4FF"/>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信息内容</w:t>
            </w:r>
          </w:p>
        </w:tc>
        <w:tc>
          <w:tcPr>
            <w:tcW w:w="1875" w:type="dxa"/>
            <w:tcBorders>
              <w:top w:val="single" w:color="auto" w:sz="8" w:space="0"/>
              <w:left w:val="nil"/>
              <w:bottom w:val="single" w:color="auto" w:sz="8" w:space="0"/>
              <w:right w:val="single" w:color="auto" w:sz="8" w:space="0"/>
            </w:tcBorders>
            <w:shd w:val="clear" w:color="auto" w:fill="E6F4FF"/>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本年新</w:t>
            </w:r>
            <w:r>
              <w:rPr>
                <w:rFonts w:hint="eastAsia" w:ascii="仿宋" w:hAnsi="仿宋" w:eastAsia="仿宋" w:cs="仿宋"/>
                <w:kern w:val="0"/>
                <w:sz w:val="24"/>
                <w:lang w:bidi="ar"/>
              </w:rPr>
              <w:br w:type="textWrapping"/>
            </w:r>
            <w:r>
              <w:rPr>
                <w:rFonts w:hint="eastAsia" w:ascii="仿宋" w:hAnsi="仿宋" w:eastAsia="仿宋" w:cs="仿宋"/>
                <w:kern w:val="0"/>
                <w:sz w:val="24"/>
                <w:lang w:bidi="ar"/>
              </w:rPr>
              <w:t>制作数量</w:t>
            </w:r>
          </w:p>
        </w:tc>
        <w:tc>
          <w:tcPr>
            <w:tcW w:w="1271" w:type="dxa"/>
            <w:gridSpan w:val="2"/>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本年新</w:t>
            </w:r>
            <w:r>
              <w:rPr>
                <w:rFonts w:hint="eastAsia" w:ascii="仿宋" w:hAnsi="仿宋" w:eastAsia="仿宋" w:cs="仿宋"/>
                <w:kern w:val="0"/>
                <w:sz w:val="24"/>
                <w:lang w:bidi="ar"/>
              </w:rPr>
              <w:br w:type="textWrapping"/>
            </w:r>
            <w:r>
              <w:rPr>
                <w:rFonts w:hint="eastAsia" w:ascii="仿宋" w:hAnsi="仿宋" w:eastAsia="仿宋" w:cs="仿宋"/>
                <w:kern w:val="0"/>
                <w:sz w:val="24"/>
                <w:lang w:bidi="ar"/>
              </w:rPr>
              <w:t>公开数量</w:t>
            </w:r>
          </w:p>
        </w:tc>
        <w:tc>
          <w:tcPr>
            <w:tcW w:w="1881" w:type="dxa"/>
            <w:tcBorders>
              <w:top w:val="nil"/>
              <w:left w:val="nil"/>
              <w:bottom w:val="single" w:color="auto" w:sz="8" w:space="0"/>
              <w:right w:val="single" w:color="auto" w:sz="8" w:space="0"/>
            </w:tcBorders>
            <w:shd w:val="clear" w:color="auto" w:fill="E6F4FF"/>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对外公开总数量</w:t>
            </w:r>
          </w:p>
        </w:tc>
      </w:tr>
      <w:tr>
        <w:tblPrEx>
          <w:tblCellMar>
            <w:top w:w="0" w:type="dxa"/>
            <w:left w:w="108" w:type="dxa"/>
            <w:bottom w:w="0" w:type="dxa"/>
            <w:right w:w="108"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规章</w:t>
            </w:r>
          </w:p>
        </w:tc>
        <w:tc>
          <w:tcPr>
            <w:tcW w:w="1875" w:type="dxa"/>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w:t>
            </w:r>
            <w:r>
              <w:rPr>
                <w:rFonts w:ascii="仿宋" w:hAnsi="仿宋" w:eastAsia="仿宋" w:cs="仿宋"/>
                <w:kern w:val="0"/>
                <w:sz w:val="24"/>
                <w:lang w:bidi="ar"/>
              </w:rPr>
              <w:t>3</w:t>
            </w:r>
          </w:p>
        </w:tc>
        <w:tc>
          <w:tcPr>
            <w:tcW w:w="1271" w:type="dxa"/>
            <w:gridSpan w:val="2"/>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ascii="Calibri" w:hAnsi="Calibri" w:eastAsia="仿宋" w:cs="Calibri"/>
                <w:kern w:val="0"/>
                <w:sz w:val="24"/>
                <w:lang w:bidi="ar"/>
              </w:rPr>
              <w:t> 3</w:t>
            </w:r>
          </w:p>
        </w:tc>
        <w:tc>
          <w:tcPr>
            <w:tcW w:w="1881" w:type="dxa"/>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w:t>
            </w:r>
            <w:r>
              <w:rPr>
                <w:rFonts w:ascii="仿宋" w:hAnsi="仿宋" w:eastAsia="仿宋" w:cs="仿宋"/>
                <w:kern w:val="0"/>
                <w:sz w:val="24"/>
                <w:lang w:bidi="ar"/>
              </w:rPr>
              <w:t>3</w:t>
            </w:r>
          </w:p>
        </w:tc>
      </w:tr>
      <w:tr>
        <w:tblPrEx>
          <w:tblCellMar>
            <w:top w:w="0" w:type="dxa"/>
            <w:left w:w="108" w:type="dxa"/>
            <w:bottom w:w="0" w:type="dxa"/>
            <w:right w:w="108"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规范性文件</w:t>
            </w:r>
          </w:p>
        </w:tc>
        <w:tc>
          <w:tcPr>
            <w:tcW w:w="1875" w:type="dxa"/>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w:t>
            </w:r>
            <w:r>
              <w:rPr>
                <w:rFonts w:ascii="仿宋" w:hAnsi="仿宋" w:eastAsia="仿宋" w:cs="仿宋"/>
                <w:kern w:val="0"/>
                <w:sz w:val="24"/>
                <w:lang w:bidi="ar"/>
              </w:rPr>
              <w:t>8</w:t>
            </w:r>
          </w:p>
        </w:tc>
        <w:tc>
          <w:tcPr>
            <w:tcW w:w="1271" w:type="dxa"/>
            <w:gridSpan w:val="2"/>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ascii="Calibri" w:hAnsi="Calibri" w:eastAsia="仿宋" w:cs="Calibri"/>
                <w:kern w:val="0"/>
                <w:sz w:val="24"/>
                <w:lang w:bidi="ar"/>
              </w:rPr>
              <w:t> 8</w:t>
            </w:r>
          </w:p>
        </w:tc>
        <w:tc>
          <w:tcPr>
            <w:tcW w:w="1881" w:type="dxa"/>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w:t>
            </w:r>
            <w:r>
              <w:rPr>
                <w:rFonts w:ascii="仿宋" w:hAnsi="仿宋" w:eastAsia="仿宋" w:cs="仿宋"/>
                <w:kern w:val="0"/>
                <w:sz w:val="24"/>
                <w:lang w:bidi="ar"/>
              </w:rPr>
              <w:t>8</w:t>
            </w:r>
          </w:p>
        </w:tc>
      </w:tr>
      <w:tr>
        <w:tblPrEx>
          <w:tblCellMar>
            <w:top w:w="0" w:type="dxa"/>
            <w:left w:w="108" w:type="dxa"/>
            <w:bottom w:w="0" w:type="dxa"/>
            <w:right w:w="108" w:type="dxa"/>
          </w:tblCellMar>
        </w:tblPrEx>
        <w:trPr>
          <w:trHeight w:val="480"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第二十条第（五）项</w:t>
            </w:r>
          </w:p>
        </w:tc>
      </w:tr>
      <w:tr>
        <w:tblPrEx>
          <w:tblCellMar>
            <w:top w:w="0" w:type="dxa"/>
            <w:left w:w="108" w:type="dxa"/>
            <w:bottom w:w="0" w:type="dxa"/>
            <w:right w:w="108"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E6F4FF"/>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信息内容</w:t>
            </w:r>
          </w:p>
        </w:tc>
        <w:tc>
          <w:tcPr>
            <w:tcW w:w="1875" w:type="dxa"/>
            <w:tcBorders>
              <w:top w:val="single" w:color="auto" w:sz="8" w:space="0"/>
              <w:left w:val="nil"/>
              <w:bottom w:val="single" w:color="auto" w:sz="8" w:space="0"/>
              <w:right w:val="single" w:color="auto" w:sz="8" w:space="0"/>
            </w:tcBorders>
            <w:shd w:val="clear" w:color="auto" w:fill="E6F4FF"/>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上一年项目数量</w:t>
            </w:r>
          </w:p>
        </w:tc>
        <w:tc>
          <w:tcPr>
            <w:tcW w:w="1271" w:type="dxa"/>
            <w:gridSpan w:val="2"/>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本年增/减</w:t>
            </w:r>
          </w:p>
        </w:tc>
        <w:tc>
          <w:tcPr>
            <w:tcW w:w="1881" w:type="dxa"/>
            <w:tcBorders>
              <w:top w:val="nil"/>
              <w:left w:val="nil"/>
              <w:bottom w:val="single" w:color="auto" w:sz="8" w:space="0"/>
              <w:right w:val="single" w:color="auto" w:sz="8" w:space="0"/>
            </w:tcBorders>
            <w:shd w:val="clear" w:color="auto" w:fill="E6F4FF"/>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处理决定数量</w:t>
            </w:r>
          </w:p>
        </w:tc>
      </w:tr>
      <w:tr>
        <w:tblPrEx>
          <w:tblCellMar>
            <w:top w:w="0" w:type="dxa"/>
            <w:left w:w="108" w:type="dxa"/>
            <w:bottom w:w="0" w:type="dxa"/>
            <w:right w:w="108"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行政许可</w:t>
            </w:r>
          </w:p>
        </w:tc>
        <w:tc>
          <w:tcPr>
            <w:tcW w:w="1881" w:type="dxa"/>
            <w:gridSpan w:val="2"/>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2</w:t>
            </w:r>
            <w:r>
              <w:rPr>
                <w:rFonts w:ascii="仿宋" w:hAnsi="仿宋" w:eastAsia="仿宋" w:cs="仿宋"/>
                <w:kern w:val="0"/>
                <w:sz w:val="24"/>
                <w:lang w:bidi="ar"/>
              </w:rPr>
              <w:t>6</w:t>
            </w:r>
          </w:p>
        </w:tc>
        <w:tc>
          <w:tcPr>
            <w:tcW w:w="1265" w:type="dxa"/>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0</w:t>
            </w:r>
          </w:p>
        </w:tc>
        <w:tc>
          <w:tcPr>
            <w:tcW w:w="1881" w:type="dxa"/>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1</w:t>
            </w:r>
            <w:r>
              <w:rPr>
                <w:rFonts w:ascii="仿宋" w:hAnsi="仿宋" w:eastAsia="仿宋" w:cs="仿宋"/>
                <w:kern w:val="0"/>
                <w:sz w:val="24"/>
                <w:lang w:bidi="ar"/>
              </w:rPr>
              <w:t>918</w:t>
            </w:r>
          </w:p>
        </w:tc>
      </w:tr>
      <w:tr>
        <w:tblPrEx>
          <w:tblCellMar>
            <w:top w:w="0" w:type="dxa"/>
            <w:left w:w="108" w:type="dxa"/>
            <w:bottom w:w="0" w:type="dxa"/>
            <w:right w:w="108"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其他对外管理服务事项</w:t>
            </w:r>
          </w:p>
        </w:tc>
        <w:tc>
          <w:tcPr>
            <w:tcW w:w="1881" w:type="dxa"/>
            <w:gridSpan w:val="2"/>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0</w:t>
            </w:r>
          </w:p>
        </w:tc>
        <w:tc>
          <w:tcPr>
            <w:tcW w:w="1265" w:type="dxa"/>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0</w:t>
            </w:r>
          </w:p>
        </w:tc>
        <w:tc>
          <w:tcPr>
            <w:tcW w:w="1881" w:type="dxa"/>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0</w:t>
            </w:r>
          </w:p>
        </w:tc>
      </w:tr>
      <w:tr>
        <w:tblPrEx>
          <w:tblCellMar>
            <w:top w:w="0" w:type="dxa"/>
            <w:left w:w="108" w:type="dxa"/>
            <w:bottom w:w="0" w:type="dxa"/>
            <w:right w:w="108" w:type="dxa"/>
          </w:tblCellMar>
        </w:tblPrEx>
        <w:trPr>
          <w:trHeight w:val="40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第二十条第（六）项</w:t>
            </w:r>
          </w:p>
        </w:tc>
      </w:tr>
      <w:tr>
        <w:tblPrEx>
          <w:tblCellMar>
            <w:top w:w="0" w:type="dxa"/>
            <w:left w:w="108" w:type="dxa"/>
            <w:bottom w:w="0" w:type="dxa"/>
            <w:right w:w="108"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E6F4FF"/>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信息内容</w:t>
            </w:r>
          </w:p>
        </w:tc>
        <w:tc>
          <w:tcPr>
            <w:tcW w:w="1875" w:type="dxa"/>
            <w:tcBorders>
              <w:top w:val="single" w:color="auto" w:sz="8" w:space="0"/>
              <w:left w:val="nil"/>
              <w:bottom w:val="single" w:color="auto" w:sz="8" w:space="0"/>
              <w:right w:val="single" w:color="auto" w:sz="8" w:space="0"/>
            </w:tcBorders>
            <w:shd w:val="clear" w:color="auto" w:fill="E6F4FF"/>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上一年项目数量</w:t>
            </w:r>
          </w:p>
        </w:tc>
        <w:tc>
          <w:tcPr>
            <w:tcW w:w="1271" w:type="dxa"/>
            <w:gridSpan w:val="2"/>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本年增/减</w:t>
            </w:r>
          </w:p>
        </w:tc>
        <w:tc>
          <w:tcPr>
            <w:tcW w:w="1881" w:type="dxa"/>
            <w:tcBorders>
              <w:top w:val="nil"/>
              <w:left w:val="nil"/>
              <w:bottom w:val="single" w:color="auto" w:sz="8" w:space="0"/>
              <w:right w:val="single" w:color="auto" w:sz="8" w:space="0"/>
            </w:tcBorders>
            <w:shd w:val="clear" w:color="auto" w:fill="E6F4FF"/>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处理决定数量</w:t>
            </w:r>
          </w:p>
        </w:tc>
      </w:tr>
      <w:tr>
        <w:tblPrEx>
          <w:tblCellMar>
            <w:top w:w="0" w:type="dxa"/>
            <w:left w:w="108" w:type="dxa"/>
            <w:bottom w:w="0" w:type="dxa"/>
            <w:right w:w="108"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行政处罚</w:t>
            </w:r>
          </w:p>
        </w:tc>
        <w:tc>
          <w:tcPr>
            <w:tcW w:w="1881" w:type="dxa"/>
            <w:gridSpan w:val="2"/>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w:t>
            </w:r>
            <w:r>
              <w:rPr>
                <w:rFonts w:ascii="仿宋" w:hAnsi="仿宋" w:eastAsia="仿宋" w:cs="仿宋"/>
                <w:kern w:val="0"/>
                <w:sz w:val="24"/>
                <w:lang w:bidi="ar"/>
              </w:rPr>
              <w:t>3</w:t>
            </w:r>
          </w:p>
        </w:tc>
        <w:tc>
          <w:tcPr>
            <w:tcW w:w="1265" w:type="dxa"/>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8</w:t>
            </w:r>
            <w:r>
              <w:rPr>
                <w:rFonts w:ascii="仿宋" w:hAnsi="仿宋" w:eastAsia="仿宋" w:cs="仿宋"/>
                <w:kern w:val="0"/>
                <w:sz w:val="24"/>
                <w:lang w:bidi="ar"/>
              </w:rPr>
              <w:t>7</w:t>
            </w:r>
          </w:p>
        </w:tc>
        <w:tc>
          <w:tcPr>
            <w:tcW w:w="1881" w:type="dxa"/>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w:t>
            </w:r>
            <w:r>
              <w:rPr>
                <w:rFonts w:ascii="仿宋" w:hAnsi="仿宋" w:eastAsia="仿宋" w:cs="仿宋"/>
                <w:kern w:val="0"/>
                <w:sz w:val="24"/>
                <w:lang w:bidi="ar"/>
              </w:rPr>
              <w:t>5</w:t>
            </w:r>
          </w:p>
        </w:tc>
      </w:tr>
      <w:tr>
        <w:tblPrEx>
          <w:tblCellMar>
            <w:top w:w="0" w:type="dxa"/>
            <w:left w:w="108" w:type="dxa"/>
            <w:bottom w:w="0" w:type="dxa"/>
            <w:right w:w="108"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行政强制</w:t>
            </w:r>
          </w:p>
        </w:tc>
        <w:tc>
          <w:tcPr>
            <w:tcW w:w="1881" w:type="dxa"/>
            <w:gridSpan w:val="2"/>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0</w:t>
            </w:r>
          </w:p>
        </w:tc>
        <w:tc>
          <w:tcPr>
            <w:tcW w:w="1265" w:type="dxa"/>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0</w:t>
            </w:r>
          </w:p>
        </w:tc>
        <w:tc>
          <w:tcPr>
            <w:tcW w:w="1881" w:type="dxa"/>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0</w:t>
            </w:r>
          </w:p>
        </w:tc>
      </w:tr>
      <w:tr>
        <w:tblPrEx>
          <w:tblCellMar>
            <w:top w:w="0" w:type="dxa"/>
            <w:left w:w="108" w:type="dxa"/>
            <w:bottom w:w="0" w:type="dxa"/>
            <w:right w:w="108" w:type="dxa"/>
          </w:tblCellMar>
        </w:tblPrEx>
        <w:trPr>
          <w:trHeight w:val="474"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第二十条第（八）项</w:t>
            </w:r>
          </w:p>
        </w:tc>
      </w:tr>
      <w:tr>
        <w:tblPrEx>
          <w:tblCellMar>
            <w:top w:w="0" w:type="dxa"/>
            <w:left w:w="108" w:type="dxa"/>
            <w:bottom w:w="0" w:type="dxa"/>
            <w:right w:w="108"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shd w:val="clear" w:color="auto" w:fill="E6F4FF"/>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信息内容</w:t>
            </w:r>
          </w:p>
        </w:tc>
        <w:tc>
          <w:tcPr>
            <w:tcW w:w="1881" w:type="dxa"/>
            <w:gridSpan w:val="2"/>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上一年项目数量</w:t>
            </w:r>
          </w:p>
        </w:tc>
        <w:tc>
          <w:tcPr>
            <w:tcW w:w="3146" w:type="dxa"/>
            <w:gridSpan w:val="2"/>
            <w:tcBorders>
              <w:top w:val="single" w:color="auto" w:sz="8" w:space="0"/>
              <w:left w:val="nil"/>
              <w:bottom w:val="single" w:color="auto" w:sz="8" w:space="0"/>
              <w:right w:val="single" w:color="000000" w:sz="8" w:space="0"/>
            </w:tcBorders>
            <w:shd w:val="clear" w:color="auto" w:fill="E6F4FF"/>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本年增/减</w:t>
            </w:r>
          </w:p>
        </w:tc>
      </w:tr>
      <w:tr>
        <w:tblPrEx>
          <w:tblCellMar>
            <w:top w:w="0" w:type="dxa"/>
            <w:left w:w="108" w:type="dxa"/>
            <w:bottom w:w="0" w:type="dxa"/>
            <w:right w:w="108"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行政事业性收费</w:t>
            </w:r>
          </w:p>
        </w:tc>
        <w:tc>
          <w:tcPr>
            <w:tcW w:w="1881" w:type="dxa"/>
            <w:gridSpan w:val="2"/>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0</w:t>
            </w:r>
          </w:p>
        </w:tc>
        <w:tc>
          <w:tcPr>
            <w:tcW w:w="3146" w:type="dxa"/>
            <w:gridSpan w:val="2"/>
            <w:tcBorders>
              <w:top w:val="nil"/>
              <w:left w:val="nil"/>
              <w:bottom w:val="single" w:color="auto" w:sz="8" w:space="0"/>
              <w:right w:val="single" w:color="000000" w:sz="8" w:space="0"/>
            </w:tcBorders>
            <w:shd w:val="clear" w:color="auto" w:fill="E6F4FF"/>
            <w:noWrap/>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CellMar>
            <w:top w:w="0" w:type="dxa"/>
            <w:left w:w="108" w:type="dxa"/>
            <w:bottom w:w="0" w:type="dxa"/>
            <w:right w:w="108" w:type="dxa"/>
          </w:tblCellMar>
        </w:tblPrEx>
        <w:trPr>
          <w:trHeight w:val="476" w:hRule="atLeast"/>
          <w:jc w:val="center"/>
        </w:trPr>
        <w:tc>
          <w:tcPr>
            <w:tcW w:w="8140" w:type="dxa"/>
            <w:gridSpan w:val="5"/>
            <w:tcBorders>
              <w:top w:val="nil"/>
              <w:left w:val="single" w:color="auto" w:sz="8" w:space="0"/>
              <w:bottom w:val="single" w:color="auto" w:sz="8" w:space="0"/>
              <w:right w:val="single" w:color="auto" w:sz="8" w:space="0"/>
            </w:tcBorders>
            <w:shd w:val="clear" w:color="auto" w:fill="C6D9F1"/>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第二十条第（九）项</w:t>
            </w:r>
          </w:p>
        </w:tc>
      </w:tr>
      <w:tr>
        <w:tblPrEx>
          <w:tblCellMar>
            <w:top w:w="0" w:type="dxa"/>
            <w:left w:w="108" w:type="dxa"/>
            <w:bottom w:w="0" w:type="dxa"/>
            <w:right w:w="108"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shd w:val="clear" w:color="auto" w:fill="E6F4FF"/>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信息内容</w:t>
            </w:r>
          </w:p>
        </w:tc>
        <w:tc>
          <w:tcPr>
            <w:tcW w:w="1881" w:type="dxa"/>
            <w:gridSpan w:val="2"/>
            <w:tcBorders>
              <w:top w:val="nil"/>
              <w:left w:val="nil"/>
              <w:bottom w:val="single" w:color="auto" w:sz="8" w:space="0"/>
              <w:right w:val="single" w:color="auto" w:sz="8" w:space="0"/>
            </w:tcBorders>
            <w:shd w:val="clear" w:color="auto" w:fill="E6F4FF"/>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采购项目数量</w:t>
            </w:r>
          </w:p>
        </w:tc>
        <w:tc>
          <w:tcPr>
            <w:tcW w:w="3146" w:type="dxa"/>
            <w:gridSpan w:val="2"/>
            <w:tcBorders>
              <w:top w:val="single" w:color="auto" w:sz="8" w:space="0"/>
              <w:left w:val="nil"/>
              <w:bottom w:val="single" w:color="auto" w:sz="8" w:space="0"/>
              <w:right w:val="single" w:color="000000" w:sz="8" w:space="0"/>
            </w:tcBorders>
            <w:shd w:val="clear" w:color="auto" w:fill="E6F4FF"/>
            <w:noWrap/>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采购总金额</w:t>
            </w:r>
          </w:p>
        </w:tc>
      </w:tr>
      <w:tr>
        <w:tblPrEx>
          <w:tblCellMar>
            <w:top w:w="0" w:type="dxa"/>
            <w:left w:w="108" w:type="dxa"/>
            <w:bottom w:w="0" w:type="dxa"/>
            <w:right w:w="108"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政府集中采购</w:t>
            </w:r>
          </w:p>
        </w:tc>
        <w:tc>
          <w:tcPr>
            <w:tcW w:w="1881" w:type="dxa"/>
            <w:gridSpan w:val="2"/>
            <w:tcBorders>
              <w:top w:val="nil"/>
              <w:left w:val="nil"/>
              <w:bottom w:val="single" w:color="auto" w:sz="8" w:space="0"/>
              <w:right w:val="single" w:color="auto" w:sz="8" w:space="0"/>
            </w:tcBorders>
            <w:shd w:val="clear" w:color="auto" w:fill="E6F4FF"/>
            <w:noWrap/>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　0</w:t>
            </w:r>
          </w:p>
        </w:tc>
        <w:tc>
          <w:tcPr>
            <w:tcW w:w="3146" w:type="dxa"/>
            <w:gridSpan w:val="2"/>
            <w:tcBorders>
              <w:top w:val="nil"/>
              <w:left w:val="nil"/>
              <w:bottom w:val="single" w:color="auto" w:sz="8" w:space="0"/>
              <w:right w:val="single" w:color="000000" w:sz="8" w:space="0"/>
            </w:tcBorders>
            <w:shd w:val="clear" w:color="auto" w:fill="E6F4FF"/>
            <w:noWrap/>
            <w:vAlign w:val="center"/>
          </w:tcPr>
          <w:p>
            <w:pPr>
              <w:spacing w:line="578" w:lineRule="exact"/>
              <w:jc w:val="center"/>
              <w:rPr>
                <w:rFonts w:hint="eastAsia" w:ascii="仿宋" w:hAnsi="仿宋" w:eastAsia="仿宋" w:cs="仿宋"/>
                <w:sz w:val="24"/>
              </w:rPr>
            </w:pPr>
            <w:r>
              <w:rPr>
                <w:rFonts w:hint="eastAsia" w:ascii="仿宋" w:hAnsi="仿宋" w:eastAsia="仿宋" w:cs="仿宋"/>
                <w:sz w:val="24"/>
              </w:rPr>
              <w:t>0</w:t>
            </w:r>
          </w:p>
        </w:tc>
      </w:tr>
    </w:tbl>
    <w:p>
      <w:pPr>
        <w:pStyle w:val="4"/>
        <w:widowControl/>
        <w:spacing w:before="0" w:beforeAutospacing="0" w:after="0" w:afterAutospacing="0" w:line="578" w:lineRule="exact"/>
        <w:ind w:firstLine="640" w:firstLineChars="200"/>
        <w:jc w:val="both"/>
        <w:rPr>
          <w:rFonts w:hint="eastAsia" w:ascii="黑体" w:hAnsi="黑体" w:eastAsia="黑体" w:cs="黑体"/>
          <w:bCs/>
          <w:sz w:val="32"/>
          <w:szCs w:val="32"/>
        </w:rPr>
      </w:pPr>
      <w:r>
        <w:rPr>
          <w:rFonts w:hint="eastAsia" w:ascii="黑体" w:hAnsi="黑体" w:eastAsia="黑体" w:cs="黑体"/>
          <w:bCs/>
          <w:sz w:val="32"/>
          <w:szCs w:val="32"/>
        </w:rPr>
        <w:t>三、收到和处理政府信息公开申请情况</w:t>
      </w:r>
    </w:p>
    <w:tbl>
      <w:tblPr>
        <w:tblStyle w:val="5"/>
        <w:tblW w:w="9075" w:type="dxa"/>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108" w:type="dxa"/>
          <w:bottom w:w="0" w:type="dxa"/>
          <w:right w:w="108" w:type="dxa"/>
        </w:tblCellMar>
      </w:tblPr>
      <w:tblGrid>
        <w:gridCol w:w="857"/>
        <w:gridCol w:w="1178"/>
        <w:gridCol w:w="1905"/>
        <w:gridCol w:w="774"/>
        <w:gridCol w:w="724"/>
        <w:gridCol w:w="724"/>
        <w:gridCol w:w="774"/>
        <w:gridCol w:w="909"/>
        <w:gridCol w:w="687"/>
        <w:gridCol w:w="543"/>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3940" w:type="dxa"/>
            <w:gridSpan w:val="3"/>
            <w:vMerge w:val="restart"/>
            <w:tcBorders>
              <w:top w:val="single" w:color="auto" w:sz="8" w:space="0"/>
              <w:left w:val="single" w:color="auto" w:sz="8" w:space="0"/>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（本列数据的勾稽关系为：第一项加第二项之和，等于第三项加第四项之和）</w:t>
            </w:r>
          </w:p>
        </w:tc>
        <w:tc>
          <w:tcPr>
            <w:tcW w:w="5135" w:type="dxa"/>
            <w:gridSpan w:val="7"/>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申请人情况</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3940" w:type="dxa"/>
            <w:gridSpan w:val="3"/>
            <w:vMerge w:val="continue"/>
            <w:tcBorders>
              <w:top w:val="single" w:color="auto" w:sz="8" w:space="0"/>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774" w:type="dxa"/>
            <w:vMerge w:val="restart"/>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自然人</w:t>
            </w:r>
          </w:p>
        </w:tc>
        <w:tc>
          <w:tcPr>
            <w:tcW w:w="3818" w:type="dxa"/>
            <w:gridSpan w:val="5"/>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总计</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3940" w:type="dxa"/>
            <w:gridSpan w:val="3"/>
            <w:vMerge w:val="continue"/>
            <w:tcBorders>
              <w:top w:val="single" w:color="auto" w:sz="8" w:space="0"/>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774" w:type="dxa"/>
            <w:vMerge w:val="continue"/>
            <w:tcBorders>
              <w:top w:val="nil"/>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商业企业</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科研机构</w:t>
            </w:r>
          </w:p>
        </w:tc>
        <w:tc>
          <w:tcPr>
            <w:tcW w:w="774" w:type="dxa"/>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社会公益组织</w:t>
            </w:r>
          </w:p>
        </w:tc>
        <w:tc>
          <w:tcPr>
            <w:tcW w:w="909" w:type="dxa"/>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法律服务机构</w:t>
            </w:r>
          </w:p>
        </w:tc>
        <w:tc>
          <w:tcPr>
            <w:tcW w:w="687" w:type="dxa"/>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其他</w:t>
            </w:r>
          </w:p>
        </w:tc>
        <w:tc>
          <w:tcPr>
            <w:tcW w:w="543" w:type="dxa"/>
            <w:vMerge w:val="continue"/>
            <w:tcBorders>
              <w:top w:val="single" w:color="auto" w:sz="8" w:space="0"/>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jc w:val="center"/>
        </w:trPr>
        <w:tc>
          <w:tcPr>
            <w:tcW w:w="3940" w:type="dxa"/>
            <w:gridSpan w:val="3"/>
            <w:tcBorders>
              <w:top w:val="nil"/>
              <w:left w:val="single" w:color="auto" w:sz="8" w:space="0"/>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一、本年新收政府信息公开申请数量</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3940" w:type="dxa"/>
            <w:gridSpan w:val="3"/>
            <w:tcBorders>
              <w:top w:val="nil"/>
              <w:left w:val="single" w:color="auto" w:sz="8" w:space="0"/>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二、上年结转政府信息公开申请数量</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857" w:type="dxa"/>
            <w:vMerge w:val="restart"/>
            <w:tcBorders>
              <w:top w:val="nil"/>
              <w:left w:val="single" w:color="auto" w:sz="8" w:space="0"/>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三、本年度办理结果</w:t>
            </w:r>
          </w:p>
        </w:tc>
        <w:tc>
          <w:tcPr>
            <w:tcW w:w="3083" w:type="dxa"/>
            <w:gridSpan w:val="2"/>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（一）予以公开</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3083" w:type="dxa"/>
            <w:gridSpan w:val="2"/>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（二）部分公开（区分处理的，只计这一情形，不计其他情形）</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178" w:type="dxa"/>
            <w:vMerge w:val="restart"/>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（三）不予公开</w:t>
            </w:r>
          </w:p>
        </w:tc>
        <w:tc>
          <w:tcPr>
            <w:tcW w:w="1905" w:type="dxa"/>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1.属于国家秘密</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178" w:type="dxa"/>
            <w:vMerge w:val="continue"/>
            <w:tcBorders>
              <w:top w:val="nil"/>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905" w:type="dxa"/>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2.其他法律行政法规禁止公开</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178" w:type="dxa"/>
            <w:vMerge w:val="continue"/>
            <w:tcBorders>
              <w:top w:val="nil"/>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905" w:type="dxa"/>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3.危及“三安全一稳定”</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178" w:type="dxa"/>
            <w:vMerge w:val="continue"/>
            <w:tcBorders>
              <w:top w:val="nil"/>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905" w:type="dxa"/>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4.保护第三方合法权益</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178" w:type="dxa"/>
            <w:vMerge w:val="continue"/>
            <w:tcBorders>
              <w:top w:val="nil"/>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905" w:type="dxa"/>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5.属于三类内部事务信息</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178" w:type="dxa"/>
            <w:vMerge w:val="continue"/>
            <w:tcBorders>
              <w:top w:val="nil"/>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905" w:type="dxa"/>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6.属于四类过程性信息</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178" w:type="dxa"/>
            <w:vMerge w:val="continue"/>
            <w:tcBorders>
              <w:top w:val="nil"/>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905" w:type="dxa"/>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7.属于行政执法案卷</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178" w:type="dxa"/>
            <w:vMerge w:val="continue"/>
            <w:tcBorders>
              <w:top w:val="nil"/>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905" w:type="dxa"/>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8.属于行政查询事项</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178" w:type="dxa"/>
            <w:vMerge w:val="restart"/>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（四）无法提供</w:t>
            </w:r>
          </w:p>
        </w:tc>
        <w:tc>
          <w:tcPr>
            <w:tcW w:w="1905" w:type="dxa"/>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1.本机关不掌握相关政府信息</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178" w:type="dxa"/>
            <w:vMerge w:val="continue"/>
            <w:tcBorders>
              <w:top w:val="nil"/>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905" w:type="dxa"/>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2.没有现成信息需要另行制作</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178" w:type="dxa"/>
            <w:vMerge w:val="continue"/>
            <w:tcBorders>
              <w:top w:val="nil"/>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905" w:type="dxa"/>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3.补正后申请内容仍不明确</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178" w:type="dxa"/>
            <w:vMerge w:val="restart"/>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（五）不予处理</w:t>
            </w:r>
          </w:p>
        </w:tc>
        <w:tc>
          <w:tcPr>
            <w:tcW w:w="1905" w:type="dxa"/>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1.信访举报投诉类申请</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178" w:type="dxa"/>
            <w:vMerge w:val="continue"/>
            <w:tcBorders>
              <w:top w:val="nil"/>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905" w:type="dxa"/>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2.重复申请</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178" w:type="dxa"/>
            <w:vMerge w:val="continue"/>
            <w:tcBorders>
              <w:top w:val="nil"/>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905" w:type="dxa"/>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3.要求提供公开出版物</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178" w:type="dxa"/>
            <w:vMerge w:val="continue"/>
            <w:tcBorders>
              <w:top w:val="nil"/>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905" w:type="dxa"/>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4.无正当理由大量反复申请</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178" w:type="dxa"/>
            <w:vMerge w:val="continue"/>
            <w:tcBorders>
              <w:top w:val="nil"/>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1905" w:type="dxa"/>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5.要求行政机关确认或重新出具已获取信息</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3083" w:type="dxa"/>
            <w:gridSpan w:val="2"/>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（六）其他处理</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857"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3083" w:type="dxa"/>
            <w:gridSpan w:val="2"/>
            <w:tcBorders>
              <w:top w:val="nil"/>
              <w:left w:val="nil"/>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（七）总计</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3940" w:type="dxa"/>
            <w:gridSpan w:val="3"/>
            <w:tcBorders>
              <w:top w:val="nil"/>
              <w:left w:val="single" w:color="auto" w:sz="8" w:space="0"/>
              <w:bottom w:val="single" w:color="auto" w:sz="8" w:space="0"/>
              <w:right w:val="single" w:color="auto" w:sz="8" w:space="0"/>
            </w:tcBorders>
            <w:shd w:val="clear" w:color="auto" w:fill="E6F4FF"/>
            <w:vAlign w:val="center"/>
          </w:tcPr>
          <w:p>
            <w:pPr>
              <w:widowControl/>
              <w:spacing w:line="578" w:lineRule="exact"/>
              <w:jc w:val="left"/>
              <w:rPr>
                <w:rFonts w:hint="eastAsia" w:ascii="仿宋" w:hAnsi="仿宋" w:eastAsia="仿宋" w:cs="仿宋"/>
                <w:sz w:val="24"/>
              </w:rPr>
            </w:pPr>
            <w:r>
              <w:rPr>
                <w:rFonts w:hint="eastAsia" w:ascii="仿宋" w:hAnsi="仿宋" w:eastAsia="仿宋" w:cs="仿宋"/>
                <w:kern w:val="0"/>
                <w:sz w:val="24"/>
                <w:lang w:bidi="ar"/>
              </w:rPr>
              <w:t>四、结转下年度继续办理</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2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774"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909"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87"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43" w:type="dxa"/>
            <w:tcBorders>
              <w:top w:val="nil"/>
              <w:left w:val="nil"/>
              <w:bottom w:val="single" w:color="auto" w:sz="8" w:space="0"/>
              <w:right w:val="single" w:color="auto" w:sz="8" w:space="0"/>
            </w:tcBorders>
            <w:shd w:val="clear" w:color="auto" w:fill="E6F4FF"/>
            <w:vAlign w:val="center"/>
          </w:tcPr>
          <w:p>
            <w:pPr>
              <w:spacing w:line="578" w:lineRule="exact"/>
              <w:rPr>
                <w:rFonts w:hint="eastAsia" w:ascii="仿宋" w:hAnsi="仿宋" w:eastAsia="仿宋" w:cs="仿宋"/>
                <w:sz w:val="24"/>
              </w:rPr>
            </w:pPr>
            <w:r>
              <w:rPr>
                <w:rFonts w:ascii="Calibri" w:hAnsi="Calibri" w:eastAsia="仿宋" w:cs="Calibri"/>
                <w:kern w:val="0"/>
                <w:sz w:val="24"/>
                <w:lang w:bidi="ar"/>
              </w:rPr>
              <w:t>0 </w:t>
            </w:r>
          </w:p>
        </w:tc>
      </w:tr>
    </w:tbl>
    <w:p>
      <w:pPr>
        <w:pStyle w:val="4"/>
        <w:widowControl/>
        <w:spacing w:before="0" w:beforeAutospacing="0" w:after="0" w:afterAutospacing="0" w:line="578" w:lineRule="exact"/>
        <w:ind w:firstLine="640" w:firstLineChars="200"/>
        <w:jc w:val="both"/>
        <w:rPr>
          <w:rFonts w:hint="eastAsia" w:ascii="黑体" w:hAnsi="黑体" w:eastAsia="黑体" w:cs="黑体"/>
          <w:bCs/>
          <w:sz w:val="32"/>
          <w:szCs w:val="32"/>
        </w:rPr>
      </w:pPr>
      <w:r>
        <w:rPr>
          <w:rFonts w:hint="eastAsia" w:ascii="黑体" w:hAnsi="黑体" w:eastAsia="黑体" w:cs="黑体"/>
          <w:bCs/>
          <w:sz w:val="32"/>
          <w:szCs w:val="32"/>
        </w:rPr>
        <w:t>四、政府信息公开行政复议、行政诉讼情况</w:t>
      </w:r>
    </w:p>
    <w:tbl>
      <w:tblPr>
        <w:tblStyle w:val="5"/>
        <w:tblW w:w="9075" w:type="dxa"/>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tblLayout w:type="fixed"/>
        <w:tblCellMar>
          <w:top w:w="0" w:type="dxa"/>
          <w:left w:w="108" w:type="dxa"/>
          <w:bottom w:w="0" w:type="dxa"/>
          <w:right w:w="108" w:type="dxa"/>
        </w:tblCellMar>
      </w:tblPr>
      <w:tblGrid>
        <w:gridCol w:w="605"/>
        <w:gridCol w:w="605"/>
        <w:gridCol w:w="605"/>
        <w:gridCol w:w="605"/>
        <w:gridCol w:w="658"/>
        <w:gridCol w:w="550"/>
        <w:gridCol w:w="605"/>
        <w:gridCol w:w="605"/>
        <w:gridCol w:w="605"/>
        <w:gridCol w:w="605"/>
        <w:gridCol w:w="605"/>
        <w:gridCol w:w="605"/>
        <w:gridCol w:w="605"/>
        <w:gridCol w:w="606"/>
        <w:gridCol w:w="606"/>
      </w:tblGrid>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3078" w:type="dxa"/>
            <w:gridSpan w:val="5"/>
            <w:tcBorders>
              <w:top w:val="single" w:color="auto" w:sz="8" w:space="0"/>
              <w:left w:val="single" w:color="auto" w:sz="8" w:space="0"/>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行政复议</w:t>
            </w:r>
          </w:p>
        </w:tc>
        <w:tc>
          <w:tcPr>
            <w:tcW w:w="5997" w:type="dxa"/>
            <w:gridSpan w:val="10"/>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行政诉讼</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605" w:type="dxa"/>
            <w:vMerge w:val="restart"/>
            <w:tcBorders>
              <w:top w:val="nil"/>
              <w:left w:val="single" w:color="auto" w:sz="8" w:space="0"/>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结果维持</w:t>
            </w:r>
          </w:p>
        </w:tc>
        <w:tc>
          <w:tcPr>
            <w:tcW w:w="605" w:type="dxa"/>
            <w:vMerge w:val="restart"/>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结果纠正</w:t>
            </w:r>
          </w:p>
        </w:tc>
        <w:tc>
          <w:tcPr>
            <w:tcW w:w="605" w:type="dxa"/>
            <w:vMerge w:val="restart"/>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其他结果</w:t>
            </w:r>
          </w:p>
        </w:tc>
        <w:tc>
          <w:tcPr>
            <w:tcW w:w="605" w:type="dxa"/>
            <w:vMerge w:val="restart"/>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尚未审结</w:t>
            </w:r>
          </w:p>
        </w:tc>
        <w:tc>
          <w:tcPr>
            <w:tcW w:w="658" w:type="dxa"/>
            <w:vMerge w:val="restart"/>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总计</w:t>
            </w:r>
          </w:p>
        </w:tc>
        <w:tc>
          <w:tcPr>
            <w:tcW w:w="2970" w:type="dxa"/>
            <w:gridSpan w:val="5"/>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复议后起诉</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0" w:type="dxa"/>
            <w:left w:w="108" w:type="dxa"/>
            <w:bottom w:w="0" w:type="dxa"/>
            <w:right w:w="108" w:type="dxa"/>
          </w:tblCellMar>
        </w:tblPrEx>
        <w:trPr>
          <w:jc w:val="center"/>
        </w:trPr>
        <w:tc>
          <w:tcPr>
            <w:tcW w:w="605" w:type="dxa"/>
            <w:vMerge w:val="continue"/>
            <w:tcBorders>
              <w:top w:val="nil"/>
              <w:left w:val="single" w:color="auto" w:sz="8" w:space="0"/>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605" w:type="dxa"/>
            <w:vMerge w:val="continue"/>
            <w:tcBorders>
              <w:top w:val="nil"/>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605" w:type="dxa"/>
            <w:vMerge w:val="continue"/>
            <w:tcBorders>
              <w:top w:val="single" w:color="auto" w:sz="8" w:space="0"/>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605" w:type="dxa"/>
            <w:vMerge w:val="continue"/>
            <w:tcBorders>
              <w:top w:val="single" w:color="auto" w:sz="8" w:space="0"/>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658" w:type="dxa"/>
            <w:vMerge w:val="continue"/>
            <w:tcBorders>
              <w:top w:val="single" w:color="auto" w:sz="8" w:space="0"/>
              <w:left w:val="nil"/>
              <w:bottom w:val="single" w:color="auto" w:sz="8" w:space="0"/>
              <w:right w:val="single" w:color="auto" w:sz="8" w:space="0"/>
            </w:tcBorders>
            <w:vAlign w:val="center"/>
          </w:tcPr>
          <w:p>
            <w:pPr>
              <w:widowControl/>
              <w:spacing w:line="578" w:lineRule="exact"/>
              <w:jc w:val="left"/>
              <w:rPr>
                <w:rFonts w:ascii="仿宋" w:hAnsi="仿宋" w:eastAsia="仿宋" w:cs="仿宋"/>
                <w:sz w:val="24"/>
              </w:rPr>
            </w:pPr>
          </w:p>
        </w:tc>
        <w:tc>
          <w:tcPr>
            <w:tcW w:w="550"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结果维持</w:t>
            </w:r>
          </w:p>
        </w:tc>
        <w:tc>
          <w:tcPr>
            <w:tcW w:w="605"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结果纠正</w:t>
            </w:r>
          </w:p>
        </w:tc>
        <w:tc>
          <w:tcPr>
            <w:tcW w:w="605" w:type="dxa"/>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其他结果</w:t>
            </w:r>
          </w:p>
        </w:tc>
        <w:tc>
          <w:tcPr>
            <w:tcW w:w="605" w:type="dxa"/>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尚未审结</w:t>
            </w:r>
          </w:p>
        </w:tc>
        <w:tc>
          <w:tcPr>
            <w:tcW w:w="605" w:type="dxa"/>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总计</w:t>
            </w:r>
          </w:p>
        </w:tc>
        <w:tc>
          <w:tcPr>
            <w:tcW w:w="605" w:type="dxa"/>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结果维持</w:t>
            </w:r>
          </w:p>
        </w:tc>
        <w:tc>
          <w:tcPr>
            <w:tcW w:w="605" w:type="dxa"/>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结果纠正</w:t>
            </w:r>
          </w:p>
        </w:tc>
        <w:tc>
          <w:tcPr>
            <w:tcW w:w="605" w:type="dxa"/>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其他结果</w:t>
            </w:r>
          </w:p>
        </w:tc>
        <w:tc>
          <w:tcPr>
            <w:tcW w:w="606" w:type="dxa"/>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尚未审结</w:t>
            </w:r>
          </w:p>
        </w:tc>
        <w:tc>
          <w:tcPr>
            <w:tcW w:w="606" w:type="dxa"/>
            <w:tcBorders>
              <w:top w:val="single" w:color="auto" w:sz="8" w:space="0"/>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hint="eastAsia" w:ascii="仿宋" w:hAnsi="仿宋" w:eastAsia="仿宋" w:cs="仿宋"/>
                <w:kern w:val="0"/>
                <w:sz w:val="24"/>
                <w:lang w:bidi="ar"/>
              </w:rPr>
              <w:t>总计</w:t>
            </w:r>
          </w:p>
        </w:tc>
      </w:tr>
      <w:tr>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PrEx>
        <w:trPr>
          <w:jc w:val="center"/>
        </w:trPr>
        <w:tc>
          <w:tcPr>
            <w:tcW w:w="605" w:type="dxa"/>
            <w:tcBorders>
              <w:top w:val="nil"/>
              <w:left w:val="single" w:color="auto" w:sz="8" w:space="0"/>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05"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05"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05"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58"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550"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605"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605"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605"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605"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05"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 0</w:t>
            </w:r>
          </w:p>
        </w:tc>
        <w:tc>
          <w:tcPr>
            <w:tcW w:w="605"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05"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06" w:type="dxa"/>
            <w:tcBorders>
              <w:top w:val="nil"/>
              <w:left w:val="nil"/>
              <w:bottom w:val="single" w:color="auto" w:sz="8" w:space="0"/>
              <w:right w:val="single" w:color="auto" w:sz="8" w:space="0"/>
            </w:tcBorders>
            <w:shd w:val="clear" w:color="auto" w:fill="E6F4FF"/>
            <w:vAlign w:val="center"/>
          </w:tcPr>
          <w:p>
            <w:pPr>
              <w:widowControl/>
              <w:spacing w:line="578" w:lineRule="exact"/>
              <w:jc w:val="center"/>
              <w:rPr>
                <w:rFonts w:hint="eastAsia" w:ascii="仿宋" w:hAnsi="仿宋" w:eastAsia="仿宋" w:cs="仿宋"/>
                <w:sz w:val="24"/>
              </w:rPr>
            </w:pPr>
            <w:r>
              <w:rPr>
                <w:rFonts w:ascii="Calibri" w:hAnsi="Calibri" w:eastAsia="仿宋" w:cs="Calibri"/>
                <w:kern w:val="0"/>
                <w:sz w:val="24"/>
                <w:lang w:bidi="ar"/>
              </w:rPr>
              <w:t>0 </w:t>
            </w:r>
          </w:p>
        </w:tc>
        <w:tc>
          <w:tcPr>
            <w:tcW w:w="606" w:type="dxa"/>
            <w:tcBorders>
              <w:top w:val="nil"/>
              <w:left w:val="nil"/>
              <w:bottom w:val="single" w:color="auto" w:sz="8" w:space="0"/>
              <w:right w:val="single" w:color="auto" w:sz="8" w:space="0"/>
            </w:tcBorders>
            <w:shd w:val="clear" w:color="auto" w:fill="E6F4FF"/>
            <w:vAlign w:val="center"/>
          </w:tcPr>
          <w:p>
            <w:pPr>
              <w:spacing w:line="578" w:lineRule="exact"/>
              <w:jc w:val="center"/>
              <w:rPr>
                <w:rFonts w:hint="eastAsia" w:ascii="仿宋" w:hAnsi="仿宋" w:eastAsia="仿宋" w:cs="仿宋"/>
                <w:sz w:val="24"/>
              </w:rPr>
            </w:pPr>
            <w:r>
              <w:rPr>
                <w:rFonts w:hint="eastAsia" w:ascii="仿宋" w:hAnsi="仿宋" w:eastAsia="仿宋" w:cs="仿宋"/>
                <w:sz w:val="24"/>
              </w:rPr>
              <w:t>0</w:t>
            </w:r>
          </w:p>
        </w:tc>
      </w:tr>
    </w:tbl>
    <w:p>
      <w:pPr>
        <w:pStyle w:val="4"/>
        <w:widowControl/>
        <w:spacing w:before="0" w:beforeAutospacing="0" w:after="0" w:afterAutospacing="0" w:line="578" w:lineRule="exact"/>
        <w:ind w:firstLine="640" w:firstLineChars="200"/>
        <w:jc w:val="both"/>
        <w:rPr>
          <w:rFonts w:ascii="黑体" w:hAnsi="黑体" w:eastAsia="黑体" w:cs="黑体"/>
          <w:bCs/>
          <w:sz w:val="32"/>
          <w:szCs w:val="32"/>
        </w:rPr>
      </w:pPr>
      <w:r>
        <w:rPr>
          <w:rFonts w:hint="eastAsia" w:ascii="黑体" w:hAnsi="黑体" w:eastAsia="黑体" w:cs="黑体"/>
          <w:bCs/>
          <w:sz w:val="32"/>
          <w:szCs w:val="32"/>
        </w:rPr>
        <w:t>五、存在的主要问题及改进情况</w:t>
      </w:r>
    </w:p>
    <w:p>
      <w:pPr>
        <w:pStyle w:val="4"/>
        <w:widowControl/>
        <w:spacing w:before="0" w:beforeAutospacing="0" w:after="0" w:afterAutospacing="0" w:line="578" w:lineRule="exact"/>
        <w:ind w:firstLine="640" w:firstLineChars="200"/>
        <w:jc w:val="both"/>
        <w:rPr>
          <w:rFonts w:hint="eastAsia" w:ascii="仿宋_GB2312" w:hAnsi="黑体" w:eastAsia="仿宋_GB2312" w:cs="黑体"/>
          <w:sz w:val="32"/>
          <w:szCs w:val="32"/>
        </w:rPr>
      </w:pPr>
      <w:r>
        <w:rPr>
          <w:rFonts w:hint="eastAsia" w:ascii="仿宋_GB2312" w:hAnsi="黑体" w:eastAsia="仿宋_GB2312" w:cs="黑体"/>
          <w:sz w:val="32"/>
          <w:szCs w:val="32"/>
        </w:rPr>
        <w:t>1.信息公开时效观念不强，有信息公开延后的现象，后段将加强时间观念，做到信息及时更新。</w:t>
      </w:r>
    </w:p>
    <w:p>
      <w:pPr>
        <w:pStyle w:val="4"/>
        <w:widowControl/>
        <w:spacing w:before="0" w:beforeAutospacing="0" w:after="0" w:afterAutospacing="0" w:line="578" w:lineRule="exact"/>
        <w:ind w:firstLine="640" w:firstLineChars="200"/>
        <w:jc w:val="both"/>
        <w:rPr>
          <w:rFonts w:hint="eastAsia" w:ascii="仿宋_GB2312" w:hAnsi="黑体" w:eastAsia="仿宋_GB2312" w:cs="黑体"/>
          <w:sz w:val="32"/>
          <w:szCs w:val="32"/>
        </w:rPr>
      </w:pPr>
      <w:r>
        <w:rPr>
          <w:rFonts w:hint="eastAsia" w:ascii="仿宋_GB2312" w:hAnsi="黑体" w:eastAsia="仿宋_GB2312" w:cs="黑体"/>
          <w:sz w:val="32"/>
          <w:szCs w:val="32"/>
        </w:rPr>
        <w:t>2.个别栏目更新数量过少，栏目内容较旧，后段将重点关注相关栏目，收集资料补充更新。</w:t>
      </w:r>
    </w:p>
    <w:p>
      <w:pPr>
        <w:pStyle w:val="4"/>
        <w:widowControl/>
        <w:spacing w:before="0" w:beforeAutospacing="0" w:after="0" w:afterAutospacing="0" w:line="578" w:lineRule="exact"/>
        <w:ind w:firstLine="640" w:firstLineChars="200"/>
        <w:jc w:val="both"/>
        <w:rPr>
          <w:rFonts w:hint="eastAsia" w:ascii="仿宋_GB2312" w:hAnsi="黑体" w:eastAsia="仿宋_GB2312" w:cs="黑体"/>
          <w:sz w:val="32"/>
          <w:szCs w:val="32"/>
        </w:rPr>
      </w:pPr>
      <w:r>
        <w:rPr>
          <w:rFonts w:hint="eastAsia" w:ascii="仿宋_GB2312" w:hAnsi="黑体" w:eastAsia="仿宋_GB2312" w:cs="黑体"/>
          <w:sz w:val="32"/>
          <w:szCs w:val="32"/>
        </w:rPr>
        <w:t>3.工作人员业务不熟悉，相关规定了解不够，后段将加强学习，着力提升业务素质。</w:t>
      </w:r>
    </w:p>
    <w:p>
      <w:pPr>
        <w:pStyle w:val="4"/>
        <w:widowControl/>
        <w:spacing w:before="0" w:beforeAutospacing="0" w:after="0" w:afterAutospacing="0" w:line="578" w:lineRule="exact"/>
        <w:ind w:firstLine="640" w:firstLineChars="200"/>
        <w:jc w:val="both"/>
        <w:rPr>
          <w:rFonts w:ascii="黑体" w:hAnsi="黑体" w:eastAsia="黑体" w:cs="黑体"/>
          <w:bCs/>
          <w:sz w:val="32"/>
          <w:szCs w:val="32"/>
        </w:rPr>
      </w:pPr>
      <w:r>
        <w:rPr>
          <w:rFonts w:hint="eastAsia" w:ascii="黑体" w:hAnsi="黑体" w:eastAsia="黑体" w:cs="黑体"/>
          <w:bCs/>
          <w:sz w:val="32"/>
          <w:szCs w:val="32"/>
        </w:rPr>
        <w:t>六、其他需要报告的事项</w:t>
      </w:r>
    </w:p>
    <w:p>
      <w:pPr>
        <w:pStyle w:val="4"/>
        <w:widowControl/>
        <w:spacing w:before="0" w:beforeAutospacing="0" w:after="0" w:afterAutospacing="0" w:line="578" w:lineRule="exact"/>
        <w:ind w:firstLine="640" w:firstLineChars="200"/>
        <w:jc w:val="both"/>
        <w:rPr>
          <w:rFonts w:ascii="仿宋" w:hAnsi="仿宋" w:eastAsia="仿宋" w:cs="仿宋"/>
          <w:sz w:val="32"/>
          <w:szCs w:val="32"/>
        </w:rPr>
      </w:pPr>
      <w:r>
        <w:rPr>
          <w:rFonts w:hint="eastAsia" w:ascii="仿宋" w:hAnsi="仿宋" w:eastAsia="仿宋" w:cs="仿宋"/>
          <w:sz w:val="32"/>
          <w:szCs w:val="32"/>
        </w:rPr>
        <w:t>主动公开情况说明。镇政府部分工作部门产生主动公开的政府信息数量为不完全统计数目。</w:t>
      </w:r>
    </w:p>
    <w:p>
      <w:pPr>
        <w:pStyle w:val="4"/>
        <w:widowControl/>
        <w:spacing w:before="0" w:beforeAutospacing="0" w:after="0" w:afterAutospacing="0" w:line="578" w:lineRule="exact"/>
        <w:ind w:firstLine="640" w:firstLineChars="200"/>
        <w:jc w:val="both"/>
        <w:rPr>
          <w:rFonts w:ascii="仿宋" w:hAnsi="仿宋" w:eastAsia="仿宋" w:cs="仿宋"/>
          <w:sz w:val="32"/>
          <w:szCs w:val="32"/>
        </w:rPr>
      </w:pPr>
    </w:p>
    <w:p>
      <w:pPr>
        <w:pStyle w:val="4"/>
        <w:widowControl/>
        <w:spacing w:before="0" w:beforeAutospacing="0" w:after="0" w:afterAutospacing="0" w:line="578" w:lineRule="exact"/>
        <w:ind w:firstLine="5760" w:firstLineChars="1800"/>
        <w:jc w:val="both"/>
        <w:rPr>
          <w:rFonts w:ascii="仿宋" w:hAnsi="仿宋" w:eastAsia="仿宋" w:cs="仿宋"/>
          <w:sz w:val="32"/>
          <w:szCs w:val="32"/>
        </w:rPr>
      </w:pPr>
      <w:r>
        <w:rPr>
          <w:rFonts w:hint="eastAsia" w:ascii="仿宋" w:hAnsi="仿宋" w:eastAsia="仿宋" w:cs="仿宋"/>
          <w:sz w:val="32"/>
          <w:szCs w:val="32"/>
        </w:rPr>
        <w:t>上庄镇人民政府</w:t>
      </w:r>
    </w:p>
    <w:p>
      <w:pPr>
        <w:pStyle w:val="4"/>
        <w:widowControl/>
        <w:spacing w:before="0" w:beforeAutospacing="0" w:after="0" w:afterAutospacing="0" w:line="578" w:lineRule="exact"/>
        <w:ind w:firstLine="5760" w:firstLineChars="1800"/>
        <w:jc w:val="both"/>
        <w:rPr>
          <w:rFonts w:hint="eastAsia" w:ascii="黑体" w:hAnsi="黑体" w:eastAsia="黑体" w:cs="黑体"/>
          <w:b/>
          <w:sz w:val="32"/>
          <w:szCs w:val="32"/>
        </w:rPr>
      </w:pPr>
      <w:r>
        <w:rPr>
          <w:rFonts w:hint="eastAsia" w:ascii="仿宋" w:hAnsi="仿宋" w:eastAsia="仿宋" w:cs="仿宋"/>
          <w:sz w:val="32"/>
          <w:szCs w:val="32"/>
        </w:rPr>
        <w:t>2</w:t>
      </w:r>
      <w:r>
        <w:rPr>
          <w:rFonts w:ascii="仿宋" w:hAnsi="仿宋" w:eastAsia="仿宋" w:cs="仿宋"/>
          <w:sz w:val="32"/>
          <w:szCs w:val="32"/>
        </w:rPr>
        <w:t>021</w:t>
      </w:r>
      <w:r>
        <w:rPr>
          <w:rFonts w:hint="eastAsia" w:ascii="仿宋" w:hAnsi="仿宋" w:eastAsia="仿宋" w:cs="仿宋"/>
          <w:sz w:val="32"/>
          <w:szCs w:val="32"/>
        </w:rPr>
        <w:t>年1月</w:t>
      </w:r>
      <w:r>
        <w:rPr>
          <w:rFonts w:hint="eastAsia" w:ascii="仿宋" w:hAnsi="仿宋" w:eastAsia="仿宋" w:cs="仿宋"/>
          <w:sz w:val="32"/>
          <w:szCs w:val="32"/>
          <w:lang w:val="en-US" w:eastAsia="zh-CN"/>
        </w:rPr>
        <w:t>31</w:t>
      </w:r>
      <w:r>
        <w:rPr>
          <w:rFonts w:hint="eastAsia" w:ascii="仿宋" w:hAnsi="仿宋" w:eastAsia="仿宋" w:cs="仿宋"/>
          <w:sz w:val="32"/>
          <w:szCs w:val="32"/>
        </w:rPr>
        <w:t>日</w:t>
      </w:r>
    </w:p>
    <w:sectPr>
      <w:footerReference r:id="rId3" w:type="default"/>
      <w:pgSz w:w="11906" w:h="16838"/>
      <w:pgMar w:top="2098" w:right="1474" w:bottom="1985" w:left="1588" w:header="851" w:footer="158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等线">
    <w:altName w:val="宋体"/>
    <w:panose1 w:val="02010600030101010101"/>
    <w:charset w:val="86"/>
    <w:family w:val="auto"/>
    <w:pitch w:val="default"/>
    <w:sig w:usb0="00000000" w:usb1="00000000" w:usb2="00000016" w:usb3="00000000" w:csb0="0004000F" w:csb1="00000000"/>
  </w:font>
  <w:font w:name="等线">
    <w:altName w:val="仿宋_GB2312"/>
    <w:panose1 w:val="00000000000000000000"/>
    <w:charset w:val="86"/>
    <w:family w:val="auto"/>
    <w:pitch w:val="default"/>
    <w:sig w:usb0="00000000" w:usb1="00000000" w:usb2="00000000" w:usb3="00000000" w:csb0="00000000" w:csb1="00000000"/>
  </w:font>
  <w:font w:name="等线">
    <w:altName w:val="仿宋_GB2312"/>
    <w:panose1 w:val="00000000000000000000"/>
    <w:charset w:val="00"/>
    <w:family w:val="auto"/>
    <w:pitch w:val="default"/>
    <w:sig w:usb0="00000000" w:usb1="00000000" w:usb2="00000000" w:usb3="00000000" w:csb0="00000000"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仿宋">
    <w:altName w:val="宋体"/>
    <w:panose1 w:val="02010609060101010101"/>
    <w:charset w:val="86"/>
    <w:family w:val="modern"/>
    <w:pitch w:val="default"/>
    <w:sig w:usb0="00000000" w:usb1="00000000"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oto Sans CJK JP Bold">
    <w:panose1 w:val="020B0800000000000000"/>
    <w:charset w:val="86"/>
    <w:family w:val="auto"/>
    <w:pitch w:val="default"/>
    <w:sig w:usb0="30000003" w:usb1="2BDF3C10" w:usb2="00000016" w:usb3="00000000" w:csb0="602E0107"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rPr>
        <w:rFonts w:hint="eastAsia" w:ascii="仿宋_GB2312" w:eastAsia="仿宋_GB2312"/>
        <w:sz w:val="28"/>
        <w:szCs w:val="28"/>
      </w:rPr>
    </w:pPr>
    <w:r>
      <w:rPr>
        <w:rFonts w:hint="eastAsia" w:ascii="仿宋_GB2312" w:eastAsia="仿宋_GB2312"/>
        <w:sz w:val="28"/>
        <w:szCs w:val="28"/>
      </w:rPr>
      <w:t xml:space="preserve">— </w:t>
    </w:r>
    <w:sdt>
      <w:sdtPr>
        <w:rPr>
          <w:rFonts w:hint="eastAsia" w:ascii="仿宋_GB2312" w:eastAsia="仿宋_GB2312"/>
          <w:sz w:val="28"/>
          <w:szCs w:val="28"/>
        </w:rPr>
        <w:id w:val="2108462990"/>
        <w:docPartObj>
          <w:docPartGallery w:val="autotext"/>
        </w:docPartObj>
      </w:sdtPr>
      <w:sdtEndPr>
        <w:rPr>
          <w:rFonts w:hint="eastAsia" w:ascii="仿宋_GB2312" w:eastAsia="仿宋_GB2312"/>
          <w:sz w:val="28"/>
          <w:szCs w:val="28"/>
        </w:rPr>
      </w:sdtEndPr>
      <w:sdtContent>
        <w:r>
          <w:rPr>
            <w:rFonts w:hint="eastAsia" w:ascii="仿宋_GB2312" w:eastAsia="仿宋_GB2312"/>
            <w:sz w:val="28"/>
            <w:szCs w:val="28"/>
          </w:rPr>
          <w:fldChar w:fldCharType="begin"/>
        </w:r>
        <w:r>
          <w:rPr>
            <w:rFonts w:hint="eastAsia" w:ascii="仿宋_GB2312" w:eastAsia="仿宋_GB2312"/>
            <w:sz w:val="28"/>
            <w:szCs w:val="28"/>
          </w:rPr>
          <w:instrText xml:space="preserve">PAGE   \* MERGEFORMAT</w:instrText>
        </w:r>
        <w:r>
          <w:rPr>
            <w:rFonts w:hint="eastAsia" w:ascii="仿宋_GB2312" w:eastAsia="仿宋_GB2312"/>
            <w:sz w:val="28"/>
            <w:szCs w:val="28"/>
          </w:rPr>
          <w:fldChar w:fldCharType="separate"/>
        </w:r>
        <w:r>
          <w:rPr>
            <w:rFonts w:hint="eastAsia" w:ascii="仿宋_GB2312" w:eastAsia="仿宋_GB2312"/>
            <w:sz w:val="28"/>
            <w:szCs w:val="28"/>
            <w:lang w:val="zh-CN"/>
          </w:rPr>
          <w:t>2</w:t>
        </w:r>
        <w:r>
          <w:rPr>
            <w:rFonts w:hint="eastAsia" w:ascii="仿宋_GB2312" w:eastAsia="仿宋_GB2312"/>
            <w:sz w:val="28"/>
            <w:szCs w:val="28"/>
          </w:rPr>
          <w:fldChar w:fldCharType="end"/>
        </w:r>
        <w:r>
          <w:rPr>
            <w:rFonts w:hint="eastAsia" w:ascii="仿宋_GB2312" w:eastAsia="仿宋_GB2312"/>
            <w:sz w:val="28"/>
            <w:szCs w:val="28"/>
          </w:rPr>
          <w:t xml:space="preserve"> —</w:t>
        </w: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4F5F"/>
    <w:rsid w:val="000574D2"/>
    <w:rsid w:val="001A2797"/>
    <w:rsid w:val="00516108"/>
    <w:rsid w:val="005F4090"/>
    <w:rsid w:val="00600D0A"/>
    <w:rsid w:val="00672426"/>
    <w:rsid w:val="00674FC4"/>
    <w:rsid w:val="007265F9"/>
    <w:rsid w:val="00821697"/>
    <w:rsid w:val="00836A85"/>
    <w:rsid w:val="008C2165"/>
    <w:rsid w:val="0094114C"/>
    <w:rsid w:val="00946AC3"/>
    <w:rsid w:val="00B04F5F"/>
    <w:rsid w:val="00F37E06"/>
    <w:rsid w:val="00F4312C"/>
    <w:rsid w:val="00FB62A0"/>
    <w:rsid w:val="6ED14146"/>
    <w:rsid w:val="FFDFFA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0"/>
    <w:pPr>
      <w:spacing w:before="100" w:beforeAutospacing="1" w:after="100" w:afterAutospacing="1"/>
      <w:jc w:val="left"/>
    </w:pPr>
    <w:rPr>
      <w:rFonts w:cs="Times New Roman"/>
      <w:kern w:val="0"/>
      <w:sz w:val="24"/>
    </w:rPr>
  </w:style>
  <w:style w:type="character" w:customStyle="1" w:styleId="7">
    <w:name w:val="页眉 字符"/>
    <w:basedOn w:val="6"/>
    <w:link w:val="3"/>
    <w:qFormat/>
    <w:uiPriority w:val="99"/>
    <w:rPr>
      <w:sz w:val="18"/>
      <w:szCs w:val="18"/>
    </w:rPr>
  </w:style>
  <w:style w:type="character" w:customStyle="1" w:styleId="8">
    <w:name w:val="页脚 字符"/>
    <w:basedOn w:val="6"/>
    <w:link w:val="2"/>
    <w:qFormat/>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370</Words>
  <Characters>2112</Characters>
  <Lines>17</Lines>
  <Paragraphs>4</Paragraphs>
  <TotalTime>119</TotalTime>
  <ScaleCrop>false</ScaleCrop>
  <LinksUpToDate>false</LinksUpToDate>
  <CharactersWithSpaces>2478</CharactersWithSpaces>
  <Application>WPS Office_11.8.2.10195_F1E327BC-269C-435d-A152-05C5408002CA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2021-01-10T09:18:00Z</dcterms:created>
  <dc:creator>H zeyi</dc:creator>
  <cp:lastModifiedBy>uos</cp:lastModifiedBy>
  <dcterms:modified xsi:type="dcterms:W3CDTF">2024-02-08T15:45:47Z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2052-11.8.2.10195</vt:lpwstr>
  </property>
</Properties>
</file>