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黑体" w:cs="黑体"/>
          <w:color w:val="auto"/>
          <w:sz w:val="32"/>
          <w:szCs w:val="32"/>
        </w:rPr>
      </w:pPr>
      <w:r>
        <w:rPr>
          <w:rFonts w:hint="eastAsia" w:ascii="宋体" w:hAnsi="宋体" w:eastAsia="黑体" w:cs="黑体"/>
          <w:color w:val="auto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计划研究制定的文件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黑体" w:cs="黑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1. 制定改革完善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全区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疾病预防控制体系的政策文件。(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卫健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局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负责，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 xml:space="preserve">政策文件出台后1个月内完成起草工作）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2. 制定推进公立医院高质量发展的政策文件。(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区卫健局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负责。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政策文件出台后1个月内完成起草工作）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3. 制定全面建立中国特色优质高效的医疗卫生服务体系政策文件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(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区卫健局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负责，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政策文件出台后1个月内完成起草工作）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4. 制定加快中医药特色发展的政策措施。（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区卫健局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负责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。市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政策文件出台后1个月内完成起草工作）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5. 制定加强卫生健康监督体系建设的政策措施。(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区卫健局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负责，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政策文件出台后1个月内完成起草工作）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6. 制定医疗卫生行业综合监管责任追究及督察机制的政策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</w:rPr>
        <w:t>文件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  <w:lang w:eastAsia="zh-CN"/>
        </w:rPr>
        <w:t>。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</w:rPr>
        <w:t>(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  <w:lang w:eastAsia="zh-CN"/>
        </w:rPr>
        <w:t>区卫健局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</w:rPr>
        <w:t>负责，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  <w:lang w:eastAsia="zh-CN"/>
        </w:rPr>
        <w:t>市</w:t>
      </w:r>
      <w:r>
        <w:rPr>
          <w:rFonts w:hint="eastAsia" w:ascii="宋体" w:hAnsi="宋体" w:eastAsia="仿宋_GB2312" w:cs="仿宋_GB2312"/>
          <w:color w:val="auto"/>
          <w:w w:val="95"/>
          <w:sz w:val="32"/>
          <w:szCs w:val="32"/>
        </w:rPr>
        <w:t>政策文件出台后1个月内完成起草工作）</w:t>
      </w:r>
    </w:p>
    <w:p>
      <w:r>
        <w:rPr>
          <w:rFonts w:hint="eastAsia" w:ascii="宋体" w:hAnsi="宋体" w:eastAsia="仿宋_GB2312" w:cs="仿宋_GB2312"/>
          <w:color w:val="auto"/>
          <w:sz w:val="32"/>
          <w:szCs w:val="32"/>
        </w:rPr>
        <w:t>以上任务只列牵头部门，不列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责任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部门。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92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2020-11-25T00:46:36Z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