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8D3" w:rsidRDefault="001234E9" w:rsidP="00A101B3">
      <w:pPr>
        <w:rPr>
          <w:rFonts w:ascii="黑体" w:eastAsia="黑体" w:hAnsi="Times New Roman" w:cs="Times New Roman"/>
          <w:sz w:val="48"/>
          <w:szCs w:val="48"/>
        </w:rPr>
      </w:pPr>
      <w:r w:rsidRPr="001234E9">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1412DA" w:rsidRDefault="001412DA">
                  <w:pPr>
                    <w:jc w:val="center"/>
                    <w:rPr>
                      <w:rFonts w:ascii="楷体_GB2312" w:eastAsia="楷体_GB2312" w:hAnsi="楷体_GB2312" w:cs="楷体_GB2312"/>
                      <w:color w:val="000000" w:themeColor="text1"/>
                      <w:kern w:val="0"/>
                      <w:sz w:val="44"/>
                      <w:szCs w:val="44"/>
                    </w:rPr>
                  </w:pPr>
                </w:p>
              </w:txbxContent>
            </v:textbox>
          </v:shape>
        </w:pict>
      </w:r>
      <w:r w:rsidRPr="001234E9">
        <w:pict>
          <v:rect id="矩形 14" o:spid="_x0000_s1050" style="position:absolute;left:0;text-align:left;margin-left:33.6pt;margin-top:256.75pt;width:160.65pt;height:69.6pt;z-index:25167872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1412DA" w:rsidRPr="00A101B3" w:rsidRDefault="001412DA" w:rsidP="00A101B3">
                  <w:pPr>
                    <w:rPr>
                      <w:szCs w:val="28"/>
                    </w:rPr>
                  </w:pPr>
                </w:p>
              </w:txbxContent>
            </v:textbox>
          </v:rect>
        </w:pict>
      </w:r>
      <w:r w:rsidRPr="001234E9">
        <w:pict>
          <v:group id="_x0000_s1046" style="position:absolute;left:0;text-align:left;margin-left:1.25pt;margin-top:821.7pt;width:595.25pt;height:21.45pt;z-index:251665408"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48"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47"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rsidRPr="001234E9">
        <w:pict>
          <v:rect id="矩形 11" o:spid="_x0000_s1042" style="position:absolute;left:0;text-align:left;margin-left:184.75pt;margin-top:286.6pt;width:339.65pt;height:31.25pt;z-index:251666432;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1412DA" w:rsidRDefault="001412DA"/>
              </w:txbxContent>
            </v:textbox>
          </v:rect>
        </w:pict>
      </w:r>
      <w:r w:rsidR="000A10F6">
        <w:rPr>
          <w:rFonts w:ascii="黑体" w:eastAsia="黑体" w:hAnsi="Times New Roman" w:cs="Times New Roman" w:hint="eastAsia"/>
          <w:sz w:val="48"/>
          <w:szCs w:val="48"/>
        </w:rPr>
        <w:tab/>
      </w:r>
    </w:p>
    <w:p w:rsidR="00D468D3" w:rsidRDefault="00D468D3">
      <w:pPr>
        <w:rPr>
          <w:rFonts w:ascii="黑体" w:eastAsia="黑体" w:hAnsi="黑体" w:cs="黑体"/>
          <w:sz w:val="56"/>
          <w:szCs w:val="72"/>
        </w:rPr>
      </w:pPr>
    </w:p>
    <w:p w:rsidR="00D468D3" w:rsidRDefault="000A10F6">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D468D3" w:rsidRDefault="00D468D3">
      <w:pPr>
        <w:spacing w:line="360" w:lineRule="auto"/>
        <w:jc w:val="center"/>
        <w:rPr>
          <w:rFonts w:ascii="黑体" w:eastAsia="黑体" w:hAnsi="黑体" w:cs="黑体"/>
          <w:sz w:val="56"/>
          <w:szCs w:val="72"/>
        </w:rPr>
      </w:pPr>
    </w:p>
    <w:p w:rsidR="00D468D3" w:rsidRDefault="00D468D3">
      <w:pPr>
        <w:spacing w:line="600" w:lineRule="auto"/>
        <w:jc w:val="center"/>
        <w:rPr>
          <w:rFonts w:ascii="黑体" w:eastAsia="黑体" w:hAnsi="黑体" w:cs="黑体"/>
          <w:sz w:val="56"/>
          <w:szCs w:val="72"/>
        </w:rPr>
      </w:pPr>
    </w:p>
    <w:p w:rsidR="00D468D3" w:rsidRDefault="00D468D3">
      <w:pPr>
        <w:spacing w:line="600" w:lineRule="auto"/>
        <w:jc w:val="center"/>
        <w:rPr>
          <w:rFonts w:ascii="黑体" w:eastAsia="黑体" w:hAnsi="黑体" w:cs="黑体"/>
          <w:sz w:val="56"/>
          <w:szCs w:val="72"/>
        </w:rPr>
      </w:pPr>
    </w:p>
    <w:p w:rsidR="00D468D3" w:rsidRDefault="00D468D3">
      <w:pPr>
        <w:spacing w:line="480" w:lineRule="auto"/>
        <w:jc w:val="center"/>
        <w:rPr>
          <w:rFonts w:ascii="黑体" w:eastAsia="黑体" w:hAnsi="黑体" w:cs="黑体"/>
          <w:sz w:val="56"/>
          <w:szCs w:val="72"/>
        </w:rPr>
      </w:pPr>
    </w:p>
    <w:p w:rsidR="00D468D3" w:rsidRDefault="00D468D3">
      <w:pPr>
        <w:spacing w:line="480" w:lineRule="auto"/>
        <w:jc w:val="center"/>
        <w:rPr>
          <w:rFonts w:ascii="黑体" w:eastAsia="黑体" w:hAnsi="黑体" w:cs="黑体"/>
          <w:sz w:val="56"/>
          <w:szCs w:val="72"/>
        </w:rPr>
      </w:pPr>
    </w:p>
    <w:p w:rsidR="00D468D3" w:rsidRDefault="00D468D3">
      <w:pPr>
        <w:spacing w:line="480" w:lineRule="auto"/>
        <w:jc w:val="center"/>
        <w:rPr>
          <w:rFonts w:ascii="黑体" w:eastAsia="黑体" w:hAnsi="黑体" w:cs="黑体"/>
          <w:sz w:val="56"/>
          <w:szCs w:val="72"/>
        </w:rPr>
      </w:pPr>
    </w:p>
    <w:p w:rsidR="00D468D3" w:rsidRDefault="00D468D3">
      <w:pPr>
        <w:snapToGrid w:val="0"/>
        <w:spacing w:line="480" w:lineRule="auto"/>
        <w:jc w:val="center"/>
        <w:rPr>
          <w:rFonts w:ascii="黑体" w:eastAsia="黑体" w:hAnsi="黑体" w:cs="黑体"/>
          <w:sz w:val="56"/>
          <w:szCs w:val="72"/>
        </w:rPr>
      </w:pPr>
    </w:p>
    <w:p w:rsidR="004106EA" w:rsidRDefault="004106EA">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石家庄市鹿泉区农业区划发展中心</w:t>
      </w:r>
    </w:p>
    <w:p w:rsidR="00D468D3" w:rsidRDefault="000A10F6">
      <w:pPr>
        <w:snapToGrid w:val="0"/>
        <w:jc w:val="center"/>
        <w:rPr>
          <w:rFonts w:ascii="楷体_GB2312" w:eastAsia="楷体_GB2312" w:hAnsi="楷体_GB2312" w:cs="楷体_GB2312"/>
          <w:color w:val="000000" w:themeColor="text1"/>
          <w:kern w:val="0"/>
          <w:sz w:val="44"/>
          <w:szCs w:val="44"/>
        </w:rPr>
        <w:sectPr w:rsidR="00D468D3">
          <w:headerReference w:type="even" r:id="rId9"/>
          <w:headerReference w:type="default" r:id="rId10"/>
          <w:footerReference w:type="even" r:id="rId11"/>
          <w:footerReference w:type="default" r:id="rId12"/>
          <w:headerReference w:type="first" r:id="rId13"/>
          <w:footerReference w:type="first" r:id="rId14"/>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w:t>
      </w:r>
      <w:r w:rsidR="00032179">
        <w:rPr>
          <w:rFonts w:ascii="楷体_GB2312" w:eastAsia="楷体_GB2312" w:hAnsi="楷体_GB2312" w:cs="楷体_GB2312" w:hint="eastAsia"/>
          <w:color w:val="000000" w:themeColor="text1"/>
          <w:kern w:val="0"/>
          <w:sz w:val="44"/>
          <w:szCs w:val="44"/>
        </w:rPr>
        <w:t>十</w:t>
      </w:r>
      <w:r>
        <w:rPr>
          <w:rFonts w:ascii="楷体_GB2312" w:eastAsia="楷体_GB2312" w:hAnsi="楷体_GB2312" w:cs="楷体_GB2312" w:hint="eastAsia"/>
          <w:color w:val="000000" w:themeColor="text1"/>
          <w:kern w:val="0"/>
          <w:sz w:val="44"/>
          <w:szCs w:val="44"/>
        </w:rPr>
        <w:t>月</w:t>
      </w:r>
    </w:p>
    <w:p w:rsidR="00D468D3" w:rsidRDefault="00D468D3">
      <w:pPr>
        <w:widowControl/>
        <w:spacing w:line="600" w:lineRule="exact"/>
        <w:jc w:val="left"/>
        <w:rPr>
          <w:rFonts w:ascii="黑体" w:eastAsia="黑体" w:hAnsi="黑体" w:cs="黑体"/>
          <w:bCs/>
          <w:sz w:val="32"/>
          <w:szCs w:val="32"/>
          <w:highlight w:val="yellow"/>
        </w:rPr>
      </w:pPr>
    </w:p>
    <w:p w:rsidR="00A101B3" w:rsidRDefault="00A101B3">
      <w:pPr>
        <w:widowControl/>
        <w:spacing w:line="600" w:lineRule="exact"/>
        <w:jc w:val="left"/>
        <w:rPr>
          <w:rFonts w:ascii="黑体" w:eastAsia="黑体" w:hAnsi="黑体" w:cs="黑体"/>
          <w:bCs/>
          <w:sz w:val="32"/>
          <w:szCs w:val="32"/>
          <w:highlight w:val="yellow"/>
        </w:rPr>
      </w:pPr>
    </w:p>
    <w:p w:rsidR="00A101B3" w:rsidRDefault="00A101B3">
      <w:pPr>
        <w:widowControl/>
        <w:spacing w:line="600" w:lineRule="exact"/>
        <w:jc w:val="left"/>
        <w:rPr>
          <w:rFonts w:ascii="黑体" w:eastAsia="黑体" w:hAnsi="黑体" w:cs="黑体"/>
          <w:bCs/>
          <w:sz w:val="32"/>
          <w:szCs w:val="32"/>
          <w:highlight w:val="yellow"/>
        </w:rPr>
      </w:pPr>
    </w:p>
    <w:p w:rsidR="00D468D3" w:rsidRDefault="000A10F6">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    录</w:t>
      </w:r>
    </w:p>
    <w:p w:rsidR="00D468D3" w:rsidRDefault="00D468D3">
      <w:pPr>
        <w:widowControl/>
        <w:spacing w:after="160" w:line="580" w:lineRule="exact"/>
        <w:ind w:firstLineChars="200" w:firstLine="640"/>
        <w:rPr>
          <w:rFonts w:ascii="Times New Roman" w:eastAsia="黑体" w:hAnsi="Times New Roman" w:cs="Times New Roman"/>
          <w:sz w:val="32"/>
          <w:szCs w:val="32"/>
        </w:rPr>
      </w:pPr>
    </w:p>
    <w:p w:rsidR="00D468D3" w:rsidRDefault="000A10F6">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D468D3" w:rsidRDefault="000A10F6" w:rsidP="004106EA">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D468D3" w:rsidRDefault="000A10F6" w:rsidP="004106EA">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D468D3" w:rsidRDefault="000A10F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D468D3" w:rsidRDefault="000A10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D468D3" w:rsidRDefault="000A10F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D468D3" w:rsidRDefault="000A10F6">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D468D3" w:rsidRDefault="00D468D3">
      <w:pPr>
        <w:widowControl/>
        <w:spacing w:after="160" w:line="580" w:lineRule="exact"/>
        <w:ind w:firstLineChars="200" w:firstLine="640"/>
        <w:rPr>
          <w:rFonts w:ascii="Times New Roman" w:eastAsia="黑体" w:hAnsi="Times New Roman" w:cs="Times New Roman"/>
          <w:sz w:val="32"/>
          <w:szCs w:val="32"/>
        </w:rPr>
      </w:pPr>
    </w:p>
    <w:p w:rsidR="00D468D3" w:rsidRDefault="00D468D3">
      <w:pPr>
        <w:widowControl/>
        <w:spacing w:after="160" w:line="580" w:lineRule="exact"/>
        <w:ind w:firstLineChars="200" w:firstLine="640"/>
        <w:rPr>
          <w:rFonts w:ascii="Times New Roman" w:eastAsia="黑体" w:hAnsi="Times New Roman" w:cs="Times New Roman"/>
          <w:sz w:val="32"/>
          <w:szCs w:val="32"/>
        </w:rPr>
        <w:sectPr w:rsidR="00D468D3">
          <w:headerReference w:type="default" r:id="rId15"/>
          <w:footerReference w:type="default" r:id="rId16"/>
          <w:headerReference w:type="first" r:id="rId17"/>
          <w:footerReference w:type="first" r:id="rId18"/>
          <w:type w:val="continuous"/>
          <w:pgSz w:w="11906" w:h="16838"/>
          <w:pgMar w:top="2041" w:right="1531" w:bottom="2041" w:left="1531" w:header="851" w:footer="992" w:gutter="0"/>
          <w:cols w:space="0"/>
          <w:titlePg/>
          <w:docGrid w:type="lines" w:linePitch="312"/>
        </w:sectPr>
      </w:pPr>
    </w:p>
    <w:p w:rsidR="00D468D3" w:rsidRDefault="00D468D3">
      <w:pPr>
        <w:widowControl/>
        <w:spacing w:line="580" w:lineRule="exact"/>
        <w:ind w:firstLineChars="200" w:firstLine="640"/>
        <w:rPr>
          <w:rFonts w:eastAsia="黑体"/>
          <w:sz w:val="32"/>
          <w:szCs w:val="32"/>
        </w:rPr>
      </w:pPr>
    </w:p>
    <w:p w:rsidR="00D468D3" w:rsidRDefault="00D468D3">
      <w:pPr>
        <w:widowControl/>
        <w:spacing w:line="580" w:lineRule="exact"/>
        <w:ind w:firstLineChars="200" w:firstLine="640"/>
        <w:rPr>
          <w:rFonts w:eastAsia="黑体"/>
          <w:sz w:val="32"/>
          <w:szCs w:val="32"/>
        </w:rPr>
      </w:pPr>
    </w:p>
    <w:p w:rsidR="00D468D3" w:rsidRDefault="00D468D3">
      <w:pPr>
        <w:widowControl/>
        <w:spacing w:line="580" w:lineRule="exact"/>
        <w:ind w:firstLineChars="200" w:firstLine="640"/>
        <w:rPr>
          <w:rFonts w:eastAsia="黑体"/>
          <w:sz w:val="32"/>
          <w:szCs w:val="32"/>
        </w:rPr>
      </w:pPr>
    </w:p>
    <w:p w:rsidR="00D468D3" w:rsidRDefault="001234E9">
      <w:r w:rsidRPr="001234E9">
        <w:rPr>
          <w:sz w:val="72"/>
        </w:rPr>
        <w:pict>
          <v:shape id="_x0000_s1041" type="#_x0000_t202" style="position:absolute;left:0;text-align:left;margin-left:-85.7pt;margin-top:80.7pt;width:613.65pt;height:263.1pt;z-index:251754496;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fillcolor="#ffd966" strokecolor="#ffd966" strokeweight="1pt">
            <v:fill r:id="rId19" o:title="image2" type="pattern"/>
            <v:stroke joinstyle="round"/>
            <v:textbox>
              <w:txbxContent>
                <w:p w:rsidR="001412DA" w:rsidRDefault="001412DA">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0A10F6">
        <w:br w:type="page"/>
      </w:r>
    </w:p>
    <w:p w:rsidR="00D468D3" w:rsidRDefault="000A10F6">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4106EA" w:rsidRPr="00610154" w:rsidRDefault="004106EA" w:rsidP="004106EA">
      <w:pPr>
        <w:pStyle w:val="a7"/>
        <w:ind w:left="630" w:firstLineChars="0" w:firstLine="0"/>
        <w:rPr>
          <w:rFonts w:ascii="仿宋" w:eastAsia="仿宋" w:hAnsi="仿宋"/>
          <w:sz w:val="32"/>
          <w:szCs w:val="32"/>
        </w:rPr>
      </w:pPr>
      <w:r w:rsidRPr="00610154">
        <w:rPr>
          <w:rFonts w:ascii="仿宋" w:eastAsia="仿宋" w:hAnsi="仿宋" w:hint="eastAsia"/>
          <w:color w:val="000000"/>
          <w:sz w:val="32"/>
          <w:szCs w:val="32"/>
        </w:rPr>
        <w:t>1、区划办部门职责，开展农业资源区划调查研究。部门职责要点，建立农业资源监测制度；负责农业资源可持续发展和高效利用实验示范工作。部门职责绩效目标，掌握我区农业资源现状及动态变化。区划办工作活动，开展农业资源区划调查研究。工作活动要点，建立农业资源监测制度；负责农业资源可持续发展和高效利用实验示范工作。工作活动绩效目标，掌握我区农业资源现状及动态变化。工作活动绩效指标，开展农业农村专题研究并形成报告。</w:t>
      </w:r>
    </w:p>
    <w:p w:rsidR="004106EA" w:rsidRPr="00610154" w:rsidRDefault="004106EA" w:rsidP="004106EA">
      <w:pPr>
        <w:pStyle w:val="a7"/>
        <w:ind w:left="630" w:firstLineChars="0" w:firstLine="0"/>
        <w:rPr>
          <w:rFonts w:ascii="仿宋" w:eastAsia="仿宋" w:hAnsi="仿宋"/>
          <w:sz w:val="32"/>
          <w:szCs w:val="32"/>
        </w:rPr>
      </w:pPr>
      <w:r w:rsidRPr="00610154">
        <w:rPr>
          <w:rFonts w:ascii="仿宋" w:eastAsia="仿宋" w:hAnsi="仿宋" w:hint="eastAsia"/>
          <w:color w:val="000000"/>
          <w:sz w:val="32"/>
          <w:szCs w:val="32"/>
        </w:rPr>
        <w:t>2、承办区政府交办的其它事项</w:t>
      </w:r>
      <w:r w:rsidRPr="00610154">
        <w:rPr>
          <w:rFonts w:ascii="仿宋" w:eastAsia="仿宋" w:hAnsi="仿宋" w:hint="eastAsia"/>
          <w:sz w:val="32"/>
          <w:szCs w:val="32"/>
        </w:rPr>
        <w:t>。</w:t>
      </w:r>
    </w:p>
    <w:p w:rsidR="00D468D3" w:rsidRDefault="000A10F6">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D468D3" w:rsidRDefault="000A10F6">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 xml:space="preserve">从决算编报单位构成看，纳入2019 年度本部门决算汇编范围的独立核算单位（以下简称“单位”）共 </w:t>
      </w:r>
      <w:r w:rsidR="00A101B3">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 xml:space="preserve"> 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D468D3">
        <w:trPr>
          <w:trHeight w:val="811"/>
          <w:jc w:val="center"/>
        </w:trPr>
        <w:tc>
          <w:tcPr>
            <w:tcW w:w="985" w:type="dxa"/>
            <w:vAlign w:val="center"/>
          </w:tcPr>
          <w:p w:rsidR="00D468D3" w:rsidRDefault="000A10F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D468D3" w:rsidRDefault="000A10F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D468D3" w:rsidRDefault="000A10F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D468D3" w:rsidRDefault="000A10F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8B0935">
        <w:trPr>
          <w:trHeight w:val="596"/>
          <w:jc w:val="center"/>
        </w:trPr>
        <w:tc>
          <w:tcPr>
            <w:tcW w:w="985" w:type="dxa"/>
          </w:tcPr>
          <w:p w:rsidR="008B0935" w:rsidRDefault="008B0935" w:rsidP="008B0935">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8B0935" w:rsidRPr="00D719C2" w:rsidRDefault="008B0935" w:rsidP="008B0935">
            <w:pPr>
              <w:spacing w:line="560" w:lineRule="exact"/>
              <w:rPr>
                <w:rFonts w:ascii="宋体" w:eastAsia="宋体" w:hAnsi="宋体" w:cs="Times New Roman"/>
                <w:color w:val="000000"/>
                <w:sz w:val="28"/>
                <w:szCs w:val="28"/>
              </w:rPr>
            </w:pPr>
            <w:r w:rsidRPr="00D719C2">
              <w:rPr>
                <w:rFonts w:ascii="宋体" w:eastAsia="宋体" w:hAnsi="宋体" w:cs="Times New Roman" w:hint="eastAsia"/>
                <w:color w:val="000000"/>
                <w:sz w:val="28"/>
                <w:szCs w:val="28"/>
              </w:rPr>
              <w:t>石家庄市鹿泉区农业区划</w:t>
            </w:r>
            <w:r>
              <w:rPr>
                <w:rFonts w:ascii="宋体" w:eastAsia="宋体" w:hAnsi="宋体" w:cs="Times New Roman" w:hint="eastAsia"/>
                <w:color w:val="000000"/>
                <w:sz w:val="28"/>
                <w:szCs w:val="28"/>
              </w:rPr>
              <w:t>发展中心</w:t>
            </w:r>
          </w:p>
        </w:tc>
        <w:tc>
          <w:tcPr>
            <w:tcW w:w="2445" w:type="dxa"/>
          </w:tcPr>
          <w:p w:rsidR="008B0935" w:rsidRPr="00D719C2" w:rsidRDefault="008B0935" w:rsidP="008B0935">
            <w:pPr>
              <w:spacing w:line="560" w:lineRule="exact"/>
              <w:jc w:val="center"/>
              <w:rPr>
                <w:rFonts w:ascii="宋体" w:eastAsia="宋体" w:hAnsi="宋体" w:cs="Times New Roman"/>
                <w:color w:val="000000"/>
                <w:sz w:val="28"/>
                <w:szCs w:val="28"/>
              </w:rPr>
            </w:pPr>
            <w:r w:rsidRPr="00D719C2">
              <w:rPr>
                <w:rFonts w:ascii="宋体" w:eastAsia="宋体" w:hAnsi="宋体" w:cs="Times New Roman" w:hint="eastAsia"/>
                <w:color w:val="000000"/>
                <w:sz w:val="28"/>
                <w:szCs w:val="28"/>
              </w:rPr>
              <w:t>财政补助事业单位</w:t>
            </w:r>
          </w:p>
        </w:tc>
        <w:tc>
          <w:tcPr>
            <w:tcW w:w="2665" w:type="dxa"/>
          </w:tcPr>
          <w:p w:rsidR="008B0935" w:rsidRPr="00D719C2" w:rsidRDefault="008B0935" w:rsidP="008B0935">
            <w:pPr>
              <w:spacing w:line="560" w:lineRule="exact"/>
              <w:jc w:val="left"/>
              <w:rPr>
                <w:rFonts w:ascii="宋体" w:eastAsia="宋体" w:hAnsi="宋体" w:cs="Times New Roman"/>
                <w:color w:val="000000"/>
                <w:sz w:val="28"/>
                <w:szCs w:val="28"/>
              </w:rPr>
            </w:pPr>
            <w:r w:rsidRPr="00D719C2">
              <w:rPr>
                <w:rFonts w:ascii="宋体" w:eastAsia="宋体" w:hAnsi="宋体" w:cs="Times New Roman" w:hint="eastAsia"/>
                <w:color w:val="000000"/>
                <w:sz w:val="28"/>
                <w:szCs w:val="28"/>
              </w:rPr>
              <w:t>财政性资金基本保证</w:t>
            </w:r>
          </w:p>
        </w:tc>
      </w:tr>
      <w:tr w:rsidR="008B0935">
        <w:trPr>
          <w:trHeight w:val="606"/>
          <w:jc w:val="center"/>
        </w:trPr>
        <w:tc>
          <w:tcPr>
            <w:tcW w:w="9580" w:type="dxa"/>
            <w:gridSpan w:val="4"/>
            <w:tcBorders>
              <w:top w:val="single" w:sz="4" w:space="0" w:color="auto"/>
              <w:left w:val="nil"/>
              <w:bottom w:val="nil"/>
              <w:right w:val="nil"/>
            </w:tcBorders>
          </w:tcPr>
          <w:p w:rsidR="008B0935" w:rsidRDefault="008B0935" w:rsidP="008B0935">
            <w:pPr>
              <w:spacing w:line="560" w:lineRule="exact"/>
              <w:ind w:firstLineChars="200" w:firstLine="560"/>
              <w:jc w:val="left"/>
              <w:rPr>
                <w:rFonts w:ascii="仿宋_GB2312" w:eastAsia="仿宋_GB2312" w:hAnsi="Calibri" w:cs="ArialUnicodeMS"/>
                <w:kern w:val="0"/>
                <w:sz w:val="28"/>
                <w:szCs w:val="28"/>
              </w:rPr>
            </w:pPr>
          </w:p>
        </w:tc>
      </w:tr>
    </w:tbl>
    <w:p w:rsidR="00D468D3" w:rsidRDefault="00D468D3">
      <w:pPr>
        <w:widowControl/>
        <w:spacing w:after="160" w:line="580" w:lineRule="exact"/>
        <w:ind w:firstLineChars="200" w:firstLine="640"/>
        <w:rPr>
          <w:rFonts w:ascii="Times New Roman" w:eastAsia="黑体" w:hAnsi="Times New Roman" w:cs="Times New Roman"/>
          <w:sz w:val="32"/>
          <w:szCs w:val="32"/>
        </w:rPr>
      </w:pPr>
    </w:p>
    <w:p w:rsidR="00D468D3" w:rsidRDefault="00D468D3">
      <w:pPr>
        <w:widowControl/>
        <w:spacing w:after="160" w:line="580" w:lineRule="exact"/>
        <w:ind w:firstLineChars="200" w:firstLine="640"/>
        <w:rPr>
          <w:rFonts w:ascii="Times New Roman" w:eastAsia="黑体" w:hAnsi="Times New Roman" w:cs="Times New Roman"/>
          <w:sz w:val="32"/>
          <w:szCs w:val="32"/>
        </w:rPr>
      </w:pPr>
    </w:p>
    <w:p w:rsidR="00D468D3" w:rsidRDefault="00D468D3">
      <w:pPr>
        <w:widowControl/>
        <w:spacing w:after="160" w:line="580" w:lineRule="exact"/>
        <w:ind w:firstLineChars="200" w:firstLine="640"/>
        <w:rPr>
          <w:rFonts w:ascii="Times New Roman" w:eastAsia="黑体" w:hAnsi="Times New Roman" w:cs="Times New Roman"/>
          <w:sz w:val="32"/>
          <w:szCs w:val="32"/>
        </w:rPr>
        <w:sectPr w:rsidR="00D468D3">
          <w:headerReference w:type="default" r:id="rId20"/>
          <w:footerReference w:type="default" r:id="rId21"/>
          <w:footerReference w:type="first" r:id="rId22"/>
          <w:pgSz w:w="11906" w:h="16838"/>
          <w:pgMar w:top="2041" w:right="1531" w:bottom="2041" w:left="1531" w:header="851" w:footer="992" w:gutter="0"/>
          <w:pgNumType w:fmt="numberInDash" w:start="1"/>
          <w:cols w:space="0"/>
          <w:titlePg/>
          <w:docGrid w:type="lines" w:linePitch="312"/>
        </w:sectPr>
      </w:pPr>
    </w:p>
    <w:p w:rsidR="00D468D3" w:rsidRDefault="001234E9">
      <w:pPr>
        <w:widowControl/>
        <w:spacing w:after="160" w:line="580" w:lineRule="exact"/>
        <w:ind w:firstLineChars="200" w:firstLine="1440"/>
        <w:rPr>
          <w:rFonts w:ascii="Times New Roman" w:eastAsia="黑体" w:hAnsi="Times New Roman" w:cs="Times New Roman"/>
          <w:sz w:val="32"/>
          <w:szCs w:val="32"/>
        </w:rPr>
        <w:sectPr w:rsidR="00D468D3">
          <w:headerReference w:type="default" r:id="rId23"/>
          <w:pgSz w:w="11906" w:h="16838"/>
          <w:pgMar w:top="2041" w:right="1531" w:bottom="2041" w:left="1531" w:header="851" w:footer="992" w:gutter="0"/>
          <w:pgNumType w:fmt="numberInDash"/>
          <w:cols w:space="0"/>
          <w:titlePg/>
          <w:docGrid w:type="lines" w:linePitch="312"/>
        </w:sectPr>
      </w:pPr>
      <w:r w:rsidRPr="001234E9">
        <w:rPr>
          <w:sz w:val="72"/>
        </w:rPr>
        <w:lastRenderedPageBreak/>
        <w:pict>
          <v:shape id="_x0000_s1040" type="#_x0000_t202" style="position:absolute;left:0;text-align:left;margin-left:-85.7pt;margin-top:238.15pt;width:613.65pt;height:173.25pt;z-index:2518528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1412DA" w:rsidRDefault="001412DA">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1412DA" w:rsidRDefault="001412DA">
                  <w:pPr>
                    <w:widowControl/>
                    <w:jc w:val="center"/>
                    <w:rPr>
                      <w:rFonts w:ascii="黑体" w:eastAsia="黑体" w:hAnsi="黑体" w:cs="黑体"/>
                      <w:color w:val="000000" w:themeColor="text1"/>
                      <w:sz w:val="96"/>
                      <w:szCs w:val="96"/>
                    </w:rPr>
                  </w:pPr>
                </w:p>
              </w:txbxContent>
            </v:textbox>
          </v:shape>
        </w:pict>
      </w:r>
    </w:p>
    <w:p w:rsidR="00D468D3" w:rsidRDefault="00D468D3">
      <w:pPr>
        <w:widowControl/>
        <w:spacing w:line="580" w:lineRule="exact"/>
        <w:ind w:firstLineChars="200" w:firstLine="640"/>
        <w:rPr>
          <w:rFonts w:eastAsia="黑体"/>
          <w:sz w:val="32"/>
          <w:szCs w:val="3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1234E9">
      <w:pPr>
        <w:jc w:val="center"/>
        <w:rPr>
          <w:rFonts w:ascii="黑体" w:eastAsia="黑体" w:hAnsi="黑体" w:cs="黑体"/>
          <w:sz w:val="56"/>
          <w:szCs w:val="72"/>
        </w:rPr>
      </w:pPr>
      <w:r w:rsidRPr="001234E9">
        <w:rPr>
          <w:sz w:val="72"/>
        </w:rPr>
        <w:pict>
          <v:shape id="_x0000_s1039" type="#_x0000_t202" style="position:absolute;left:0;text-align:left;margin-left:-90.8pt;margin-top:4.35pt;width:613.65pt;height:263.1pt;z-index:437279744;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fillcolor="#ffd966" strokecolor="#ffd966" strokeweight=".5pt">
            <v:fill r:id="rId19" o:title="image2" type="pattern"/>
            <v:stroke joinstyle="round"/>
            <v:textbox>
              <w:txbxContent>
                <w:p w:rsidR="001412DA" w:rsidRDefault="001412DA">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1412DA" w:rsidRDefault="001412DA">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1412DA" w:rsidRDefault="001412DA"/>
              </w:txbxContent>
            </v:textbox>
          </v:shape>
        </w:pict>
      </w: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0A10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w:t>
      </w:r>
      <w:r w:rsidR="008B0935">
        <w:rPr>
          <w:rFonts w:ascii="仿宋_GB2312" w:eastAsia="仿宋_GB2312" w:hAnsi="Times New Roman" w:cs="DengXian-Regular" w:hint="eastAsia"/>
          <w:sz w:val="32"/>
          <w:szCs w:val="32"/>
        </w:rPr>
        <w:t>86.03</w:t>
      </w:r>
      <w:r>
        <w:rPr>
          <w:rFonts w:ascii="仿宋_GB2312" w:eastAsia="仿宋_GB2312" w:hAnsi="Times New Roman" w:cs="DengXian-Regular" w:hint="eastAsia"/>
          <w:sz w:val="32"/>
          <w:szCs w:val="32"/>
        </w:rPr>
        <w:t>万元。与2018年度决算相比，收支各减少</w:t>
      </w:r>
      <w:r w:rsidR="008B0935">
        <w:rPr>
          <w:rFonts w:ascii="仿宋_GB2312" w:eastAsia="仿宋_GB2312" w:hAnsi="Times New Roman" w:cs="DengXian-Regular" w:hint="eastAsia"/>
          <w:sz w:val="32"/>
          <w:szCs w:val="32"/>
        </w:rPr>
        <w:t>1.47</w:t>
      </w:r>
      <w:r>
        <w:rPr>
          <w:rFonts w:ascii="仿宋_GB2312" w:eastAsia="仿宋_GB2312" w:hAnsi="Times New Roman" w:cs="DengXian-Regular" w:hint="eastAsia"/>
          <w:sz w:val="32"/>
          <w:szCs w:val="32"/>
        </w:rPr>
        <w:t>万元，下降</w:t>
      </w:r>
      <w:r w:rsidR="008B0935">
        <w:rPr>
          <w:rFonts w:ascii="仿宋_GB2312" w:eastAsia="仿宋_GB2312" w:hAnsi="Times New Roman" w:cs="DengXian-Regular" w:hint="eastAsia"/>
          <w:sz w:val="32"/>
          <w:szCs w:val="32"/>
        </w:rPr>
        <w:t>1.68</w:t>
      </w:r>
      <w:r>
        <w:rPr>
          <w:rFonts w:ascii="仿宋_GB2312" w:eastAsia="仿宋_GB2312" w:hAnsi="Times New Roman" w:cs="DengXian-Regular" w:hint="eastAsia"/>
          <w:sz w:val="32"/>
          <w:szCs w:val="32"/>
        </w:rPr>
        <w:t>%，主要原因是</w:t>
      </w:r>
      <w:r w:rsidR="008B0935">
        <w:rPr>
          <w:rFonts w:ascii="仿宋_GB2312" w:eastAsia="仿宋_GB2312" w:hAnsi="Times New Roman" w:cs="DengXian-Regular" w:hint="eastAsia"/>
          <w:sz w:val="32"/>
          <w:szCs w:val="32"/>
        </w:rPr>
        <w:t>公用经费减少</w:t>
      </w:r>
      <w:r>
        <w:rPr>
          <w:rFonts w:ascii="仿宋_GB2312" w:eastAsia="仿宋_GB2312" w:hAnsi="Times New Roman" w:cs="DengXian-Regular" w:hint="eastAsia"/>
          <w:sz w:val="32"/>
          <w:szCs w:val="32"/>
        </w:rPr>
        <w:t>。</w:t>
      </w:r>
    </w:p>
    <w:p w:rsidR="00D468D3" w:rsidRDefault="000A10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D468D3" w:rsidRDefault="000A10F6" w:rsidP="008B0935">
      <w:pPr>
        <w:adjustRightInd w:val="0"/>
        <w:snapToGrid w:val="0"/>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w:t>
      </w:r>
      <w:r w:rsidR="008B0935">
        <w:rPr>
          <w:rFonts w:ascii="仿宋_GB2312" w:eastAsia="仿宋_GB2312" w:hAnsi="Times New Roman" w:cs="DengXian-Regular" w:hint="eastAsia"/>
          <w:sz w:val="32"/>
          <w:szCs w:val="32"/>
        </w:rPr>
        <w:t>84.14</w:t>
      </w:r>
      <w:r>
        <w:rPr>
          <w:rFonts w:ascii="仿宋_GB2312" w:eastAsia="仿宋_GB2312" w:hAnsi="Times New Roman" w:cs="DengXian-Regular" w:hint="eastAsia"/>
          <w:sz w:val="32"/>
          <w:szCs w:val="32"/>
        </w:rPr>
        <w:t>万元，其中：财政拨款收入</w:t>
      </w:r>
      <w:r w:rsidR="008B0935">
        <w:rPr>
          <w:rFonts w:ascii="仿宋_GB2312" w:eastAsia="仿宋_GB2312" w:hAnsi="Times New Roman" w:cs="DengXian-Regular" w:hint="eastAsia"/>
          <w:sz w:val="32"/>
          <w:szCs w:val="32"/>
        </w:rPr>
        <w:t>84.14</w:t>
      </w:r>
      <w:r>
        <w:rPr>
          <w:rFonts w:ascii="仿宋_GB2312" w:eastAsia="仿宋_GB2312" w:hAnsi="Times New Roman" w:cs="DengXian-Regular" w:hint="eastAsia"/>
          <w:sz w:val="32"/>
          <w:szCs w:val="32"/>
        </w:rPr>
        <w:t>万元，占</w:t>
      </w:r>
      <w:r w:rsidR="008B0935">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%；事业收入</w:t>
      </w:r>
      <w:r w:rsidR="008B093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8B093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sidR="008B093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8B093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sidR="008B093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8B0935">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r w:rsidRPr="008B0935">
        <w:rPr>
          <w:rFonts w:ascii="仿宋_GB2312" w:eastAsia="仿宋_GB2312" w:hAnsi="Times New Roman" w:cs="DengXian-Regular" w:hint="eastAsia"/>
          <w:sz w:val="32"/>
          <w:szCs w:val="32"/>
        </w:rPr>
        <w:t>：</w:t>
      </w:r>
    </w:p>
    <w:p w:rsidR="00D468D3" w:rsidRDefault="00D468D3" w:rsidP="008B0935">
      <w:pPr>
        <w:adjustRightInd w:val="0"/>
        <w:snapToGrid w:val="0"/>
        <w:ind w:firstLineChars="600" w:firstLine="1920"/>
        <w:rPr>
          <w:rFonts w:ascii="仿宋_GB2312" w:eastAsia="仿宋_GB2312" w:hAnsi="Times New Roman" w:cs="DengXian-Regular"/>
          <w:sz w:val="32"/>
          <w:szCs w:val="32"/>
        </w:rPr>
      </w:pPr>
    </w:p>
    <w:p w:rsidR="00D468D3" w:rsidRDefault="00D468D3" w:rsidP="008B0935">
      <w:pPr>
        <w:adjustRightInd w:val="0"/>
        <w:snapToGrid w:val="0"/>
        <w:ind w:firstLineChars="600" w:firstLine="1920"/>
        <w:rPr>
          <w:rFonts w:ascii="仿宋_GB2312" w:eastAsia="仿宋_GB2312" w:hAnsi="Times New Roman" w:cs="DengXian-Regular"/>
          <w:sz w:val="32"/>
          <w:szCs w:val="32"/>
        </w:rPr>
      </w:pPr>
    </w:p>
    <w:p w:rsidR="00D468D3" w:rsidRDefault="008B0935" w:rsidP="008B0935">
      <w:pPr>
        <w:adjustRightInd w:val="0"/>
        <w:snapToGrid w:val="0"/>
        <w:ind w:firstLineChars="600" w:firstLine="192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anchor distT="0" distB="0" distL="114300" distR="114300" simplePos="0" relativeHeight="437284864" behindDoc="0" locked="0" layoutInCell="1" allowOverlap="1">
            <wp:simplePos x="0" y="0"/>
            <wp:positionH relativeFrom="column">
              <wp:posOffset>1270</wp:posOffset>
            </wp:positionH>
            <wp:positionV relativeFrom="paragraph">
              <wp:posOffset>233045</wp:posOffset>
            </wp:positionV>
            <wp:extent cx="5486400" cy="2809875"/>
            <wp:effectExtent l="19050" t="0" r="19050" b="0"/>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D468D3" w:rsidRDefault="00D468D3" w:rsidP="008B0935">
      <w:pPr>
        <w:adjustRightInd w:val="0"/>
        <w:snapToGrid w:val="0"/>
        <w:ind w:firstLineChars="600" w:firstLine="1920"/>
        <w:rPr>
          <w:rFonts w:ascii="仿宋_GB2312" w:eastAsia="仿宋_GB2312" w:hAnsi="Times New Roman" w:cs="DengXian-Regular"/>
          <w:sz w:val="32"/>
          <w:szCs w:val="32"/>
        </w:rPr>
      </w:pPr>
    </w:p>
    <w:p w:rsidR="00D468D3" w:rsidRDefault="00D468D3"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8B0935" w:rsidRDefault="008B0935" w:rsidP="008B0935">
      <w:pPr>
        <w:adjustRightInd w:val="0"/>
        <w:snapToGrid w:val="0"/>
        <w:ind w:firstLineChars="600" w:firstLine="1920"/>
        <w:rPr>
          <w:rFonts w:ascii="仿宋_GB2312" w:eastAsia="仿宋_GB2312" w:hAnsi="Times New Roman" w:cs="DengXian-Regular"/>
          <w:sz w:val="32"/>
          <w:szCs w:val="32"/>
        </w:rPr>
      </w:pPr>
    </w:p>
    <w:p w:rsidR="00F3358A" w:rsidRDefault="00F3358A" w:rsidP="008B0935">
      <w:pPr>
        <w:adjustRightInd w:val="0"/>
        <w:snapToGrid w:val="0"/>
        <w:ind w:firstLineChars="600" w:firstLine="1920"/>
        <w:rPr>
          <w:rFonts w:ascii="仿宋_GB2312" w:eastAsia="仿宋_GB2312" w:hAnsi="Times New Roman" w:cs="DengXian-Regular"/>
          <w:sz w:val="32"/>
          <w:szCs w:val="32"/>
        </w:rPr>
      </w:pPr>
    </w:p>
    <w:p w:rsidR="00F3358A" w:rsidRDefault="00F3358A" w:rsidP="008B0935">
      <w:pPr>
        <w:adjustRightInd w:val="0"/>
        <w:snapToGrid w:val="0"/>
        <w:ind w:firstLineChars="600" w:firstLine="1920"/>
        <w:rPr>
          <w:rFonts w:ascii="仿宋_GB2312" w:eastAsia="仿宋_GB2312" w:hAnsi="Times New Roman" w:cs="DengXian-Regular"/>
          <w:sz w:val="32"/>
          <w:szCs w:val="32"/>
        </w:rPr>
      </w:pPr>
      <w:r>
        <w:rPr>
          <w:rFonts w:ascii="仿宋_GB2312" w:eastAsia="仿宋_GB2312" w:hAnsi="Times New Roman" w:cs="DengXian-Regular" w:hint="eastAsia"/>
          <w:sz w:val="32"/>
          <w:szCs w:val="32"/>
        </w:rPr>
        <w:t>图1：收入构成情况</w:t>
      </w:r>
    </w:p>
    <w:p w:rsidR="00D468D3" w:rsidRDefault="00D468D3" w:rsidP="008B0935">
      <w:pPr>
        <w:keepNext/>
        <w:keepLines/>
        <w:snapToGrid w:val="0"/>
        <w:ind w:firstLineChars="200" w:firstLine="643"/>
        <w:outlineLvl w:val="1"/>
        <w:rPr>
          <w:rFonts w:ascii="黑体" w:eastAsia="黑体" w:hAnsi="Calibri" w:cs="Times New Roman"/>
          <w:b/>
          <w:bCs/>
          <w:sz w:val="32"/>
          <w:szCs w:val="32"/>
        </w:rPr>
      </w:pPr>
    </w:p>
    <w:p w:rsidR="008B0935" w:rsidRDefault="008B0935" w:rsidP="008B0935">
      <w:pPr>
        <w:keepNext/>
        <w:keepLines/>
        <w:snapToGrid w:val="0"/>
        <w:ind w:firstLineChars="200" w:firstLine="640"/>
        <w:outlineLvl w:val="1"/>
        <w:rPr>
          <w:rFonts w:ascii="黑体" w:eastAsia="黑体" w:hAnsi="Calibri" w:cs="Times New Roman"/>
          <w:sz w:val="32"/>
          <w:szCs w:val="32"/>
        </w:rPr>
      </w:pPr>
    </w:p>
    <w:p w:rsidR="00FC1FF7" w:rsidRPr="00FC1FF7" w:rsidRDefault="00FC1FF7" w:rsidP="008B0935">
      <w:pPr>
        <w:keepNext/>
        <w:keepLines/>
        <w:snapToGrid w:val="0"/>
        <w:ind w:firstLineChars="200" w:firstLine="640"/>
        <w:outlineLvl w:val="1"/>
        <w:rPr>
          <w:rFonts w:ascii="黑体" w:eastAsia="黑体" w:hAnsi="Calibri" w:cs="Times New Roman"/>
          <w:sz w:val="32"/>
          <w:szCs w:val="32"/>
        </w:rPr>
      </w:pPr>
    </w:p>
    <w:p w:rsidR="00D468D3" w:rsidRDefault="000A10F6" w:rsidP="008B0935">
      <w:pPr>
        <w:keepNext/>
        <w:keepLines/>
        <w:snapToGrid w:val="0"/>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D468D3" w:rsidRDefault="000A10F6" w:rsidP="008B0935">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w:t>
      </w:r>
      <w:r w:rsidR="00FC1FF7">
        <w:rPr>
          <w:rFonts w:ascii="仿宋_GB2312" w:eastAsia="仿宋_GB2312" w:hAnsi="Times New Roman" w:cs="DengXian-Regular" w:hint="eastAsia"/>
          <w:sz w:val="32"/>
          <w:szCs w:val="32"/>
        </w:rPr>
        <w:t>80.15</w:t>
      </w:r>
      <w:r>
        <w:rPr>
          <w:rFonts w:ascii="仿宋_GB2312" w:eastAsia="仿宋_GB2312" w:hAnsi="Times New Roman" w:cs="DengXian-Regular" w:hint="eastAsia"/>
          <w:sz w:val="32"/>
          <w:szCs w:val="32"/>
        </w:rPr>
        <w:t>万元，其中：基本支出</w:t>
      </w:r>
      <w:r w:rsidR="00FC1FF7">
        <w:rPr>
          <w:rFonts w:ascii="仿宋_GB2312" w:eastAsia="仿宋_GB2312" w:hAnsi="Times New Roman" w:cs="DengXian-Regular" w:hint="eastAsia"/>
          <w:sz w:val="32"/>
          <w:szCs w:val="32"/>
        </w:rPr>
        <w:t>80.15</w:t>
      </w:r>
      <w:r>
        <w:rPr>
          <w:rFonts w:ascii="仿宋_GB2312" w:eastAsia="仿宋_GB2312" w:hAnsi="Times New Roman" w:cs="DengXian-Regular" w:hint="eastAsia"/>
          <w:sz w:val="32"/>
          <w:szCs w:val="32"/>
        </w:rPr>
        <w:t>万元，占</w:t>
      </w:r>
      <w:r w:rsidR="00FC1FF7">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%；项目支出</w:t>
      </w:r>
      <w:r w:rsidR="00FC1FF7">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C1FF7">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%；经营支出</w:t>
      </w:r>
      <w:r w:rsidR="00FC1FF7">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C1FF7">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FC1FF7" w:rsidRDefault="00FC1FF7" w:rsidP="00FC1FF7">
      <w:pPr>
        <w:adjustRightInd w:val="0"/>
        <w:snapToGrid w:val="0"/>
        <w:spacing w:line="580" w:lineRule="exact"/>
        <w:ind w:firstLineChars="600" w:firstLine="1920"/>
        <w:rPr>
          <w:rFonts w:ascii="仿宋_GB2312" w:eastAsia="仿宋_GB2312" w:hAnsi="Times New Roman" w:cs="DengXian-Regular"/>
          <w:sz w:val="32"/>
          <w:szCs w:val="32"/>
        </w:rPr>
      </w:pPr>
    </w:p>
    <w:p w:rsidR="00FC1FF7" w:rsidRDefault="00FC1FF7" w:rsidP="00FC1FF7">
      <w:pPr>
        <w:adjustRightInd w:val="0"/>
        <w:snapToGrid w:val="0"/>
        <w:spacing w:line="580" w:lineRule="exact"/>
        <w:ind w:firstLineChars="600" w:firstLine="192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anchor distT="0" distB="0" distL="114300" distR="114300" simplePos="0" relativeHeight="437286912" behindDoc="0" locked="0" layoutInCell="1" allowOverlap="1">
            <wp:simplePos x="0" y="0"/>
            <wp:positionH relativeFrom="column">
              <wp:posOffset>0</wp:posOffset>
            </wp:positionH>
            <wp:positionV relativeFrom="paragraph">
              <wp:posOffset>0</wp:posOffset>
            </wp:positionV>
            <wp:extent cx="5486400" cy="3200400"/>
            <wp:effectExtent l="19050" t="0" r="19050" b="0"/>
            <wp:wrapNone/>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FC1FF7" w:rsidRDefault="00FC1FF7" w:rsidP="00FC1FF7">
      <w:pPr>
        <w:adjustRightInd w:val="0"/>
        <w:snapToGrid w:val="0"/>
        <w:spacing w:line="580" w:lineRule="exact"/>
        <w:ind w:firstLineChars="600" w:firstLine="1920"/>
        <w:rPr>
          <w:rFonts w:ascii="仿宋_GB2312" w:eastAsia="仿宋_GB2312" w:hAnsi="Times New Roman" w:cs="DengXian-Regular"/>
          <w:sz w:val="32"/>
          <w:szCs w:val="32"/>
        </w:rPr>
      </w:pPr>
    </w:p>
    <w:p w:rsidR="00FC1FF7" w:rsidRDefault="00FC1FF7" w:rsidP="00FC1FF7">
      <w:pPr>
        <w:adjustRightInd w:val="0"/>
        <w:snapToGrid w:val="0"/>
        <w:spacing w:line="580" w:lineRule="exact"/>
        <w:ind w:firstLineChars="600" w:firstLine="1920"/>
        <w:rPr>
          <w:rFonts w:ascii="仿宋_GB2312" w:eastAsia="仿宋_GB2312" w:hAnsi="Times New Roman" w:cs="DengXian-Regular"/>
          <w:sz w:val="32"/>
          <w:szCs w:val="32"/>
        </w:rPr>
      </w:pPr>
    </w:p>
    <w:p w:rsidR="00FC1FF7" w:rsidRDefault="00FC1FF7" w:rsidP="00FC1FF7">
      <w:pPr>
        <w:adjustRightInd w:val="0"/>
        <w:snapToGrid w:val="0"/>
        <w:spacing w:line="580" w:lineRule="exact"/>
        <w:ind w:firstLineChars="600" w:firstLine="1920"/>
        <w:rPr>
          <w:rFonts w:ascii="仿宋_GB2312" w:eastAsia="仿宋_GB2312" w:hAnsi="Times New Roman" w:cs="DengXian-Regular"/>
          <w:sz w:val="32"/>
          <w:szCs w:val="32"/>
        </w:rPr>
      </w:pPr>
    </w:p>
    <w:p w:rsidR="00FC1FF7" w:rsidRDefault="00FC1FF7" w:rsidP="00FC1FF7">
      <w:pPr>
        <w:adjustRightInd w:val="0"/>
        <w:snapToGrid w:val="0"/>
        <w:spacing w:line="580" w:lineRule="exact"/>
        <w:ind w:firstLineChars="600" w:firstLine="1920"/>
        <w:rPr>
          <w:rFonts w:ascii="仿宋_GB2312" w:eastAsia="仿宋_GB2312" w:hAnsi="Times New Roman" w:cs="DengXian-Regular"/>
          <w:sz w:val="32"/>
          <w:szCs w:val="32"/>
        </w:rPr>
      </w:pPr>
    </w:p>
    <w:p w:rsidR="00D468D3" w:rsidRDefault="00D468D3" w:rsidP="00FC1FF7">
      <w:pPr>
        <w:adjustRightInd w:val="0"/>
        <w:snapToGrid w:val="0"/>
        <w:spacing w:line="580" w:lineRule="exact"/>
        <w:ind w:firstLineChars="600" w:firstLine="1920"/>
        <w:rPr>
          <w:rFonts w:ascii="仿宋_GB2312" w:eastAsia="仿宋_GB2312" w:hAnsi="Times New Roman" w:cs="DengXian-Regular"/>
          <w:sz w:val="32"/>
          <w:szCs w:val="32"/>
        </w:rPr>
      </w:pPr>
    </w:p>
    <w:p w:rsidR="00D468D3" w:rsidRDefault="00D468D3">
      <w:pPr>
        <w:adjustRightInd w:val="0"/>
        <w:snapToGrid w:val="0"/>
        <w:spacing w:line="580" w:lineRule="exact"/>
        <w:ind w:firstLineChars="600" w:firstLine="1920"/>
        <w:rPr>
          <w:rFonts w:ascii="仿宋_GB2312" w:eastAsia="仿宋_GB2312" w:hAnsi="Times New Roman" w:cs="DengXian-Regular"/>
          <w:sz w:val="32"/>
          <w:szCs w:val="32"/>
        </w:rPr>
      </w:pPr>
    </w:p>
    <w:p w:rsidR="00D468D3" w:rsidRDefault="00490D1C" w:rsidP="00490D1C">
      <w:pPr>
        <w:keepNext/>
        <w:keepLines/>
        <w:snapToGrid w:val="0"/>
        <w:spacing w:line="580" w:lineRule="exact"/>
        <w:ind w:firstLineChars="200" w:firstLine="640"/>
        <w:outlineLvl w:val="1"/>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  </w:t>
      </w:r>
    </w:p>
    <w:p w:rsidR="00490D1C" w:rsidRDefault="00490D1C" w:rsidP="00490D1C">
      <w:pPr>
        <w:keepNext/>
        <w:keepLines/>
        <w:snapToGrid w:val="0"/>
        <w:spacing w:line="580" w:lineRule="exact"/>
        <w:ind w:firstLineChars="200" w:firstLine="643"/>
        <w:outlineLvl w:val="1"/>
        <w:rPr>
          <w:rFonts w:ascii="黑体" w:eastAsia="黑体" w:hAnsi="Calibri" w:cs="Times New Roman"/>
          <w:b/>
          <w:bCs/>
          <w:sz w:val="32"/>
          <w:szCs w:val="32"/>
        </w:rPr>
      </w:pPr>
    </w:p>
    <w:p w:rsidR="00D468D3" w:rsidRPr="00FC1FF7" w:rsidRDefault="00FC1FF7" w:rsidP="00FC1FF7">
      <w:pPr>
        <w:keepNext/>
        <w:keepLines/>
        <w:snapToGrid w:val="0"/>
        <w:spacing w:line="580" w:lineRule="exact"/>
        <w:ind w:firstLineChars="200" w:firstLine="640"/>
        <w:outlineLvl w:val="1"/>
        <w:rPr>
          <w:rFonts w:ascii="黑体" w:eastAsia="黑体" w:hAnsi="Calibri" w:cs="Times New Roman"/>
          <w:bCs/>
          <w:sz w:val="32"/>
          <w:szCs w:val="32"/>
        </w:rPr>
      </w:pPr>
      <w:r w:rsidRPr="00FC1FF7">
        <w:rPr>
          <w:rFonts w:ascii="黑体" w:eastAsia="黑体" w:hAnsi="Calibri" w:cs="Times New Roman" w:hint="eastAsia"/>
          <w:bCs/>
          <w:sz w:val="32"/>
          <w:szCs w:val="32"/>
        </w:rPr>
        <w:t>图2：</w:t>
      </w:r>
      <w:r>
        <w:rPr>
          <w:rFonts w:ascii="黑体" w:eastAsia="黑体" w:hAnsi="Calibri" w:cs="Times New Roman" w:hint="eastAsia"/>
          <w:bCs/>
          <w:sz w:val="32"/>
          <w:szCs w:val="32"/>
        </w:rPr>
        <w:t>支出构成情况（按支出性质）</w:t>
      </w:r>
    </w:p>
    <w:p w:rsidR="00D468D3" w:rsidRDefault="00D468D3">
      <w:pPr>
        <w:keepNext/>
        <w:keepLines/>
        <w:snapToGrid w:val="0"/>
        <w:spacing w:line="580" w:lineRule="exact"/>
        <w:ind w:firstLineChars="200" w:firstLine="643"/>
        <w:outlineLvl w:val="1"/>
        <w:rPr>
          <w:rFonts w:ascii="黑体" w:eastAsia="黑体" w:hAnsi="Calibri" w:cs="Times New Roman"/>
          <w:b/>
          <w:bCs/>
          <w:sz w:val="32"/>
          <w:szCs w:val="32"/>
        </w:rPr>
      </w:pPr>
    </w:p>
    <w:p w:rsidR="00490D1C" w:rsidRDefault="00490D1C">
      <w:pPr>
        <w:keepNext/>
        <w:keepLines/>
        <w:snapToGrid w:val="0"/>
        <w:spacing w:line="580" w:lineRule="exact"/>
        <w:ind w:firstLineChars="200" w:firstLine="640"/>
        <w:outlineLvl w:val="1"/>
        <w:rPr>
          <w:rFonts w:ascii="黑体" w:eastAsia="黑体" w:hAnsi="Calibri" w:cs="Times New Roman"/>
          <w:sz w:val="32"/>
          <w:szCs w:val="32"/>
        </w:rPr>
      </w:pPr>
    </w:p>
    <w:p w:rsidR="00D468D3" w:rsidRDefault="000A10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D468D3" w:rsidRDefault="000A10F6">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w:t>
      </w:r>
      <w:r>
        <w:rPr>
          <w:rFonts w:ascii="仿宋_GB2312" w:eastAsia="仿宋_GB2312" w:hAnsi="Times New Roman" w:cs="DengXian-Regular" w:hint="eastAsia"/>
          <w:sz w:val="32"/>
          <w:szCs w:val="32"/>
        </w:rPr>
        <w:lastRenderedPageBreak/>
        <w:t>政拨款，其中本年收入</w:t>
      </w:r>
      <w:r w:rsidR="00490D1C">
        <w:rPr>
          <w:rFonts w:ascii="仿宋_GB2312" w:eastAsia="仿宋_GB2312" w:hAnsi="Times New Roman" w:cs="DengXian-Regular" w:hint="eastAsia"/>
          <w:sz w:val="32"/>
          <w:szCs w:val="32"/>
        </w:rPr>
        <w:t>84.14</w:t>
      </w:r>
      <w:r>
        <w:rPr>
          <w:rFonts w:ascii="仿宋_GB2312" w:eastAsia="仿宋_GB2312" w:hAnsi="Times New Roman" w:cs="DengXian-Regular" w:hint="eastAsia"/>
          <w:sz w:val="32"/>
          <w:szCs w:val="32"/>
        </w:rPr>
        <w:t>万元,比2018年度减少</w:t>
      </w:r>
      <w:r w:rsidR="00490D1C">
        <w:rPr>
          <w:rFonts w:ascii="仿宋_GB2312" w:eastAsia="仿宋_GB2312" w:hAnsi="Times New Roman" w:cs="DengXian-Regular" w:hint="eastAsia"/>
          <w:sz w:val="32"/>
          <w:szCs w:val="32"/>
        </w:rPr>
        <w:t>0.56</w:t>
      </w:r>
      <w:r>
        <w:rPr>
          <w:rFonts w:ascii="仿宋_GB2312" w:eastAsia="仿宋_GB2312" w:hAnsi="Times New Roman" w:cs="DengXian-Regular" w:hint="eastAsia"/>
          <w:sz w:val="32"/>
          <w:szCs w:val="32"/>
        </w:rPr>
        <w:t>万元，降低</w:t>
      </w:r>
      <w:r w:rsidR="00490D1C">
        <w:rPr>
          <w:rFonts w:ascii="仿宋_GB2312" w:eastAsia="仿宋_GB2312" w:hAnsi="Times New Roman" w:cs="DengXian-Regular" w:hint="eastAsia"/>
          <w:sz w:val="32"/>
          <w:szCs w:val="32"/>
        </w:rPr>
        <w:t>0.66</w:t>
      </w:r>
      <w:r>
        <w:rPr>
          <w:rFonts w:ascii="仿宋_GB2312" w:eastAsia="仿宋_GB2312" w:hAnsi="Times New Roman" w:cs="DengXian-Regular" w:hint="eastAsia"/>
          <w:sz w:val="32"/>
          <w:szCs w:val="32"/>
        </w:rPr>
        <w:t>%，主要是</w:t>
      </w:r>
      <w:r w:rsidR="00490D1C">
        <w:rPr>
          <w:rFonts w:ascii="仿宋_GB2312" w:eastAsia="仿宋_GB2312" w:hAnsi="Times New Roman" w:cs="DengXian-Regular" w:hint="eastAsia"/>
          <w:sz w:val="32"/>
          <w:szCs w:val="32"/>
        </w:rPr>
        <w:t>公用经费减少</w:t>
      </w:r>
      <w:r>
        <w:rPr>
          <w:rFonts w:ascii="仿宋_GB2312" w:eastAsia="仿宋_GB2312" w:hAnsi="Times New Roman" w:cs="DengXian-Regular" w:hint="eastAsia"/>
          <w:sz w:val="32"/>
          <w:szCs w:val="32"/>
        </w:rPr>
        <w:t>；本年支出</w:t>
      </w:r>
      <w:r w:rsidR="00490D1C">
        <w:rPr>
          <w:rFonts w:ascii="仿宋_GB2312" w:eastAsia="仿宋_GB2312" w:hAnsi="Times New Roman" w:cs="DengXian-Regular" w:hint="eastAsia"/>
          <w:sz w:val="32"/>
          <w:szCs w:val="32"/>
        </w:rPr>
        <w:t>80.15</w:t>
      </w:r>
      <w:r>
        <w:rPr>
          <w:rFonts w:ascii="仿宋_GB2312" w:eastAsia="仿宋_GB2312" w:hAnsi="Times New Roman" w:cs="DengXian-Regular" w:hint="eastAsia"/>
          <w:sz w:val="32"/>
          <w:szCs w:val="32"/>
        </w:rPr>
        <w:t>万元，增加</w:t>
      </w:r>
      <w:r w:rsidR="00490D1C">
        <w:rPr>
          <w:rFonts w:ascii="仿宋_GB2312" w:eastAsia="仿宋_GB2312" w:hAnsi="Times New Roman" w:cs="DengXian-Regular" w:hint="eastAsia"/>
          <w:sz w:val="32"/>
          <w:szCs w:val="32"/>
        </w:rPr>
        <w:t>2.68</w:t>
      </w:r>
      <w:r>
        <w:rPr>
          <w:rFonts w:ascii="仿宋_GB2312" w:eastAsia="仿宋_GB2312" w:hAnsi="Times New Roman" w:cs="DengXian-Regular" w:hint="eastAsia"/>
          <w:sz w:val="32"/>
          <w:szCs w:val="32"/>
        </w:rPr>
        <w:t>万元，增长</w:t>
      </w:r>
      <w:r w:rsidR="00490D1C">
        <w:rPr>
          <w:rFonts w:ascii="仿宋_GB2312" w:eastAsia="仿宋_GB2312" w:hAnsi="Times New Roman" w:cs="DengXian-Regular" w:hint="eastAsia"/>
          <w:sz w:val="32"/>
          <w:szCs w:val="32"/>
        </w:rPr>
        <w:t>3.46</w:t>
      </w:r>
      <w:r>
        <w:rPr>
          <w:rFonts w:ascii="仿宋_GB2312" w:eastAsia="仿宋_GB2312" w:hAnsi="Times New Roman" w:cs="DengXian-Regular" w:hint="eastAsia"/>
          <w:sz w:val="32"/>
          <w:szCs w:val="32"/>
        </w:rPr>
        <w:t>%，主要是</w:t>
      </w:r>
      <w:r w:rsidR="00490D1C">
        <w:rPr>
          <w:rFonts w:ascii="仿宋_GB2312" w:eastAsia="仿宋_GB2312" w:hAnsi="Times New Roman" w:cs="DengXian-Regular" w:hint="eastAsia"/>
          <w:sz w:val="32"/>
          <w:szCs w:val="32"/>
        </w:rPr>
        <w:t>人员支出增加</w:t>
      </w:r>
      <w:r>
        <w:rPr>
          <w:rFonts w:ascii="仿宋_GB2312" w:eastAsia="仿宋_GB2312" w:hAnsi="Times New Roman" w:cs="DengXian-Regular" w:hint="eastAsia"/>
          <w:sz w:val="32"/>
          <w:szCs w:val="32"/>
        </w:rPr>
        <w:t>。</w:t>
      </w: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anchor distT="0" distB="0" distL="114300" distR="114300" simplePos="0" relativeHeight="437288960" behindDoc="0" locked="0" layoutInCell="1" allowOverlap="1">
            <wp:simplePos x="0" y="0"/>
            <wp:positionH relativeFrom="column">
              <wp:posOffset>86995</wp:posOffset>
            </wp:positionH>
            <wp:positionV relativeFrom="paragraph">
              <wp:posOffset>239395</wp:posOffset>
            </wp:positionV>
            <wp:extent cx="5257800" cy="3733800"/>
            <wp:effectExtent l="19050" t="0" r="19050" b="0"/>
            <wp:wrapNone/>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rPr>
      </w:pPr>
    </w:p>
    <w:p w:rsidR="00D468D3" w:rsidRDefault="00D468D3">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8E6EE7" w:rsidRDefault="008E6EE7">
      <w:pPr>
        <w:adjustRightInd w:val="0"/>
        <w:snapToGrid w:val="0"/>
        <w:spacing w:line="580" w:lineRule="exact"/>
        <w:ind w:firstLineChars="200" w:firstLine="640"/>
        <w:rPr>
          <w:rFonts w:ascii="仿宋_GB2312" w:eastAsia="仿宋_GB2312" w:hAnsi="Times New Roman" w:cs="DengXian-Regular"/>
          <w:sz w:val="32"/>
          <w:szCs w:val="32"/>
        </w:rPr>
      </w:pPr>
    </w:p>
    <w:p w:rsidR="00582A97" w:rsidRPr="007441E2" w:rsidRDefault="007441E2">
      <w:pPr>
        <w:adjustRightInd w:val="0"/>
        <w:snapToGrid w:val="0"/>
        <w:spacing w:line="580" w:lineRule="exact"/>
        <w:ind w:firstLineChars="200" w:firstLine="640"/>
        <w:rPr>
          <w:rFonts w:ascii="仿宋_GB2312" w:eastAsia="仿宋_GB2312" w:hAnsi="Times New Roman" w:cs="DengXian-Regular"/>
          <w:sz w:val="32"/>
          <w:szCs w:val="32"/>
        </w:rPr>
      </w:pPr>
      <w:r w:rsidRPr="007441E2">
        <w:rPr>
          <w:rFonts w:ascii="仿宋_GB2312" w:eastAsia="仿宋_GB2312" w:hAnsi="Times New Roman" w:cs="DengXian-Regular" w:hint="eastAsia"/>
          <w:sz w:val="32"/>
          <w:szCs w:val="32"/>
        </w:rPr>
        <w:t>图3</w:t>
      </w:r>
      <w:r>
        <w:rPr>
          <w:rFonts w:ascii="仿宋_GB2312" w:eastAsia="仿宋_GB2312" w:hAnsi="Times New Roman" w:cs="DengXian-Regular" w:hint="eastAsia"/>
          <w:sz w:val="32"/>
          <w:szCs w:val="32"/>
        </w:rPr>
        <w:t>:2018与2019年度收入支出情况表</w:t>
      </w: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582A97" w:rsidRDefault="00582A97">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D468D3" w:rsidRDefault="00D468D3">
      <w:pPr>
        <w:snapToGrid w:val="0"/>
        <w:spacing w:line="580" w:lineRule="exact"/>
        <w:ind w:firstLineChars="200" w:firstLine="643"/>
        <w:rPr>
          <w:rFonts w:ascii="楷体_GB2312" w:eastAsia="楷体_GB2312" w:hAnsi="Times New Roman" w:cs="DengXian-Bold"/>
          <w:b/>
          <w:bCs/>
          <w:sz w:val="32"/>
          <w:szCs w:val="32"/>
        </w:rPr>
      </w:pPr>
    </w:p>
    <w:p w:rsidR="00D468D3" w:rsidRDefault="000A10F6">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w:t>
      </w:r>
      <w:r w:rsidR="00A35918">
        <w:rPr>
          <w:rFonts w:ascii="仿宋_GB2312" w:eastAsia="仿宋_GB2312" w:hAnsi="Times New Roman" w:cs="DengXian-Regular" w:hint="eastAsia"/>
          <w:sz w:val="32"/>
          <w:szCs w:val="32"/>
        </w:rPr>
        <w:t>84.14</w:t>
      </w:r>
      <w:r>
        <w:rPr>
          <w:rFonts w:ascii="仿宋_GB2312" w:eastAsia="仿宋_GB2312" w:hAnsi="Times New Roman" w:cs="DengXian-Regular" w:hint="eastAsia"/>
          <w:sz w:val="32"/>
          <w:szCs w:val="32"/>
        </w:rPr>
        <w:t>万元，完成年初预算的</w:t>
      </w:r>
      <w:r w:rsidR="00A35918">
        <w:rPr>
          <w:rFonts w:ascii="仿宋_GB2312" w:eastAsia="仿宋_GB2312" w:hAnsi="Times New Roman" w:cs="DengXian-Regular" w:hint="eastAsia"/>
          <w:sz w:val="32"/>
          <w:szCs w:val="32"/>
        </w:rPr>
        <w:t>109.13</w:t>
      </w:r>
      <w:r>
        <w:rPr>
          <w:rFonts w:ascii="仿宋_GB2312" w:eastAsia="仿宋_GB2312" w:hAnsi="Times New Roman" w:cs="DengXian-Regular" w:hint="eastAsia"/>
          <w:sz w:val="32"/>
          <w:szCs w:val="32"/>
        </w:rPr>
        <w:t>%（如图4）,比年初预算增加</w:t>
      </w:r>
      <w:r w:rsidR="00A35918">
        <w:rPr>
          <w:rFonts w:ascii="仿宋_GB2312" w:eastAsia="仿宋_GB2312" w:hAnsi="Times New Roman" w:cs="DengXian-Regular" w:hint="eastAsia"/>
          <w:sz w:val="32"/>
          <w:szCs w:val="32"/>
        </w:rPr>
        <w:t>7.04</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lastRenderedPageBreak/>
        <w:t>决算数大于预算数主要原因是</w:t>
      </w:r>
      <w:r w:rsidR="00A35918">
        <w:rPr>
          <w:rFonts w:ascii="仿宋_GB2312" w:eastAsia="仿宋_GB2312" w:cs="DengXian-Regular" w:hint="eastAsia"/>
          <w:sz w:val="32"/>
          <w:szCs w:val="32"/>
        </w:rPr>
        <w:t>人员工资增长，社保缴费增长</w:t>
      </w:r>
      <w:r>
        <w:rPr>
          <w:rFonts w:ascii="仿宋_GB2312" w:eastAsia="仿宋_GB2312" w:hAnsi="Times New Roman" w:cs="DengXian-Regular" w:hint="eastAsia"/>
          <w:sz w:val="32"/>
          <w:szCs w:val="32"/>
        </w:rPr>
        <w:t>；本年支出</w:t>
      </w:r>
      <w:r w:rsidR="00A35918">
        <w:rPr>
          <w:rFonts w:ascii="仿宋_GB2312" w:eastAsia="仿宋_GB2312" w:hAnsi="Times New Roman" w:cs="DengXian-Regular" w:hint="eastAsia"/>
          <w:sz w:val="32"/>
          <w:szCs w:val="32"/>
        </w:rPr>
        <w:t>80.15</w:t>
      </w:r>
      <w:r>
        <w:rPr>
          <w:rFonts w:ascii="仿宋_GB2312" w:eastAsia="仿宋_GB2312" w:hAnsi="Times New Roman" w:cs="DengXian-Regular" w:hint="eastAsia"/>
          <w:sz w:val="32"/>
          <w:szCs w:val="32"/>
        </w:rPr>
        <w:t>万元，完成年初预算的</w:t>
      </w:r>
      <w:r w:rsidR="00A35918">
        <w:rPr>
          <w:rFonts w:ascii="仿宋_GB2312" w:eastAsia="仿宋_GB2312" w:hAnsi="Times New Roman" w:cs="DengXian-Regular" w:hint="eastAsia"/>
          <w:sz w:val="32"/>
          <w:szCs w:val="32"/>
        </w:rPr>
        <w:t>103.96</w:t>
      </w:r>
      <w:r>
        <w:rPr>
          <w:rFonts w:ascii="仿宋_GB2312" w:eastAsia="仿宋_GB2312" w:hAnsi="Times New Roman" w:cs="DengXian-Regular" w:hint="eastAsia"/>
          <w:sz w:val="32"/>
          <w:szCs w:val="32"/>
        </w:rPr>
        <w:t>%,比年初预算增加</w:t>
      </w:r>
      <w:r w:rsidR="00A35918">
        <w:rPr>
          <w:rFonts w:ascii="仿宋_GB2312" w:eastAsia="仿宋_GB2312" w:hAnsi="Times New Roman" w:cs="DengXian-Regular" w:hint="eastAsia"/>
          <w:sz w:val="32"/>
          <w:szCs w:val="32"/>
        </w:rPr>
        <w:t>3.05</w:t>
      </w:r>
      <w:r>
        <w:rPr>
          <w:rFonts w:ascii="仿宋_GB2312" w:eastAsia="仿宋_GB2312" w:hAnsi="Times New Roman" w:cs="DengXian-Regular" w:hint="eastAsia"/>
          <w:sz w:val="32"/>
          <w:szCs w:val="32"/>
        </w:rPr>
        <w:t>万元，决算数大于预算数主要原因是主要是</w:t>
      </w:r>
      <w:r w:rsidR="00A35918">
        <w:rPr>
          <w:rFonts w:ascii="仿宋_GB2312" w:eastAsia="仿宋_GB2312" w:cs="DengXian-Regular" w:hint="eastAsia"/>
          <w:sz w:val="32"/>
          <w:szCs w:val="32"/>
        </w:rPr>
        <w:t>人员工资增长，社保缴费增长</w:t>
      </w:r>
      <w:r>
        <w:rPr>
          <w:rFonts w:ascii="仿宋_GB2312" w:eastAsia="仿宋_GB2312" w:hAnsi="Times New Roman" w:cs="DengXian-Regular" w:hint="eastAsia"/>
          <w:sz w:val="32"/>
          <w:szCs w:val="32"/>
        </w:rPr>
        <w:t>。</w:t>
      </w: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anchor distT="0" distB="0" distL="114300" distR="114300" simplePos="0" relativeHeight="437291008" behindDoc="0" locked="0" layoutInCell="1" allowOverlap="1">
            <wp:simplePos x="0" y="0"/>
            <wp:positionH relativeFrom="column">
              <wp:posOffset>0</wp:posOffset>
            </wp:positionH>
            <wp:positionV relativeFrom="paragraph">
              <wp:posOffset>0</wp:posOffset>
            </wp:positionV>
            <wp:extent cx="5486400" cy="3200400"/>
            <wp:effectExtent l="19050" t="0" r="19050" b="0"/>
            <wp:wrapNone/>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图4:2019年度收入支出预决算情况对比表</w:t>
      </w: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9E1628" w:rsidRDefault="009E1628">
      <w:pPr>
        <w:adjustRightInd w:val="0"/>
        <w:snapToGrid w:val="0"/>
        <w:spacing w:line="580" w:lineRule="exact"/>
        <w:ind w:firstLineChars="200" w:firstLine="640"/>
        <w:rPr>
          <w:rFonts w:ascii="仿宋_GB2312" w:eastAsia="仿宋_GB2312" w:hAnsi="Times New Roman" w:cs="DengXian-Regular"/>
          <w:sz w:val="32"/>
          <w:szCs w:val="32"/>
        </w:rPr>
      </w:pPr>
    </w:p>
    <w:p w:rsidR="00D468D3" w:rsidRDefault="00D468D3">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D468D3" w:rsidRDefault="00D468D3">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D468D3" w:rsidRDefault="000A10F6">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w:t>
      </w:r>
      <w:r w:rsidR="00FA7818">
        <w:rPr>
          <w:rFonts w:ascii="仿宋_GB2312" w:eastAsia="仿宋_GB2312" w:hAnsi="Times New Roman" w:cs="DengXian-Regular" w:hint="eastAsia"/>
          <w:sz w:val="32"/>
          <w:szCs w:val="32"/>
        </w:rPr>
        <w:t>8.15</w:t>
      </w:r>
      <w:r>
        <w:rPr>
          <w:rFonts w:ascii="仿宋_GB2312" w:eastAsia="仿宋_GB2312" w:hAnsi="Times New Roman" w:cs="DengXian-Regular" w:hint="eastAsia"/>
          <w:sz w:val="32"/>
          <w:szCs w:val="32"/>
        </w:rPr>
        <w:t>万元，主要用于以下方面</w:t>
      </w:r>
      <w:r w:rsidRPr="00F61C3B">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 xml:space="preserve">社会保障和就业（类）支出 </w:t>
      </w:r>
      <w:r w:rsidR="00BF5752">
        <w:rPr>
          <w:rFonts w:ascii="仿宋_GB2312" w:eastAsia="仿宋_GB2312" w:hAnsi="Times New Roman" w:cs="DengXian-Regular" w:hint="eastAsia"/>
          <w:sz w:val="32"/>
          <w:szCs w:val="32"/>
        </w:rPr>
        <w:t>7.35</w:t>
      </w:r>
      <w:r>
        <w:rPr>
          <w:rFonts w:ascii="仿宋_GB2312" w:eastAsia="仿宋_GB2312" w:hAnsi="Times New Roman" w:cs="DengXian-Regular" w:hint="eastAsia"/>
          <w:sz w:val="32"/>
          <w:szCs w:val="32"/>
        </w:rPr>
        <w:t>万元，占</w:t>
      </w:r>
      <w:r w:rsidR="00BF5752">
        <w:rPr>
          <w:rFonts w:ascii="仿宋_GB2312" w:eastAsia="仿宋_GB2312" w:hAnsi="Times New Roman" w:cs="DengXian-Regular" w:hint="eastAsia"/>
          <w:sz w:val="32"/>
          <w:szCs w:val="32"/>
        </w:rPr>
        <w:t>9.17</w:t>
      </w:r>
      <w:r>
        <w:rPr>
          <w:rFonts w:ascii="仿宋_GB2312" w:eastAsia="仿宋_GB2312" w:hAnsi="Times New Roman" w:cs="DengXian-Regular" w:hint="eastAsia"/>
          <w:sz w:val="32"/>
          <w:szCs w:val="32"/>
        </w:rPr>
        <w:t>%；</w:t>
      </w:r>
      <w:r w:rsidR="00BF5752" w:rsidRPr="00BF5752">
        <w:rPr>
          <w:rFonts w:ascii="仿宋_GB2312" w:eastAsia="仿宋_GB2312" w:hAnsi="Times New Roman" w:cs="DengXian-Regular" w:hint="eastAsia"/>
          <w:sz w:val="32"/>
          <w:szCs w:val="32"/>
        </w:rPr>
        <w:t>卫生健康支出</w:t>
      </w:r>
      <w:r w:rsidR="00BF5752">
        <w:rPr>
          <w:rFonts w:ascii="仿宋_GB2312" w:eastAsia="仿宋_GB2312" w:hAnsi="Times New Roman" w:cs="DengXian-Regular" w:hint="eastAsia"/>
          <w:sz w:val="32"/>
          <w:szCs w:val="32"/>
        </w:rPr>
        <w:t>4.81万元，占6%；</w:t>
      </w:r>
      <w:r w:rsidR="00F61C3B" w:rsidRPr="00F61C3B">
        <w:rPr>
          <w:rFonts w:ascii="仿宋_GB2312" w:eastAsia="仿宋_GB2312" w:hAnsi="Times New Roman" w:cs="DengXian-Regular" w:hint="eastAsia"/>
          <w:sz w:val="32"/>
          <w:szCs w:val="32"/>
        </w:rPr>
        <w:t>农林水支出</w:t>
      </w:r>
      <w:r w:rsidR="00F61C3B">
        <w:rPr>
          <w:rFonts w:ascii="仿宋_GB2312" w:eastAsia="仿宋_GB2312" w:hAnsi="Times New Roman" w:cs="DengXian-Regular" w:hint="eastAsia"/>
          <w:sz w:val="32"/>
          <w:szCs w:val="32"/>
        </w:rPr>
        <w:t>63.97万元，占79.81%；</w:t>
      </w:r>
      <w:r>
        <w:rPr>
          <w:rFonts w:ascii="仿宋_GB2312" w:eastAsia="仿宋_GB2312" w:hAnsi="Times New Roman" w:cs="DengXian-Regular" w:hint="eastAsia"/>
          <w:sz w:val="32"/>
          <w:szCs w:val="32"/>
        </w:rPr>
        <w:t>住房保障（类）支出</w:t>
      </w:r>
      <w:r w:rsidR="00F61C3B">
        <w:rPr>
          <w:rFonts w:ascii="仿宋_GB2312" w:eastAsia="仿宋_GB2312" w:hAnsi="Times New Roman" w:cs="DengXian-Regular" w:hint="eastAsia"/>
          <w:sz w:val="32"/>
          <w:szCs w:val="32"/>
        </w:rPr>
        <w:t>4.02</w:t>
      </w:r>
      <w:r>
        <w:rPr>
          <w:rFonts w:ascii="仿宋_GB2312" w:eastAsia="仿宋_GB2312" w:hAnsi="Times New Roman" w:cs="DengXian-Regular" w:hint="eastAsia"/>
          <w:sz w:val="32"/>
          <w:szCs w:val="32"/>
        </w:rPr>
        <w:t>万元，占</w:t>
      </w:r>
      <w:r w:rsidR="00F61C3B">
        <w:rPr>
          <w:rFonts w:ascii="仿宋_GB2312" w:eastAsia="仿宋_GB2312" w:hAnsi="Times New Roman" w:cs="DengXian-Regular" w:hint="eastAsia"/>
          <w:sz w:val="32"/>
          <w:szCs w:val="32"/>
        </w:rPr>
        <w:t>5.02</w:t>
      </w:r>
      <w:r>
        <w:rPr>
          <w:rFonts w:ascii="仿宋_GB2312" w:eastAsia="仿宋_GB2312" w:hAnsi="Times New Roman" w:cs="DengXian-Regular" w:hint="eastAsia"/>
          <w:sz w:val="32"/>
          <w:szCs w:val="32"/>
        </w:rPr>
        <w:t>%。</w:t>
      </w:r>
    </w:p>
    <w:p w:rsidR="00FA7818" w:rsidRPr="00F61C3B" w:rsidRDefault="00C53347">
      <w:pPr>
        <w:adjustRightInd w:val="0"/>
        <w:snapToGrid w:val="0"/>
        <w:spacing w:line="580" w:lineRule="exact"/>
        <w:rPr>
          <w:rFonts w:ascii="楷体_GB2312" w:eastAsia="楷体_GB2312" w:hAnsi="Times New Roman" w:cs="DengXian-Bold"/>
          <w:b/>
          <w:bCs/>
          <w:sz w:val="32"/>
          <w:szCs w:val="32"/>
        </w:rPr>
      </w:pPr>
      <w:r>
        <w:rPr>
          <w:rFonts w:ascii="楷体_GB2312" w:eastAsia="楷体_GB2312" w:hAnsi="Times New Roman" w:cs="DengXian-Bold" w:hint="eastAsia"/>
          <w:b/>
          <w:bCs/>
          <w:noProof/>
          <w:sz w:val="32"/>
          <w:szCs w:val="32"/>
        </w:rPr>
        <w:drawing>
          <wp:anchor distT="0" distB="0" distL="114300" distR="114300" simplePos="0" relativeHeight="437293056" behindDoc="0" locked="0" layoutInCell="1" allowOverlap="1">
            <wp:simplePos x="0" y="0"/>
            <wp:positionH relativeFrom="column">
              <wp:posOffset>163195</wp:posOffset>
            </wp:positionH>
            <wp:positionV relativeFrom="paragraph">
              <wp:posOffset>306070</wp:posOffset>
            </wp:positionV>
            <wp:extent cx="5486400" cy="4000500"/>
            <wp:effectExtent l="19050" t="0" r="19050" b="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D468D3" w:rsidRDefault="00D468D3">
      <w:pPr>
        <w:adjustRightInd w:val="0"/>
        <w:snapToGrid w:val="0"/>
        <w:spacing w:line="580" w:lineRule="exact"/>
        <w:rPr>
          <w:rFonts w:ascii="楷体_GB2312" w:eastAsia="楷体_GB2312" w:hAnsi="Times New Roman" w:cs="DengXian-Bold"/>
          <w:b/>
          <w:bCs/>
          <w:sz w:val="32"/>
          <w:szCs w:val="32"/>
        </w:rPr>
      </w:pPr>
    </w:p>
    <w:p w:rsidR="00F61C3B" w:rsidRDefault="00F61C3B">
      <w:pPr>
        <w:adjustRightInd w:val="0"/>
        <w:snapToGrid w:val="0"/>
        <w:spacing w:line="580" w:lineRule="exact"/>
        <w:rPr>
          <w:rFonts w:ascii="楷体_GB2312" w:eastAsia="楷体_GB2312" w:hAnsi="Times New Roman" w:cs="DengXian-Bold"/>
          <w:b/>
          <w:bCs/>
          <w:sz w:val="32"/>
          <w:szCs w:val="32"/>
        </w:rPr>
      </w:pPr>
    </w:p>
    <w:p w:rsidR="00F61C3B" w:rsidRDefault="00F61C3B">
      <w:pPr>
        <w:adjustRightInd w:val="0"/>
        <w:snapToGrid w:val="0"/>
        <w:spacing w:line="580" w:lineRule="exact"/>
        <w:rPr>
          <w:rFonts w:ascii="楷体_GB2312" w:eastAsia="楷体_GB2312" w:hAnsi="Times New Roman" w:cs="DengXian-Bold"/>
          <w:b/>
          <w:bCs/>
          <w:sz w:val="32"/>
          <w:szCs w:val="32"/>
        </w:rPr>
      </w:pPr>
    </w:p>
    <w:p w:rsidR="00F61C3B" w:rsidRDefault="00F61C3B">
      <w:pPr>
        <w:adjustRightInd w:val="0"/>
        <w:snapToGrid w:val="0"/>
        <w:spacing w:line="580" w:lineRule="exact"/>
        <w:rPr>
          <w:rFonts w:ascii="楷体_GB2312" w:eastAsia="楷体_GB2312" w:hAnsi="Times New Roman" w:cs="DengXian-Bold"/>
          <w:b/>
          <w:bCs/>
          <w:sz w:val="32"/>
          <w:szCs w:val="32"/>
        </w:rPr>
      </w:pPr>
    </w:p>
    <w:p w:rsidR="00F61C3B" w:rsidRDefault="00F61C3B">
      <w:pPr>
        <w:adjustRightInd w:val="0"/>
        <w:snapToGrid w:val="0"/>
        <w:spacing w:line="580" w:lineRule="exact"/>
        <w:rPr>
          <w:rFonts w:ascii="楷体_GB2312" w:eastAsia="楷体_GB2312" w:hAnsi="Times New Roman" w:cs="DengXian-Bold"/>
          <w:b/>
          <w:bCs/>
          <w:sz w:val="32"/>
          <w:szCs w:val="32"/>
        </w:rPr>
      </w:pPr>
    </w:p>
    <w:p w:rsidR="00F61C3B" w:rsidRDefault="00F61C3B">
      <w:pPr>
        <w:adjustRightInd w:val="0"/>
        <w:snapToGrid w:val="0"/>
        <w:spacing w:line="580" w:lineRule="exact"/>
        <w:rPr>
          <w:rFonts w:ascii="楷体_GB2312" w:eastAsia="楷体_GB2312" w:hAnsi="Times New Roman" w:cs="DengXian-Bold"/>
          <w:b/>
          <w:bCs/>
          <w:sz w:val="32"/>
          <w:szCs w:val="32"/>
        </w:rPr>
      </w:pPr>
    </w:p>
    <w:p w:rsidR="00F61C3B" w:rsidRDefault="00F61C3B">
      <w:pPr>
        <w:adjustRightInd w:val="0"/>
        <w:snapToGrid w:val="0"/>
        <w:spacing w:line="580" w:lineRule="exact"/>
        <w:rPr>
          <w:rFonts w:ascii="楷体_GB2312" w:eastAsia="楷体_GB2312" w:hAnsi="Times New Roman" w:cs="DengXian-Bold"/>
          <w:b/>
          <w:bCs/>
          <w:sz w:val="32"/>
          <w:szCs w:val="32"/>
        </w:rPr>
      </w:pPr>
    </w:p>
    <w:p w:rsidR="00D468D3" w:rsidRDefault="00D468D3">
      <w:pPr>
        <w:adjustRightInd w:val="0"/>
        <w:snapToGrid w:val="0"/>
        <w:spacing w:line="580" w:lineRule="exact"/>
        <w:rPr>
          <w:rFonts w:ascii="楷体_GB2312" w:eastAsia="楷体_GB2312" w:hAnsi="Times New Roman" w:cs="DengXian-Bold"/>
          <w:b/>
          <w:bCs/>
          <w:sz w:val="32"/>
          <w:szCs w:val="32"/>
        </w:rPr>
      </w:pPr>
    </w:p>
    <w:p w:rsidR="00D468D3" w:rsidRDefault="00D468D3">
      <w:pPr>
        <w:adjustRightInd w:val="0"/>
        <w:snapToGrid w:val="0"/>
        <w:spacing w:line="580" w:lineRule="exact"/>
        <w:rPr>
          <w:rFonts w:ascii="楷体_GB2312" w:eastAsia="楷体_GB2312" w:hAnsi="Times New Roman" w:cs="DengXian-Bold"/>
          <w:b/>
          <w:bCs/>
          <w:sz w:val="32"/>
          <w:szCs w:val="32"/>
        </w:rPr>
      </w:pPr>
    </w:p>
    <w:p w:rsidR="00D468D3" w:rsidRDefault="00D468D3">
      <w:pPr>
        <w:adjustRightInd w:val="0"/>
        <w:snapToGrid w:val="0"/>
        <w:spacing w:line="580" w:lineRule="exact"/>
        <w:rPr>
          <w:rFonts w:ascii="楷体_GB2312" w:eastAsia="楷体_GB2312" w:hAnsi="Times New Roman" w:cs="DengXian-Bold"/>
          <w:b/>
          <w:bCs/>
          <w:sz w:val="32"/>
          <w:szCs w:val="32"/>
        </w:rPr>
      </w:pPr>
    </w:p>
    <w:p w:rsidR="00D468D3" w:rsidRDefault="00D468D3">
      <w:pPr>
        <w:adjustRightInd w:val="0"/>
        <w:snapToGrid w:val="0"/>
        <w:spacing w:line="580" w:lineRule="exact"/>
        <w:rPr>
          <w:rFonts w:ascii="楷体_GB2312" w:eastAsia="楷体_GB2312" w:hAnsi="Times New Roman" w:cs="DengXian-Bold"/>
          <w:b/>
          <w:bCs/>
          <w:sz w:val="32"/>
          <w:szCs w:val="32"/>
        </w:rPr>
      </w:pPr>
    </w:p>
    <w:p w:rsidR="00D468D3" w:rsidRPr="00C53347" w:rsidRDefault="00C53347">
      <w:pPr>
        <w:adjustRightInd w:val="0"/>
        <w:snapToGrid w:val="0"/>
        <w:spacing w:line="580" w:lineRule="exact"/>
        <w:rPr>
          <w:rFonts w:ascii="楷体_GB2312" w:eastAsia="楷体_GB2312" w:hAnsi="Times New Roman" w:cs="DengXian-Bold"/>
          <w:bCs/>
          <w:sz w:val="32"/>
          <w:szCs w:val="32"/>
        </w:rPr>
      </w:pPr>
      <w:r w:rsidRPr="00C53347">
        <w:rPr>
          <w:rFonts w:ascii="楷体_GB2312" w:eastAsia="楷体_GB2312" w:hAnsi="Times New Roman" w:cs="DengXian-Bold" w:hint="eastAsia"/>
          <w:bCs/>
          <w:sz w:val="32"/>
          <w:szCs w:val="32"/>
        </w:rPr>
        <w:t>图5：财政拨款支出决算结构表（按功能分类）</w:t>
      </w:r>
    </w:p>
    <w:p w:rsidR="00D468D3" w:rsidRDefault="00D468D3">
      <w:pPr>
        <w:adjustRightInd w:val="0"/>
        <w:snapToGrid w:val="0"/>
        <w:spacing w:line="580" w:lineRule="exact"/>
        <w:ind w:leftChars="200" w:left="420"/>
        <w:rPr>
          <w:rFonts w:ascii="楷体_GB2312" w:eastAsia="楷体_GB2312" w:hAnsi="Times New Roman" w:cs="DengXian-Bold"/>
          <w:b/>
          <w:bCs/>
          <w:sz w:val="32"/>
          <w:szCs w:val="32"/>
        </w:rPr>
      </w:pPr>
    </w:p>
    <w:p w:rsidR="00D468D3" w:rsidRDefault="000A10F6">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2019 年度财政拨款基本支出</w:t>
      </w:r>
      <w:r w:rsidR="00F14AF4">
        <w:rPr>
          <w:rFonts w:ascii="仿宋_GB2312" w:eastAsia="仿宋_GB2312" w:hAnsi="Times New Roman" w:cs="DengXian-Regular" w:hint="eastAsia"/>
          <w:sz w:val="32"/>
          <w:szCs w:val="32"/>
        </w:rPr>
        <w:t>80.15</w:t>
      </w:r>
      <w:r>
        <w:rPr>
          <w:rFonts w:ascii="仿宋_GB2312" w:eastAsia="仿宋_GB2312" w:hAnsi="Times New Roman" w:cs="DengXian-Regular" w:hint="eastAsia"/>
          <w:sz w:val="32"/>
          <w:szCs w:val="32"/>
        </w:rPr>
        <w:t xml:space="preserve">万元，其中：人员经费 </w:t>
      </w:r>
      <w:r w:rsidR="00F14AF4">
        <w:rPr>
          <w:rFonts w:ascii="仿宋_GB2312" w:eastAsia="仿宋_GB2312" w:hAnsi="Times New Roman" w:cs="DengXian-Regular" w:hint="eastAsia"/>
          <w:sz w:val="32"/>
          <w:szCs w:val="32"/>
        </w:rPr>
        <w:t>73.43</w:t>
      </w:r>
      <w:r>
        <w:rPr>
          <w:rFonts w:ascii="仿宋_GB2312" w:eastAsia="仿宋_GB2312" w:hAnsi="Times New Roman" w:cs="DengXian-Regular" w:hint="eastAsia"/>
          <w:sz w:val="32"/>
          <w:szCs w:val="32"/>
        </w:rPr>
        <w:t xml:space="preserve">万元，主要包括基本工资、津贴补贴、奖金、绩效工资、机关事业单位基本养老保险缴费、职业年金缴费、职工基本医疗保险缴费、公务员医疗补助缴费、住房公积金、其他社会保障缴费、其他工资福利支出、退休费、生活补助、奖励金、其他对个人和家庭的补助支出；公用经费 </w:t>
      </w:r>
      <w:r w:rsidR="00F14AF4">
        <w:rPr>
          <w:rFonts w:ascii="仿宋_GB2312" w:eastAsia="仿宋_GB2312" w:hAnsi="Times New Roman" w:cs="DengXian-Regular" w:hint="eastAsia"/>
          <w:sz w:val="32"/>
          <w:szCs w:val="32"/>
        </w:rPr>
        <w:t>6.72</w:t>
      </w:r>
      <w:r>
        <w:rPr>
          <w:rFonts w:ascii="仿宋_GB2312" w:eastAsia="仿宋_GB2312" w:hAnsi="Times New Roman" w:cs="DengXian-Regular" w:hint="eastAsia"/>
          <w:sz w:val="32"/>
          <w:szCs w:val="32"/>
        </w:rPr>
        <w:t>万元，主要包括办公费、邮电费、取暖费、维修（护）费、劳务费、工会经费、福利费、</w:t>
      </w:r>
      <w:r w:rsidR="00F14AF4">
        <w:rPr>
          <w:rFonts w:ascii="仿宋_GB2312" w:eastAsia="仿宋_GB2312" w:hAnsi="Times New Roman" w:cs="DengXian-Regular" w:hint="eastAsia"/>
          <w:sz w:val="32"/>
          <w:szCs w:val="32"/>
        </w:rPr>
        <w:t>其他交通费用</w:t>
      </w:r>
      <w:r>
        <w:rPr>
          <w:rFonts w:ascii="仿宋_GB2312" w:eastAsia="仿宋_GB2312" w:hAnsi="Times New Roman" w:cs="DengXian-Regular" w:hint="eastAsia"/>
          <w:sz w:val="32"/>
          <w:szCs w:val="32"/>
        </w:rPr>
        <w:t>。</w:t>
      </w:r>
    </w:p>
    <w:p w:rsidR="00D468D3" w:rsidRDefault="000A10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万元，完成预算的</w:t>
      </w:r>
      <w:r w:rsidR="00220D42">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%,较预算增加</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6349CD">
        <w:rPr>
          <w:rFonts w:ascii="仿宋_GB2312" w:eastAsia="仿宋_GB2312" w:hAnsi="Times New Roman" w:cs="DengXian-Regular" w:hint="eastAsia"/>
          <w:sz w:val="32"/>
          <w:szCs w:val="32"/>
        </w:rPr>
        <w:t>，</w:t>
      </w:r>
      <w:r w:rsidR="009A37F9">
        <w:rPr>
          <w:rFonts w:ascii="仿宋_GB2312" w:eastAsia="仿宋_GB2312" w:hAnsi="Times New Roman" w:cs="DengXian-Regular" w:hint="eastAsia"/>
          <w:sz w:val="32"/>
          <w:szCs w:val="32"/>
        </w:rPr>
        <w:t>主要是</w:t>
      </w:r>
      <w:r w:rsidR="009A37F9" w:rsidRPr="00340F5E">
        <w:rPr>
          <w:rFonts w:ascii="仿宋_GB2312" w:eastAsia="仿宋_GB2312" w:hAnsi="Times New Roman" w:cs="DengXian-Regular" w:hint="eastAsia"/>
          <w:color w:val="000000"/>
          <w:sz w:val="32"/>
          <w:szCs w:val="32"/>
        </w:rPr>
        <w:t>未发生“</w:t>
      </w:r>
      <w:r w:rsidR="009A37F9">
        <w:rPr>
          <w:rFonts w:ascii="仿宋_GB2312" w:eastAsia="仿宋_GB2312" w:hAnsi="Times New Roman" w:cs="DengXian-Regular" w:hint="eastAsia"/>
          <w:sz w:val="32"/>
          <w:szCs w:val="32"/>
        </w:rPr>
        <w:t>三公</w:t>
      </w:r>
      <w:r w:rsidR="009A37F9" w:rsidRPr="00340F5E">
        <w:rPr>
          <w:rFonts w:ascii="仿宋_GB2312" w:eastAsia="仿宋_GB2312" w:hAnsi="Times New Roman" w:cs="DengXian-Regular" w:hint="eastAsia"/>
          <w:color w:val="000000"/>
          <w:sz w:val="32"/>
          <w:szCs w:val="32"/>
        </w:rPr>
        <w:t>”经费支出”、与年初预算持平</w:t>
      </w:r>
      <w:r>
        <w:rPr>
          <w:rFonts w:ascii="仿宋_GB2312" w:eastAsia="仿宋_GB2312" w:hAnsi="Times New Roman" w:cs="DengXian-Regular" w:hint="eastAsia"/>
          <w:sz w:val="32"/>
          <w:szCs w:val="32"/>
        </w:rPr>
        <w:t>；较2018年度增加</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6349CD">
        <w:rPr>
          <w:rFonts w:ascii="仿宋_GB2312" w:eastAsia="仿宋_GB2312" w:hAnsi="Times New Roman" w:cs="DengXian-Regular" w:hint="eastAsia"/>
          <w:sz w:val="32"/>
          <w:szCs w:val="32"/>
        </w:rPr>
        <w:t>，主要是</w:t>
      </w:r>
      <w:r w:rsidR="006349CD" w:rsidRPr="006349CD">
        <w:rPr>
          <w:rFonts w:ascii="仿宋_GB2312" w:eastAsia="仿宋_GB2312" w:hAnsi="Times New Roman" w:cs="DengXian-Regular" w:hint="eastAsia"/>
          <w:color w:val="000000"/>
          <w:sz w:val="32"/>
          <w:szCs w:val="32"/>
        </w:rPr>
        <w:t>与2018年度决算支出持平</w:t>
      </w:r>
      <w:r>
        <w:rPr>
          <w:rFonts w:ascii="仿宋_GB2312" w:eastAsia="仿宋_GB2312" w:hAnsi="Times New Roman" w:cs="DengXian-Regular" w:hint="eastAsia"/>
          <w:sz w:val="32"/>
          <w:szCs w:val="32"/>
        </w:rPr>
        <w:t>。具体情况如下：</w:t>
      </w:r>
    </w:p>
    <w:p w:rsidR="00D468D3" w:rsidRDefault="000A10F6">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sidR="00220D42">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本部门2019年度因公出国（境）团组</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人/参加其他单位组织的因公出国（境）团组</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人/无本单位组织的出国（境）团组。因公出国（境）费支出较预算增加</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220D42">
        <w:rPr>
          <w:rFonts w:ascii="仿宋_GB2312" w:eastAsia="仿宋_GB2312" w:hAnsi="Times New Roman" w:cs="DengXian-Regular" w:hint="eastAsia"/>
          <w:sz w:val="32"/>
          <w:szCs w:val="32"/>
        </w:rPr>
        <w:t>0%</w:t>
      </w:r>
      <w:r w:rsidR="006349CD">
        <w:rPr>
          <w:rFonts w:ascii="仿宋_GB2312" w:eastAsia="仿宋_GB2312" w:hAnsi="Times New Roman" w:cs="DengXian-Regular" w:hint="eastAsia"/>
          <w:sz w:val="32"/>
          <w:szCs w:val="32"/>
        </w:rPr>
        <w:t>，</w:t>
      </w:r>
      <w:r w:rsidR="000B5E3F">
        <w:rPr>
          <w:rFonts w:ascii="仿宋_GB2312" w:eastAsia="仿宋_GB2312" w:hAnsi="Times New Roman" w:cs="DengXian-Regular" w:hint="eastAsia"/>
          <w:sz w:val="32"/>
          <w:szCs w:val="32"/>
        </w:rPr>
        <w:t>主要是</w:t>
      </w:r>
      <w:r w:rsidR="000B5E3F" w:rsidRPr="00340F5E">
        <w:rPr>
          <w:rFonts w:ascii="仿宋_GB2312" w:eastAsia="仿宋_GB2312" w:hAnsi="Times New Roman" w:cs="DengXian-Regular" w:hint="eastAsia"/>
          <w:color w:val="000000"/>
          <w:sz w:val="32"/>
          <w:szCs w:val="32"/>
        </w:rPr>
        <w:t>未发生“</w:t>
      </w:r>
      <w:r w:rsidR="000B5E3F" w:rsidRPr="000B5E3F">
        <w:rPr>
          <w:rFonts w:ascii="楷体_GB2312" w:eastAsia="楷体_GB2312" w:hAnsi="Times New Roman" w:cs="DengXian-Bold" w:hint="eastAsia"/>
          <w:bCs/>
          <w:sz w:val="32"/>
          <w:szCs w:val="32"/>
        </w:rPr>
        <w:t>因公出国（境）费</w:t>
      </w:r>
      <w:r w:rsidR="000B5E3F" w:rsidRPr="00340F5E">
        <w:rPr>
          <w:rFonts w:ascii="仿宋_GB2312" w:eastAsia="仿宋_GB2312" w:hAnsi="Times New Roman" w:cs="DengXian-Regular" w:hint="eastAsia"/>
          <w:color w:val="000000"/>
          <w:sz w:val="32"/>
          <w:szCs w:val="32"/>
        </w:rPr>
        <w:t>”经费支出”、与年初预算持平</w:t>
      </w:r>
      <w:r>
        <w:rPr>
          <w:rFonts w:ascii="仿宋_GB2312" w:eastAsia="仿宋_GB2312" w:hAnsi="Times New Roman" w:cs="DengXian-Regular" w:hint="eastAsia"/>
          <w:sz w:val="32"/>
          <w:szCs w:val="32"/>
        </w:rPr>
        <w:t>；较上年增加</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220D42">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6349CD">
        <w:rPr>
          <w:rFonts w:ascii="仿宋_GB2312" w:eastAsia="仿宋_GB2312" w:hAnsi="Times New Roman" w:cs="DengXian-Regular" w:hint="eastAsia"/>
          <w:sz w:val="32"/>
          <w:szCs w:val="32"/>
        </w:rPr>
        <w:t>，主要是</w:t>
      </w:r>
      <w:r w:rsidR="006349CD" w:rsidRPr="006349CD">
        <w:rPr>
          <w:rFonts w:ascii="仿宋_GB2312" w:eastAsia="仿宋_GB2312" w:hAnsi="Times New Roman" w:cs="DengXian-Regular" w:hint="eastAsia"/>
          <w:color w:val="000000"/>
          <w:sz w:val="32"/>
          <w:szCs w:val="32"/>
        </w:rPr>
        <w:t>与2018年度决算支出持平</w:t>
      </w:r>
      <w:r>
        <w:rPr>
          <w:rFonts w:ascii="仿宋_GB2312" w:eastAsia="仿宋_GB2312" w:hAnsi="Times New Roman" w:cs="DengXian-Regular" w:hint="eastAsia"/>
          <w:sz w:val="32"/>
          <w:szCs w:val="32"/>
        </w:rPr>
        <w:t>。</w:t>
      </w:r>
    </w:p>
    <w:p w:rsidR="00D468D3" w:rsidRDefault="000A10F6">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sidR="00220D42">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本部门2019年度公务用车购置及运行维护费较预算减少</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sidR="006349CD">
        <w:rPr>
          <w:rFonts w:ascii="仿宋_GB2312" w:eastAsia="仿宋_GB2312" w:hAnsi="Times New Roman" w:cs="DengXian-Regular" w:hint="eastAsia"/>
          <w:sz w:val="32"/>
          <w:szCs w:val="32"/>
        </w:rPr>
        <w:t>0%，</w:t>
      </w:r>
      <w:r w:rsidR="000B5E3F">
        <w:rPr>
          <w:rFonts w:ascii="仿宋_GB2312" w:eastAsia="仿宋_GB2312" w:hAnsi="Times New Roman" w:cs="DengXian-Regular" w:hint="eastAsia"/>
          <w:sz w:val="32"/>
          <w:szCs w:val="32"/>
        </w:rPr>
        <w:lastRenderedPageBreak/>
        <w:t>主要是</w:t>
      </w:r>
      <w:r w:rsidR="000B5E3F" w:rsidRPr="00340F5E">
        <w:rPr>
          <w:rFonts w:ascii="仿宋_GB2312" w:eastAsia="仿宋_GB2312" w:hAnsi="Times New Roman" w:cs="DengXian-Regular" w:hint="eastAsia"/>
          <w:color w:val="000000"/>
          <w:sz w:val="32"/>
          <w:szCs w:val="32"/>
        </w:rPr>
        <w:t>未发生“</w:t>
      </w:r>
      <w:r w:rsidR="000B5E3F" w:rsidRPr="00340F5E">
        <w:rPr>
          <w:rFonts w:ascii="仿宋_GB2312" w:eastAsia="仿宋_GB2312" w:hAnsi="Times New Roman" w:cs="DengXian-Regular" w:hint="eastAsia"/>
          <w:sz w:val="32"/>
          <w:szCs w:val="32"/>
        </w:rPr>
        <w:t>公务用车</w:t>
      </w:r>
      <w:r w:rsidR="000B5E3F">
        <w:rPr>
          <w:rFonts w:ascii="仿宋_GB2312" w:eastAsia="仿宋_GB2312" w:hAnsi="Times New Roman" w:cs="DengXian-Regular" w:hint="eastAsia"/>
          <w:sz w:val="32"/>
          <w:szCs w:val="32"/>
        </w:rPr>
        <w:t>购置及运行维护</w:t>
      </w:r>
      <w:r w:rsidR="000B5E3F" w:rsidRPr="00340F5E">
        <w:rPr>
          <w:rFonts w:ascii="仿宋_GB2312" w:eastAsia="仿宋_GB2312" w:hAnsi="Times New Roman" w:cs="DengXian-Regular" w:hint="eastAsia"/>
          <w:color w:val="000000"/>
          <w:sz w:val="32"/>
          <w:szCs w:val="32"/>
        </w:rPr>
        <w:t>”经费支出”、与年初预算持平</w:t>
      </w:r>
      <w:r>
        <w:rPr>
          <w:rFonts w:ascii="仿宋_GB2312" w:eastAsia="仿宋_GB2312" w:hAnsi="Times New Roman" w:cs="DengXian-Regular" w:hint="eastAsia"/>
          <w:sz w:val="32"/>
          <w:szCs w:val="32"/>
        </w:rPr>
        <w:t>；较上年减少</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6349CD">
        <w:rPr>
          <w:rFonts w:ascii="仿宋_GB2312" w:eastAsia="仿宋_GB2312" w:hAnsi="Times New Roman" w:cs="DengXian-Regular" w:hint="eastAsia"/>
          <w:sz w:val="32"/>
          <w:szCs w:val="32"/>
        </w:rPr>
        <w:t>，主要是</w:t>
      </w:r>
      <w:r w:rsidR="006349CD" w:rsidRPr="006349CD">
        <w:rPr>
          <w:rFonts w:ascii="仿宋_GB2312" w:eastAsia="仿宋_GB2312" w:hAnsi="Times New Roman" w:cs="DengXian-Regular" w:hint="eastAsia"/>
          <w:color w:val="000000"/>
          <w:sz w:val="32"/>
          <w:szCs w:val="32"/>
        </w:rPr>
        <w:t>与2018年度决算支出持平</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D468D3" w:rsidRDefault="000A10F6">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万元。公务用车购置费支出较预算增加</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6349CD">
        <w:rPr>
          <w:rFonts w:ascii="仿宋_GB2312" w:eastAsia="仿宋_GB2312" w:hAnsi="Times New Roman" w:cs="DengXian-Regular" w:hint="eastAsia"/>
          <w:sz w:val="32"/>
          <w:szCs w:val="32"/>
        </w:rPr>
        <w:t>，</w:t>
      </w:r>
      <w:r w:rsidR="000B5E3F">
        <w:rPr>
          <w:rFonts w:ascii="仿宋_GB2312" w:eastAsia="仿宋_GB2312" w:hAnsi="Times New Roman" w:cs="DengXian-Regular" w:hint="eastAsia"/>
          <w:sz w:val="32"/>
          <w:szCs w:val="32"/>
        </w:rPr>
        <w:t>主要是</w:t>
      </w:r>
      <w:r w:rsidR="000B5E3F" w:rsidRPr="00340F5E">
        <w:rPr>
          <w:rFonts w:ascii="仿宋_GB2312" w:eastAsia="仿宋_GB2312" w:hAnsi="Times New Roman" w:cs="DengXian-Regular" w:hint="eastAsia"/>
          <w:color w:val="000000"/>
          <w:sz w:val="32"/>
          <w:szCs w:val="32"/>
        </w:rPr>
        <w:t>未发生“</w:t>
      </w:r>
      <w:r w:rsidR="000B5E3F" w:rsidRPr="00340F5E">
        <w:rPr>
          <w:rFonts w:ascii="仿宋_GB2312" w:eastAsia="仿宋_GB2312" w:hAnsi="Times New Roman" w:cs="DengXian-Regular" w:hint="eastAsia"/>
          <w:sz w:val="32"/>
          <w:szCs w:val="32"/>
        </w:rPr>
        <w:t>公务用车</w:t>
      </w:r>
      <w:r w:rsidR="000B5E3F">
        <w:rPr>
          <w:rFonts w:ascii="仿宋_GB2312" w:eastAsia="仿宋_GB2312" w:hAnsi="Times New Roman" w:cs="DengXian-Regular" w:hint="eastAsia"/>
          <w:sz w:val="32"/>
          <w:szCs w:val="32"/>
        </w:rPr>
        <w:t>购置</w:t>
      </w:r>
      <w:r w:rsidR="000B5E3F" w:rsidRPr="00340F5E">
        <w:rPr>
          <w:rFonts w:ascii="仿宋_GB2312" w:eastAsia="仿宋_GB2312" w:hAnsi="Times New Roman" w:cs="DengXian-Regular" w:hint="eastAsia"/>
          <w:color w:val="000000"/>
          <w:sz w:val="32"/>
          <w:szCs w:val="32"/>
        </w:rPr>
        <w:t>”经费支出”、与年初预算持平</w:t>
      </w:r>
      <w:r>
        <w:rPr>
          <w:rFonts w:ascii="仿宋_GB2312" w:eastAsia="仿宋_GB2312" w:hAnsi="Times New Roman" w:cs="DengXian-Regular" w:hint="eastAsia"/>
          <w:sz w:val="32"/>
          <w:szCs w:val="32"/>
        </w:rPr>
        <w:t>；较上年增加</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6349C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6349CD">
        <w:rPr>
          <w:rFonts w:ascii="仿宋_GB2312" w:eastAsia="仿宋_GB2312" w:hAnsi="Times New Roman" w:cs="DengXian-Regular" w:hint="eastAsia"/>
          <w:sz w:val="32"/>
          <w:szCs w:val="32"/>
        </w:rPr>
        <w:t>，主要是</w:t>
      </w:r>
      <w:r w:rsidR="006349CD" w:rsidRPr="006349CD">
        <w:rPr>
          <w:rFonts w:ascii="仿宋_GB2312" w:eastAsia="仿宋_GB2312" w:hAnsi="Times New Roman" w:cs="DengXian-Regular" w:hint="eastAsia"/>
          <w:color w:val="000000"/>
          <w:sz w:val="32"/>
          <w:szCs w:val="32"/>
        </w:rPr>
        <w:t>与2018年度决算支出持平</w:t>
      </w:r>
      <w:r>
        <w:rPr>
          <w:rFonts w:ascii="仿宋_GB2312" w:eastAsia="仿宋_GB2312" w:hAnsi="Times New Roman" w:cs="DengXian-Regular" w:hint="eastAsia"/>
          <w:sz w:val="32"/>
          <w:szCs w:val="32"/>
        </w:rPr>
        <w:t>。</w:t>
      </w:r>
    </w:p>
    <w:p w:rsidR="00D468D3" w:rsidRDefault="000A10F6">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w:t>
      </w:r>
      <w:r w:rsidR="00340F5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辆。公车运行维护费支出较预算增加</w:t>
      </w:r>
      <w:r w:rsidR="00340F5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340F5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340F5E" w:rsidRPr="00340F5E">
        <w:rPr>
          <w:rFonts w:ascii="仿宋_GB2312" w:eastAsia="仿宋_GB2312" w:hAnsi="Times New Roman" w:cs="DengXian-Regular" w:hint="eastAsia"/>
          <w:color w:val="000000"/>
          <w:sz w:val="32"/>
          <w:szCs w:val="32"/>
        </w:rPr>
        <w:t>未发生“</w:t>
      </w:r>
      <w:r w:rsidR="00340F5E" w:rsidRPr="00340F5E">
        <w:rPr>
          <w:rFonts w:ascii="仿宋_GB2312" w:eastAsia="仿宋_GB2312" w:hAnsi="Times New Roman" w:cs="DengXian-Regular" w:hint="eastAsia"/>
          <w:sz w:val="32"/>
          <w:szCs w:val="32"/>
        </w:rPr>
        <w:t>公务用车运行维护</w:t>
      </w:r>
      <w:r w:rsidR="00340F5E" w:rsidRPr="000B5E3F">
        <w:rPr>
          <w:rFonts w:ascii="仿宋_GB2312" w:eastAsia="仿宋_GB2312" w:hAnsi="Times New Roman" w:cs="DengXian-Regular" w:hint="eastAsia"/>
          <w:sz w:val="32"/>
          <w:szCs w:val="32"/>
        </w:rPr>
        <w:t>费</w:t>
      </w:r>
      <w:r w:rsidR="00340F5E" w:rsidRPr="00340F5E">
        <w:rPr>
          <w:rFonts w:ascii="仿宋_GB2312" w:eastAsia="仿宋_GB2312" w:hAnsi="Times New Roman" w:cs="DengXian-Regular" w:hint="eastAsia"/>
          <w:color w:val="000000"/>
          <w:sz w:val="32"/>
          <w:szCs w:val="32"/>
        </w:rPr>
        <w:t>”经费支出”、与年初预算持平</w:t>
      </w:r>
      <w:r>
        <w:rPr>
          <w:rFonts w:ascii="仿宋_GB2312" w:eastAsia="仿宋_GB2312" w:hAnsi="Times New Roman" w:cs="DengXian-Regular" w:hint="eastAsia"/>
          <w:sz w:val="32"/>
          <w:szCs w:val="32"/>
        </w:rPr>
        <w:t>；较上年增加</w:t>
      </w:r>
      <w:r w:rsidR="00340F5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340F5E">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340F5E" w:rsidRPr="00340F5E">
        <w:rPr>
          <w:rFonts w:ascii="仿宋_GB2312" w:eastAsia="仿宋_GB2312" w:hAnsi="Times New Roman" w:cs="DengXian-Regular" w:hint="eastAsia"/>
          <w:color w:val="000000"/>
          <w:sz w:val="32"/>
          <w:szCs w:val="32"/>
        </w:rPr>
        <w:t>与2018年度决算支出持平</w:t>
      </w:r>
      <w:r>
        <w:rPr>
          <w:rFonts w:ascii="仿宋_GB2312" w:eastAsia="仿宋_GB2312" w:hAnsi="Times New Roman" w:cs="DengXian-Regular" w:hint="eastAsia"/>
          <w:sz w:val="32"/>
          <w:szCs w:val="32"/>
        </w:rPr>
        <w:t>。</w:t>
      </w:r>
    </w:p>
    <w:p w:rsidR="00D468D3" w:rsidRDefault="000A10F6">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sidR="000B5E3F">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本部门2019年度公务接待共</w:t>
      </w:r>
      <w:r w:rsidR="00D3668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sidR="00D3668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人次。公务接待费支出较预算减少</w:t>
      </w:r>
      <w:r w:rsidR="00D3668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sidR="00D3668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D36688">
        <w:rPr>
          <w:rFonts w:ascii="仿宋_GB2312" w:eastAsia="仿宋_GB2312" w:hAnsi="Times New Roman" w:cs="DengXian-Regular" w:hint="eastAsia"/>
          <w:sz w:val="32"/>
          <w:szCs w:val="32"/>
        </w:rPr>
        <w:t>主要是</w:t>
      </w:r>
      <w:r w:rsidR="00D36688" w:rsidRPr="00340F5E">
        <w:rPr>
          <w:rFonts w:ascii="仿宋_GB2312" w:eastAsia="仿宋_GB2312" w:hAnsi="Times New Roman" w:cs="DengXian-Regular" w:hint="eastAsia"/>
          <w:color w:val="000000"/>
          <w:sz w:val="32"/>
          <w:szCs w:val="32"/>
        </w:rPr>
        <w:t>未发生“</w:t>
      </w:r>
      <w:r w:rsidR="00D36688" w:rsidRPr="00D36688">
        <w:rPr>
          <w:rFonts w:ascii="楷体_GB2312" w:eastAsia="楷体_GB2312" w:hAnsi="Times New Roman" w:cs="DengXian-Bold" w:hint="eastAsia"/>
          <w:bCs/>
          <w:sz w:val="32"/>
          <w:szCs w:val="32"/>
        </w:rPr>
        <w:t>公务接待费</w:t>
      </w:r>
      <w:r w:rsidR="00D36688" w:rsidRPr="00340F5E">
        <w:rPr>
          <w:rFonts w:ascii="仿宋_GB2312" w:eastAsia="仿宋_GB2312" w:hAnsi="Times New Roman" w:cs="DengXian-Regular" w:hint="eastAsia"/>
          <w:color w:val="000000"/>
          <w:sz w:val="32"/>
          <w:szCs w:val="32"/>
        </w:rPr>
        <w:t>”经费支出、与年初预算持平</w:t>
      </w:r>
      <w:r>
        <w:rPr>
          <w:rFonts w:ascii="仿宋_GB2312" w:eastAsia="仿宋_GB2312" w:hAnsi="Times New Roman" w:cs="DengXian-Regular" w:hint="eastAsia"/>
          <w:sz w:val="32"/>
          <w:szCs w:val="32"/>
        </w:rPr>
        <w:t>；较上年度减少</w:t>
      </w:r>
      <w:r w:rsidR="00D3668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sidR="00D36688">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D36688" w:rsidRPr="00D36688">
        <w:rPr>
          <w:rFonts w:ascii="仿宋_GB2312" w:eastAsia="仿宋_GB2312" w:hAnsi="Times New Roman" w:cs="DengXian-Regular" w:hint="eastAsia"/>
          <w:color w:val="000000"/>
          <w:sz w:val="32"/>
          <w:szCs w:val="32"/>
        </w:rPr>
        <w:t>与2018年度决算支出持平</w:t>
      </w:r>
      <w:r>
        <w:rPr>
          <w:rFonts w:ascii="仿宋_GB2312" w:eastAsia="仿宋_GB2312" w:hAnsi="Times New Roman" w:cs="DengXian-Regular" w:hint="eastAsia"/>
          <w:sz w:val="32"/>
          <w:szCs w:val="32"/>
        </w:rPr>
        <w:t>。</w:t>
      </w:r>
    </w:p>
    <w:p w:rsidR="00D468D3" w:rsidRDefault="000A10F6">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D468D3" w:rsidRDefault="000A10F6">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D468D3" w:rsidRDefault="000A10F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w:t>
      </w:r>
      <w:r w:rsidR="00325DEA">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个，二级项目</w:t>
      </w:r>
      <w:r w:rsidR="00325DEA">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个，共涉及资金</w:t>
      </w:r>
      <w:r w:rsidR="00325DEA">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万元，占一般公共预算项目支出总额的</w:t>
      </w:r>
      <w:r w:rsidR="00325DEA">
        <w:rPr>
          <w:rFonts w:ascii="仿宋_GB2312" w:eastAsia="仿宋_GB2312" w:hAnsi="仿宋_GB2312" w:cs="仿宋_GB2312" w:hint="eastAsia"/>
          <w:sz w:val="32"/>
          <w:szCs w:val="32"/>
        </w:rPr>
        <w:lastRenderedPageBreak/>
        <w:t>0%</w:t>
      </w:r>
      <w:r>
        <w:rPr>
          <w:rFonts w:ascii="仿宋_GB2312" w:eastAsia="仿宋_GB2312" w:hAnsi="仿宋_GB2312" w:cs="仿宋_GB2312" w:hint="eastAsia"/>
          <w:sz w:val="32"/>
          <w:szCs w:val="32"/>
        </w:rPr>
        <w:t>。涉及一般公共预算支出</w:t>
      </w:r>
      <w:r w:rsidR="00325DEA">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万元，政府性基金预算支出</w:t>
      </w:r>
      <w:r w:rsidR="00325DEA">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p>
    <w:p w:rsidR="00D468D3" w:rsidRDefault="000A10F6">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FE6212" w:rsidRDefault="00FE6212">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区划中心2019年度无项目。</w:t>
      </w:r>
    </w:p>
    <w:p w:rsidR="00D468D3" w:rsidRDefault="000A10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D468D3" w:rsidRDefault="000A10F6">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EF5C73" w:rsidRDefault="00EF5C73" w:rsidP="00EF5C73">
      <w:pPr>
        <w:keepNext/>
        <w:keepLines/>
        <w:snapToGrid w:val="0"/>
        <w:spacing w:line="580" w:lineRule="exact"/>
        <w:ind w:firstLineChars="200" w:firstLine="640"/>
        <w:outlineLvl w:val="2"/>
        <w:rPr>
          <w:rFonts w:ascii="仿宋_GB2312" w:eastAsia="仿宋_GB2312" w:cs="DengXian-Regular"/>
          <w:sz w:val="32"/>
          <w:szCs w:val="32"/>
        </w:rPr>
      </w:pPr>
      <w:r w:rsidRPr="00771656">
        <w:rPr>
          <w:rFonts w:ascii="仿宋_GB2312" w:eastAsia="仿宋_GB2312" w:cs="DengXian-Regular" w:hint="eastAsia"/>
          <w:sz w:val="32"/>
          <w:szCs w:val="32"/>
        </w:rPr>
        <w:t>本单位是事业单位，无机关运行费用。</w:t>
      </w:r>
    </w:p>
    <w:p w:rsidR="00D468D3" w:rsidRDefault="000A10F6" w:rsidP="00EF5C73">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D468D3" w:rsidRDefault="000A10F6">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w:t>
      </w:r>
      <w:r w:rsidR="000E0714">
        <w:rPr>
          <w:rFonts w:ascii="仿宋_GB2312" w:eastAsia="仿宋_GB2312" w:hAnsi="Times New Roman" w:cs="DengXian-Regular" w:hint="eastAsia"/>
          <w:sz w:val="32"/>
          <w:szCs w:val="32"/>
        </w:rPr>
        <w:t>0.97</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sidR="000E0714">
        <w:rPr>
          <w:rFonts w:ascii="仿宋_GB2312" w:eastAsia="仿宋_GB2312" w:hAnsi="仿宋_GB2312" w:cs="仿宋_GB2312" w:hint="eastAsia"/>
          <w:color w:val="000000"/>
          <w:kern w:val="0"/>
          <w:sz w:val="32"/>
          <w:szCs w:val="32"/>
        </w:rPr>
        <w:t>0.61</w:t>
      </w:r>
      <w:r>
        <w:rPr>
          <w:rFonts w:ascii="仿宋_GB2312" w:eastAsia="仿宋_GB2312" w:hAnsi="仿宋_GB2312" w:cs="仿宋_GB2312"/>
          <w:color w:val="000000"/>
          <w:kern w:val="0"/>
          <w:sz w:val="32"/>
          <w:szCs w:val="32"/>
        </w:rPr>
        <w:t xml:space="preserve"> 万元、政府采购工程支出</w:t>
      </w:r>
      <w:r w:rsidR="00EF5C73">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sidR="000E0714">
        <w:rPr>
          <w:rFonts w:ascii="仿宋_GB2312" w:eastAsia="仿宋_GB2312" w:hAnsi="仿宋_GB2312" w:cs="仿宋_GB2312" w:hint="eastAsia"/>
          <w:color w:val="000000"/>
          <w:kern w:val="0"/>
          <w:sz w:val="32"/>
          <w:szCs w:val="32"/>
        </w:rPr>
        <w:t>0.36</w:t>
      </w:r>
      <w:r>
        <w:rPr>
          <w:rFonts w:ascii="仿宋_GB2312" w:eastAsia="仿宋_GB2312" w:hAnsi="仿宋_GB2312" w:cs="仿宋_GB2312"/>
          <w:color w:val="000000"/>
          <w:kern w:val="0"/>
          <w:sz w:val="32"/>
          <w:szCs w:val="32"/>
        </w:rPr>
        <w:t>万元。授予中小企业合同金</w:t>
      </w:r>
      <w:r w:rsidR="00EF5C73">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sidR="00EF5C73">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sidR="000E0714">
        <w:rPr>
          <w:rFonts w:ascii="仿宋_GB2312" w:eastAsia="仿宋_GB2312" w:hAnsi="仿宋_GB2312" w:cs="仿宋_GB2312" w:hint="eastAsia"/>
          <w:color w:val="000000"/>
          <w:kern w:val="0"/>
          <w:sz w:val="32"/>
          <w:szCs w:val="32"/>
        </w:rPr>
        <w:t>0.61</w:t>
      </w:r>
      <w:r>
        <w:rPr>
          <w:rFonts w:ascii="仿宋_GB2312" w:eastAsia="仿宋_GB2312" w:hAnsi="仿宋_GB2312" w:cs="仿宋_GB2312"/>
          <w:color w:val="000000"/>
          <w:kern w:val="0"/>
          <w:sz w:val="32"/>
          <w:szCs w:val="32"/>
        </w:rPr>
        <w:t>万元，占政府采购支出总额的</w:t>
      </w:r>
      <w:r w:rsidR="000E0714">
        <w:rPr>
          <w:rFonts w:ascii="仿宋_GB2312" w:eastAsia="仿宋_GB2312" w:hAnsi="仿宋_GB2312" w:cs="仿宋_GB2312" w:hint="eastAsia"/>
          <w:color w:val="000000"/>
          <w:kern w:val="0"/>
          <w:sz w:val="32"/>
          <w:szCs w:val="32"/>
        </w:rPr>
        <w:t>62.89</w:t>
      </w:r>
      <w:r>
        <w:rPr>
          <w:rFonts w:ascii="仿宋_GB2312" w:eastAsia="仿宋_GB2312" w:hAnsi="仿宋_GB2312" w:cs="仿宋_GB2312"/>
          <w:color w:val="000000"/>
          <w:kern w:val="0"/>
          <w:sz w:val="32"/>
          <w:szCs w:val="32"/>
        </w:rPr>
        <w:t>%。</w:t>
      </w:r>
    </w:p>
    <w:p w:rsidR="00D468D3" w:rsidRDefault="000A10F6">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辆，比上年增加</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辆，主要是</w:t>
      </w:r>
      <w:r w:rsidR="00012E69">
        <w:rPr>
          <w:rFonts w:ascii="仿宋_GB2312" w:eastAsia="仿宋_GB2312" w:hAnsi="Times New Roman" w:cs="DengXian-Regular" w:hint="eastAsia"/>
          <w:sz w:val="32"/>
          <w:szCs w:val="32"/>
        </w:rPr>
        <w:t>2018年度车辆为0</w:t>
      </w:r>
      <w:r w:rsidR="006E459A">
        <w:rPr>
          <w:rFonts w:ascii="仿宋_GB2312" w:eastAsia="仿宋_GB2312" w:hAnsi="Times New Roman" w:cs="DengXian-Regular" w:hint="eastAsia"/>
          <w:sz w:val="32"/>
          <w:szCs w:val="32"/>
        </w:rPr>
        <w:t>，与上年持平</w:t>
      </w:r>
      <w:r>
        <w:rPr>
          <w:rFonts w:ascii="仿宋_GB2312" w:eastAsia="仿宋_GB2312" w:hAnsi="Times New Roman" w:cs="DengXian-Regular" w:hint="eastAsia"/>
          <w:sz w:val="32"/>
          <w:szCs w:val="32"/>
        </w:rPr>
        <w:t>。其中，副部（省）级及以上领导用车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sidR="00012E69">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r w:rsidR="00012E69">
        <w:rPr>
          <w:rFonts w:ascii="仿宋_GB2312" w:eastAsia="仿宋_GB2312" w:hAnsi="Times New Roman" w:cs="DengXian-Regular" w:hint="eastAsia"/>
          <w:sz w:val="32"/>
          <w:szCs w:val="32"/>
        </w:rPr>
        <w:t>。</w:t>
      </w:r>
    </w:p>
    <w:p w:rsidR="00D468D3" w:rsidRDefault="000A10F6">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sidR="006E459A">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sidR="006E459A">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套，主要是</w:t>
      </w:r>
      <w:r w:rsidR="006E459A">
        <w:rPr>
          <w:rFonts w:ascii="仿宋_GB2312" w:eastAsia="仿宋_GB2312" w:hAnsi="Times New Roman" w:cs="DengXian-Regular" w:hint="eastAsia"/>
          <w:sz w:val="32"/>
          <w:szCs w:val="32"/>
        </w:rPr>
        <w:t>2018年度</w:t>
      </w:r>
      <w:r w:rsidR="00ED0BFB">
        <w:rPr>
          <w:rFonts w:ascii="仿宋_GB2312" w:eastAsia="仿宋_GB2312" w:hAnsi="Times New Roman" w:cs="DengXian-Regular" w:hint="eastAsia"/>
          <w:sz w:val="32"/>
          <w:szCs w:val="32"/>
        </w:rPr>
        <w:t>价值</w:t>
      </w:r>
      <w:r w:rsidR="00ED0BFB">
        <w:rPr>
          <w:rFonts w:ascii="仿宋_GB2312" w:eastAsia="仿宋_GB2312" w:hAnsi="TimesNewRomanPSMT" w:cs="TimesNewRomanPSMT" w:hint="eastAsia"/>
          <w:sz w:val="32"/>
          <w:szCs w:val="32"/>
        </w:rPr>
        <w:t>50</w:t>
      </w:r>
      <w:r w:rsidR="00ED0BFB">
        <w:rPr>
          <w:rFonts w:ascii="仿宋_GB2312" w:eastAsia="仿宋_GB2312" w:hAnsi="Times New Roman" w:cs="DengXian-Regular" w:hint="eastAsia"/>
          <w:sz w:val="32"/>
          <w:szCs w:val="32"/>
        </w:rPr>
        <w:t>万元以上</w:t>
      </w:r>
      <w:r w:rsidR="006E459A">
        <w:rPr>
          <w:rFonts w:ascii="仿宋_GB2312" w:eastAsia="仿宋_GB2312" w:hAnsi="Times New Roman" w:cs="DengXian-Regular" w:hint="eastAsia"/>
          <w:sz w:val="32"/>
          <w:szCs w:val="32"/>
        </w:rPr>
        <w:t>设备为0台，与上年持平</w:t>
      </w:r>
      <w:r>
        <w:rPr>
          <w:rFonts w:ascii="仿宋_GB2312" w:eastAsia="仿宋_GB2312" w:hAnsi="Times New Roman" w:cs="DengXian-Regular" w:hint="eastAsia"/>
          <w:sz w:val="32"/>
          <w:szCs w:val="32"/>
        </w:rPr>
        <w:t xml:space="preserve"> </w:t>
      </w:r>
      <w:r w:rsidR="00ED0BFB">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sidR="006E459A">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sidR="006E459A">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w:t>
      </w:r>
      <w:r>
        <w:rPr>
          <w:rFonts w:ascii="仿宋_GB2312" w:eastAsia="仿宋_GB2312" w:hAnsi="Times New Roman" w:cs="DengXian-Regular" w:hint="eastAsia"/>
          <w:sz w:val="32"/>
          <w:szCs w:val="32"/>
        </w:rPr>
        <w:lastRenderedPageBreak/>
        <w:t>要是</w:t>
      </w:r>
      <w:r w:rsidR="006E459A">
        <w:rPr>
          <w:rFonts w:ascii="仿宋_GB2312" w:eastAsia="仿宋_GB2312" w:hAnsi="Times New Roman" w:cs="DengXian-Regular" w:hint="eastAsia"/>
          <w:sz w:val="32"/>
          <w:szCs w:val="32"/>
        </w:rPr>
        <w:t>2018年度</w:t>
      </w:r>
      <w:r w:rsidR="00ED0BFB">
        <w:rPr>
          <w:rFonts w:ascii="仿宋_GB2312" w:eastAsia="仿宋_GB2312" w:hAnsi="Times New Roman" w:cs="DengXian-Regular" w:hint="eastAsia"/>
          <w:sz w:val="32"/>
          <w:szCs w:val="32"/>
        </w:rPr>
        <w:t>价值</w:t>
      </w:r>
      <w:r w:rsidR="00ED0BFB">
        <w:rPr>
          <w:rFonts w:ascii="仿宋_GB2312" w:eastAsia="仿宋_GB2312" w:hAnsi="TimesNewRomanPSMT" w:cs="TimesNewRomanPSMT" w:hint="eastAsia"/>
          <w:sz w:val="32"/>
          <w:szCs w:val="32"/>
        </w:rPr>
        <w:t>100</w:t>
      </w:r>
      <w:r w:rsidR="00ED0BFB">
        <w:rPr>
          <w:rFonts w:ascii="仿宋_GB2312" w:eastAsia="仿宋_GB2312" w:hAnsi="Times New Roman" w:cs="DengXian-Regular" w:hint="eastAsia"/>
          <w:sz w:val="32"/>
          <w:szCs w:val="32"/>
        </w:rPr>
        <w:t>万元以上</w:t>
      </w:r>
      <w:r w:rsidR="006E459A">
        <w:rPr>
          <w:rFonts w:ascii="仿宋_GB2312" w:eastAsia="仿宋_GB2312" w:hAnsi="Times New Roman" w:cs="DengXian-Regular" w:hint="eastAsia"/>
          <w:sz w:val="32"/>
          <w:szCs w:val="32"/>
        </w:rPr>
        <w:t>设备为0台，与上年持平</w:t>
      </w:r>
      <w:r>
        <w:rPr>
          <w:rFonts w:ascii="仿宋_GB2312" w:eastAsia="仿宋_GB2312" w:hAnsi="Times New Roman" w:cs="DengXian-Regular" w:hint="eastAsia"/>
          <w:sz w:val="32"/>
          <w:szCs w:val="32"/>
        </w:rPr>
        <w:t>。</w:t>
      </w:r>
    </w:p>
    <w:p w:rsidR="00D468D3" w:rsidRDefault="000A10F6">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D468D3" w:rsidRPr="00B168D8"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w:t>
      </w:r>
      <w:r w:rsidR="006B7896">
        <w:rPr>
          <w:rFonts w:ascii="仿宋_GB2312" w:eastAsia="仿宋_GB2312" w:hAnsi="Times New Roman" w:cs="DengXian-Regular" w:hint="eastAsia"/>
          <w:sz w:val="32"/>
          <w:szCs w:val="32"/>
        </w:rPr>
        <w:t>，</w:t>
      </w:r>
      <w:r w:rsidR="006B7896" w:rsidRPr="00B168D8">
        <w:rPr>
          <w:rFonts w:ascii="仿宋_GB2312" w:eastAsia="仿宋_GB2312" w:hAnsi="Times New Roman" w:cs="DengXian-Regular" w:hint="eastAsia"/>
          <w:sz w:val="32"/>
          <w:szCs w:val="32"/>
        </w:rPr>
        <w:t>一般公共预算财政拨款“三公”经费支出决算表</w:t>
      </w:r>
      <w:r w:rsidR="006B7896">
        <w:rPr>
          <w:rFonts w:ascii="仿宋_GB2312" w:eastAsia="仿宋_GB2312" w:hAnsi="Times New Roman" w:cs="DengXian-Regular" w:hint="eastAsia"/>
          <w:sz w:val="32"/>
          <w:szCs w:val="32"/>
        </w:rPr>
        <w:t>，</w:t>
      </w:r>
      <w:r w:rsidR="006B7896" w:rsidRPr="00B168D8">
        <w:rPr>
          <w:rFonts w:ascii="仿宋_GB2312" w:eastAsia="仿宋_GB2312" w:hAnsi="Times New Roman" w:cs="DengXian-Regular" w:hint="eastAsia"/>
          <w:sz w:val="32"/>
          <w:szCs w:val="32"/>
        </w:rPr>
        <w:t>政府性基金预算财政拨款收入支出决算表</w:t>
      </w:r>
      <w:r w:rsidR="006B7896">
        <w:rPr>
          <w:rFonts w:ascii="仿宋_GB2312" w:eastAsia="仿宋_GB2312" w:hAnsi="Times New Roman" w:cs="DengXian-Regular" w:hint="eastAsia"/>
          <w:sz w:val="32"/>
          <w:szCs w:val="32"/>
        </w:rPr>
        <w:t>，</w:t>
      </w:r>
      <w:r w:rsidR="006B7896" w:rsidRPr="00B168D8">
        <w:rPr>
          <w:rFonts w:ascii="仿宋_GB2312" w:eastAsia="仿宋_GB2312" w:hAnsi="Times New Roman" w:cs="DengXian-Regular" w:hint="eastAsia"/>
          <w:sz w:val="32"/>
          <w:szCs w:val="32"/>
        </w:rPr>
        <w:t>国有资本经营预算财政拨款支出决算表</w:t>
      </w:r>
      <w:r w:rsidR="006B7896">
        <w:rPr>
          <w:rFonts w:ascii="仿宋_GB2312" w:eastAsia="仿宋_GB2312" w:hAnsi="Times New Roman" w:cs="DengXian-Regular" w:hint="eastAsia"/>
          <w:sz w:val="32"/>
          <w:szCs w:val="32"/>
        </w:rPr>
        <w:t>，均</w:t>
      </w:r>
      <w:r>
        <w:rPr>
          <w:rFonts w:ascii="仿宋_GB2312" w:eastAsia="仿宋_GB2312" w:hAnsi="Times New Roman" w:cs="DengXian-Regular" w:hint="eastAsia"/>
          <w:sz w:val="32"/>
          <w:szCs w:val="32"/>
        </w:rPr>
        <w:t>无收支及结转结余情况，故以空表列示。</w:t>
      </w:r>
    </w:p>
    <w:p w:rsidR="00D468D3" w:rsidRDefault="000A10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D468D3" w:rsidRDefault="00D468D3">
      <w:pPr>
        <w:widowControl/>
        <w:spacing w:line="580" w:lineRule="exact"/>
        <w:ind w:firstLineChars="200" w:firstLine="883"/>
        <w:jc w:val="left"/>
        <w:rPr>
          <w:rFonts w:ascii="宋体" w:eastAsia="宋体" w:hAnsi="宋体" w:cs="MS-UIGothic,Bold"/>
          <w:b/>
          <w:bCs/>
          <w:kern w:val="0"/>
          <w:sz w:val="44"/>
          <w:szCs w:val="44"/>
        </w:rPr>
        <w:sectPr w:rsidR="00D468D3">
          <w:type w:val="continuous"/>
          <w:pgSz w:w="11906" w:h="16838"/>
          <w:pgMar w:top="2098" w:right="1474" w:bottom="1984" w:left="1588" w:header="851" w:footer="992" w:gutter="0"/>
          <w:pgNumType w:fmt="numberInDash"/>
          <w:cols w:space="0"/>
          <w:docGrid w:type="lines" w:linePitch="312"/>
        </w:sect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sectPr w:rsidR="00D468D3">
          <w:type w:val="continuous"/>
          <w:pgSz w:w="11906" w:h="16838"/>
          <w:pgMar w:top="2041" w:right="1531" w:bottom="2041" w:left="1531" w:header="851" w:footer="992" w:gutter="0"/>
          <w:pgNumType w:fmt="numberInDash"/>
          <w:cols w:space="0"/>
          <w:titlePg/>
          <w:docGrid w:type="lines" w:linePitch="312"/>
        </w:sectPr>
      </w:pPr>
    </w:p>
    <w:p w:rsidR="00D468D3" w:rsidRDefault="000A10F6">
      <w:pPr>
        <w:rPr>
          <w:rFonts w:ascii="黑体" w:eastAsia="黑体" w:hAnsi="黑体" w:cs="黑体"/>
          <w:sz w:val="56"/>
          <w:szCs w:val="72"/>
        </w:rPr>
        <w:sectPr w:rsidR="00D468D3">
          <w:headerReference w:type="default" r:id="rId29"/>
          <w:footerReference w:type="default" r:id="rId30"/>
          <w:headerReference w:type="first" r:id="rId31"/>
          <w:footerReference w:type="first" r:id="rId32"/>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D468D3" w:rsidRDefault="00D468D3">
      <w:pP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D468D3">
      <w:pPr>
        <w:jc w:val="center"/>
        <w:rPr>
          <w:rFonts w:ascii="黑体" w:eastAsia="黑体" w:hAnsi="黑体" w:cs="黑体"/>
          <w:sz w:val="56"/>
          <w:szCs w:val="72"/>
        </w:rPr>
      </w:pPr>
    </w:p>
    <w:p w:rsidR="00D468D3" w:rsidRDefault="001234E9">
      <w:pPr>
        <w:jc w:val="center"/>
        <w:rPr>
          <w:sz w:val="72"/>
        </w:rPr>
      </w:pPr>
      <w:r>
        <w:rPr>
          <w:sz w:val="72"/>
        </w:rPr>
        <w:pict>
          <v:shape id="_x0000_s1029" type="#_x0000_t202" style="position:absolute;left:0;text-align:left;margin-left:-80.45pt;margin-top:34.8pt;width:613.65pt;height:263.1pt;z-index:437280768;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fillcolor="#ffd966" strokecolor="#ffd966" strokeweight=".5pt">
            <v:fill r:id="rId19" o:title="image2" type="pattern"/>
            <v:stroke joinstyle="round"/>
            <v:textbox>
              <w:txbxContent>
                <w:p w:rsidR="001412DA" w:rsidRDefault="001412DA">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D468D3" w:rsidRDefault="00D468D3"/>
    <w:p w:rsidR="00D468D3" w:rsidRDefault="00D468D3"/>
    <w:p w:rsidR="00D468D3" w:rsidRDefault="00D468D3"/>
    <w:p w:rsidR="00D468D3" w:rsidRDefault="00D468D3"/>
    <w:p w:rsidR="00D468D3" w:rsidRDefault="00D468D3"/>
    <w:p w:rsidR="00D468D3" w:rsidRDefault="00D468D3"/>
    <w:p w:rsidR="00D468D3" w:rsidRDefault="00D468D3"/>
    <w:p w:rsidR="00D468D3" w:rsidRDefault="00D468D3"/>
    <w:p w:rsidR="00D468D3" w:rsidRDefault="00D468D3"/>
    <w:p w:rsidR="00D468D3" w:rsidRDefault="00D468D3"/>
    <w:p w:rsidR="00D468D3" w:rsidRDefault="00D468D3"/>
    <w:p w:rsidR="00D468D3" w:rsidRDefault="00D468D3">
      <w:pPr>
        <w:tabs>
          <w:tab w:val="left" w:pos="886"/>
        </w:tabs>
        <w:jc w:val="left"/>
        <w:sectPr w:rsidR="00D468D3">
          <w:headerReference w:type="first" r:id="rId33"/>
          <w:pgSz w:w="11906" w:h="16838"/>
          <w:pgMar w:top="2041" w:right="1531" w:bottom="2041" w:left="1531" w:header="851" w:footer="992" w:gutter="0"/>
          <w:pgNumType w:fmt="numberInDash"/>
          <w:cols w:space="0"/>
          <w:titlePg/>
          <w:docGrid w:type="lines" w:linePitch="312"/>
        </w:sectPr>
      </w:pP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D468D3" w:rsidRDefault="000A10F6">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D468D3" w:rsidRDefault="000A10F6">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D468D3" w:rsidRDefault="000A10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D468D3" w:rsidRDefault="000A10F6">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bookmarkStart w:id="0" w:name="_GoBack"/>
      <w:bookmarkEnd w:id="0"/>
    </w:p>
    <w:p w:rsidR="00D468D3" w:rsidRDefault="00D468D3"/>
    <w:p w:rsidR="00D468D3" w:rsidRDefault="00D468D3"/>
    <w:p w:rsidR="00D468D3" w:rsidRDefault="00D468D3"/>
    <w:p w:rsidR="00D468D3" w:rsidRDefault="00D468D3"/>
    <w:p w:rsidR="00D468D3" w:rsidRDefault="00D468D3">
      <w:pPr>
        <w:tabs>
          <w:tab w:val="left" w:pos="235"/>
        </w:tabs>
        <w:jc w:val="left"/>
      </w:pPr>
    </w:p>
    <w:p w:rsidR="00D468D3" w:rsidRDefault="00D468D3">
      <w:pPr>
        <w:tabs>
          <w:tab w:val="left" w:pos="235"/>
        </w:tabs>
        <w:jc w:val="left"/>
      </w:pPr>
    </w:p>
    <w:p w:rsidR="00D468D3" w:rsidRDefault="00D468D3">
      <w:pPr>
        <w:tabs>
          <w:tab w:val="left" w:pos="235"/>
        </w:tabs>
        <w:jc w:val="left"/>
      </w:pPr>
    </w:p>
    <w:p w:rsidR="00D468D3" w:rsidRDefault="00D468D3">
      <w:pPr>
        <w:tabs>
          <w:tab w:val="left" w:pos="235"/>
        </w:tabs>
        <w:jc w:val="left"/>
      </w:pPr>
    </w:p>
    <w:p w:rsidR="00D468D3" w:rsidRDefault="00D468D3">
      <w:pPr>
        <w:tabs>
          <w:tab w:val="left" w:pos="235"/>
        </w:tabs>
        <w:jc w:val="left"/>
      </w:pPr>
    </w:p>
    <w:p w:rsidR="00D468D3" w:rsidRDefault="00D468D3"/>
    <w:p w:rsidR="00D468D3" w:rsidRDefault="001234E9">
      <w:pPr>
        <w:tabs>
          <w:tab w:val="left" w:pos="235"/>
        </w:tabs>
        <w:jc w:val="left"/>
        <w:sectPr w:rsidR="00D468D3">
          <w:headerReference w:type="default" r:id="rId34"/>
          <w:pgSz w:w="11906" w:h="16838"/>
          <w:pgMar w:top="2098" w:right="1474" w:bottom="1985" w:left="1588" w:header="851" w:footer="992" w:gutter="0"/>
          <w:pgNumType w:fmt="numberInDash"/>
          <w:cols w:space="425"/>
          <w:docGrid w:type="lines" w:linePitch="312"/>
        </w:sectPr>
      </w:pPr>
      <w:r w:rsidRPr="001234E9">
        <w:rPr>
          <w:sz w:val="72"/>
        </w:rPr>
        <w:pict>
          <v:shape id="_x0000_s1028" type="#_x0000_t202" style="position:absolute;margin-left:-82.05pt;margin-top:111.85pt;width:613.65pt;height:263.1pt;z-index:437281792;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fillcolor="#ffd966" strokecolor="#ffd966" strokeweight=".5pt">
            <v:fill r:id="rId19" o:title="image2" type="pattern"/>
            <v:stroke joinstyle="round"/>
            <v:textbox>
              <w:txbxContent>
                <w:p w:rsidR="001412DA" w:rsidRDefault="001412DA">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1412DA" w:rsidRDefault="001412DA">
                  <w:pPr>
                    <w:widowControl/>
                    <w:jc w:val="center"/>
                  </w:pPr>
                  <w:r>
                    <w:rPr>
                      <w:rFonts w:ascii="黑体" w:eastAsia="黑体" w:hAnsi="黑体" w:cs="黑体" w:hint="eastAsia"/>
                      <w:color w:val="000000" w:themeColor="text1"/>
                      <w:sz w:val="90"/>
                      <w:szCs w:val="90"/>
                    </w:rPr>
                    <w:t>2019年度部门决算报表</w:t>
                  </w:r>
                </w:p>
              </w:txbxContent>
            </v:textbox>
          </v:shape>
        </w:pict>
      </w:r>
    </w:p>
    <w:p w:rsidR="00D468D3" w:rsidRDefault="00D468D3">
      <w:pPr>
        <w:tabs>
          <w:tab w:val="left" w:pos="886"/>
        </w:tabs>
        <w:jc w:val="left"/>
      </w:pPr>
    </w:p>
    <w:p w:rsidR="00D468D3" w:rsidRDefault="00D468D3">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D468D3">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D468D3" w:rsidRDefault="000A10F6">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D468D3">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D468D3">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EC0C4C">
              <w:rPr>
                <w:rFonts w:ascii="宋体" w:eastAsia="宋体" w:hAnsi="宋体" w:cs="宋体" w:hint="eastAsia"/>
                <w:color w:val="000000"/>
                <w:kern w:val="0"/>
                <w:sz w:val="20"/>
                <w:szCs w:val="20"/>
              </w:rPr>
              <w:t>区划中心</w:t>
            </w:r>
          </w:p>
        </w:tc>
        <w:tc>
          <w:tcPr>
            <w:tcW w:w="73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D468D3">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84.14</w:t>
            </w:r>
            <w:r w:rsidR="000A10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7.35</w:t>
            </w:r>
            <w:r w:rsidR="000A10F6">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4.81</w:t>
            </w:r>
            <w:r w:rsidR="000A10F6">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63.97</w:t>
            </w:r>
            <w:r w:rsidR="000A10F6">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4.02</w:t>
            </w:r>
            <w:r w:rsidR="000A10F6">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84.14</w:t>
            </w:r>
            <w:r w:rsidR="000A10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80.15</w:t>
            </w:r>
            <w:r w:rsidR="000A10F6">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1.89</w:t>
            </w:r>
            <w:r w:rsidR="000A10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B164A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5.88</w:t>
            </w:r>
            <w:r w:rsidR="000A10F6">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468D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86.03</w:t>
            </w:r>
            <w:r w:rsidR="000A10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774A7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86.03</w:t>
            </w:r>
            <w:r w:rsidR="000A10F6">
              <w:rPr>
                <w:rFonts w:ascii="宋体" w:eastAsia="宋体" w:hAnsi="宋体" w:cs="宋体" w:hint="eastAsia"/>
                <w:color w:val="000000"/>
                <w:kern w:val="0"/>
                <w:sz w:val="22"/>
              </w:rPr>
              <w:t xml:space="preserve">　</w:t>
            </w:r>
          </w:p>
        </w:tc>
      </w:tr>
      <w:tr w:rsidR="00D468D3">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D468D3" w:rsidRPr="006E68A9" w:rsidRDefault="00D468D3">
            <w:pPr>
              <w:widowControl/>
              <w:jc w:val="left"/>
              <w:textAlignment w:val="center"/>
              <w:rPr>
                <w:rFonts w:ascii="宋体" w:eastAsia="宋体" w:hAnsi="宋体" w:cs="宋体"/>
                <w:color w:val="000000"/>
                <w:kern w:val="0"/>
                <w:sz w:val="22"/>
              </w:rPr>
            </w:pPr>
          </w:p>
        </w:tc>
      </w:tr>
    </w:tbl>
    <w:tbl>
      <w:tblPr>
        <w:tblW w:w="10236" w:type="dxa"/>
        <w:jc w:val="center"/>
        <w:tblCellMar>
          <w:left w:w="0" w:type="dxa"/>
          <w:right w:w="0" w:type="dxa"/>
        </w:tblCellMar>
        <w:tblLook w:val="04A0"/>
      </w:tblPr>
      <w:tblGrid>
        <w:gridCol w:w="762"/>
        <w:gridCol w:w="43"/>
        <w:gridCol w:w="203"/>
        <w:gridCol w:w="5067"/>
        <w:gridCol w:w="1609"/>
        <w:gridCol w:w="771"/>
        <w:gridCol w:w="353"/>
        <w:gridCol w:w="351"/>
        <w:gridCol w:w="491"/>
        <w:gridCol w:w="477"/>
        <w:gridCol w:w="462"/>
      </w:tblGrid>
      <w:tr w:rsidR="00D468D3" w:rsidTr="00031E61">
        <w:trPr>
          <w:trHeight w:val="802"/>
          <w:jc w:val="center"/>
        </w:trPr>
        <w:tc>
          <w:tcPr>
            <w:tcW w:w="10236" w:type="dxa"/>
            <w:gridSpan w:val="11"/>
            <w:tcBorders>
              <w:top w:val="nil"/>
              <w:left w:val="nil"/>
              <w:bottom w:val="nil"/>
              <w:right w:val="nil"/>
            </w:tcBorders>
            <w:shd w:val="clear" w:color="auto" w:fill="auto"/>
            <w:noWrap/>
            <w:tcMar>
              <w:top w:w="15" w:type="dxa"/>
              <w:left w:w="15" w:type="dxa"/>
              <w:right w:w="15" w:type="dxa"/>
            </w:tcMar>
            <w:vAlign w:val="bottom"/>
          </w:tcPr>
          <w:p w:rsidR="00D468D3" w:rsidRDefault="00D468D3">
            <w:pPr>
              <w:widowControl/>
              <w:jc w:val="center"/>
              <w:textAlignment w:val="bottom"/>
              <w:rPr>
                <w:rFonts w:ascii="黑体" w:eastAsia="黑体" w:hAnsi="宋体" w:cs="黑体"/>
                <w:color w:val="000000"/>
                <w:kern w:val="0"/>
                <w:sz w:val="32"/>
                <w:szCs w:val="32"/>
              </w:rPr>
            </w:pPr>
          </w:p>
          <w:p w:rsidR="00D468D3" w:rsidRDefault="000A10F6">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D468D3" w:rsidTr="002D38BE">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68"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467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484"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D468D3" w:rsidTr="00031E61">
        <w:trPr>
          <w:trHeight w:val="584"/>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68"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4675" w:type="dxa"/>
            <w:tcBorders>
              <w:top w:val="nil"/>
              <w:left w:val="nil"/>
              <w:bottom w:val="nil"/>
              <w:right w:val="nil"/>
            </w:tcBorders>
            <w:shd w:val="clear" w:color="auto" w:fill="auto"/>
            <w:noWrap/>
            <w:tcMar>
              <w:top w:w="15" w:type="dxa"/>
              <w:left w:w="15" w:type="dxa"/>
              <w:right w:w="15" w:type="dxa"/>
            </w:tcMar>
            <w:vAlign w:val="bottom"/>
          </w:tcPr>
          <w:p w:rsidR="00D468D3" w:rsidRDefault="00031E61">
            <w:pPr>
              <w:rPr>
                <w:rFonts w:ascii="Arial" w:hAnsi="Arial" w:cs="Arial"/>
                <w:color w:val="000000"/>
                <w:sz w:val="20"/>
                <w:szCs w:val="20"/>
              </w:rPr>
            </w:pPr>
            <w:r>
              <w:rPr>
                <w:rFonts w:ascii="Arial" w:hAnsi="Arial" w:cs="Arial" w:hint="eastAsia"/>
                <w:color w:val="000000"/>
                <w:sz w:val="20"/>
                <w:szCs w:val="20"/>
              </w:rPr>
              <w:t>区划中心</w:t>
            </w:r>
          </w:p>
        </w:tc>
        <w:tc>
          <w:tcPr>
            <w:tcW w:w="1484"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2D38BE" w:rsidTr="002D38BE">
        <w:trPr>
          <w:trHeight w:val="385"/>
          <w:jc w:val="center"/>
        </w:trPr>
        <w:tc>
          <w:tcPr>
            <w:tcW w:w="568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48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40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39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49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47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46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2D38BE" w:rsidTr="002D38BE">
        <w:trPr>
          <w:trHeight w:val="380"/>
          <w:jc w:val="center"/>
        </w:trPr>
        <w:tc>
          <w:tcPr>
            <w:tcW w:w="10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4675"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4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0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3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9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7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6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2D38BE" w:rsidTr="002D38BE">
        <w:trPr>
          <w:trHeight w:val="380"/>
          <w:jc w:val="center"/>
        </w:trPr>
        <w:tc>
          <w:tcPr>
            <w:tcW w:w="10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67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4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0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3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9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7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6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2D38BE" w:rsidTr="002D38BE">
        <w:trPr>
          <w:trHeight w:val="380"/>
          <w:jc w:val="center"/>
        </w:trPr>
        <w:tc>
          <w:tcPr>
            <w:tcW w:w="10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675"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4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0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3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9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7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6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2D38BE" w:rsidTr="002D38BE">
        <w:trPr>
          <w:trHeight w:val="385"/>
          <w:jc w:val="center"/>
        </w:trPr>
        <w:tc>
          <w:tcPr>
            <w:tcW w:w="568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4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4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3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4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4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6F2FCB" w:rsidTr="002D38BE">
        <w:trPr>
          <w:trHeight w:val="385"/>
          <w:jc w:val="center"/>
        </w:trPr>
        <w:tc>
          <w:tcPr>
            <w:tcW w:w="568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b/>
                <w:bCs/>
                <w:color w:val="000000"/>
                <w:sz w:val="22"/>
              </w:rPr>
            </w:pPr>
            <w:r>
              <w:rPr>
                <w:rFonts w:cs="Arial" w:hint="eastAsia"/>
                <w:b/>
                <w:bCs/>
                <w:color w:val="000000"/>
                <w:sz w:val="22"/>
              </w:rPr>
              <w:t>84.14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b/>
                <w:bCs/>
                <w:color w:val="000000"/>
                <w:sz w:val="22"/>
              </w:rPr>
            </w:pPr>
            <w:r>
              <w:rPr>
                <w:rFonts w:cs="Arial" w:hint="eastAsia"/>
                <w:b/>
                <w:bCs/>
                <w:color w:val="000000"/>
                <w:sz w:val="22"/>
              </w:rPr>
              <w:t>84.14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b/>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208</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社会保障和就业支出</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9.18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9.18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20805</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行政事业单位离退休</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9.18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9.18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2080505</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 xml:space="preserve">  机关事业单位基本养老保险缴费支出</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9.18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9.18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210</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卫生健康支出</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5.75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5.75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21011</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行政事业单位医疗</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5.75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5.75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2101102</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 xml:space="preserve">  事业单位医疗</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5.75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5.75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213</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农林水支出</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64.24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64.24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21301</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农业</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64.24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64.24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2130104</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 xml:space="preserve">  事业运行</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64.24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64.24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221</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住房保障支出</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4.97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4.97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22102</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住房改革支出</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4.97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4.97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6F2FCB" w:rsidTr="002D38BE">
        <w:trPr>
          <w:trHeight w:val="385"/>
          <w:jc w:val="center"/>
        </w:trPr>
        <w:tc>
          <w:tcPr>
            <w:tcW w:w="10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2210201</w:t>
            </w:r>
          </w:p>
        </w:tc>
        <w:tc>
          <w:tcPr>
            <w:tcW w:w="46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rPr>
                <w:rFonts w:ascii="宋体" w:eastAsia="宋体" w:hAnsi="宋体" w:cs="Arial"/>
                <w:color w:val="000000"/>
                <w:sz w:val="22"/>
              </w:rPr>
            </w:pPr>
            <w:r>
              <w:rPr>
                <w:rFonts w:cs="Arial" w:hint="eastAsia"/>
                <w:color w:val="000000"/>
                <w:sz w:val="22"/>
              </w:rPr>
              <w:t xml:space="preserve">  住房公积金</w:t>
            </w:r>
          </w:p>
        </w:tc>
        <w:tc>
          <w:tcPr>
            <w:tcW w:w="14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4.97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Arial"/>
                <w:color w:val="000000"/>
                <w:sz w:val="22"/>
              </w:rPr>
            </w:pPr>
            <w:r>
              <w:rPr>
                <w:rFonts w:cs="Arial" w:hint="eastAsia"/>
                <w:color w:val="000000"/>
                <w:sz w:val="22"/>
              </w:rPr>
              <w:t>4.97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6F2FCB" w:rsidRDefault="006F2FCB">
            <w:pPr>
              <w:jc w:val="right"/>
              <w:rPr>
                <w:rFonts w:ascii="宋体" w:eastAsia="宋体" w:hAnsi="宋体" w:cs="宋体"/>
                <w:color w:val="000000"/>
                <w:sz w:val="22"/>
              </w:rPr>
            </w:pPr>
          </w:p>
        </w:tc>
      </w:tr>
      <w:tr w:rsidR="00D468D3" w:rsidTr="002D38BE">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D468D3" w:rsidRDefault="00D468D3"/>
    <w:tbl>
      <w:tblPr>
        <w:tblW w:w="9680" w:type="dxa"/>
        <w:jc w:val="center"/>
        <w:tblLayout w:type="fixed"/>
        <w:tblCellMar>
          <w:left w:w="0" w:type="dxa"/>
          <w:right w:w="0" w:type="dxa"/>
        </w:tblCellMar>
        <w:tblLook w:val="04A0"/>
      </w:tblPr>
      <w:tblGrid>
        <w:gridCol w:w="941"/>
        <w:gridCol w:w="53"/>
        <w:gridCol w:w="111"/>
        <w:gridCol w:w="2318"/>
        <w:gridCol w:w="850"/>
        <w:gridCol w:w="993"/>
        <w:gridCol w:w="1275"/>
        <w:gridCol w:w="993"/>
        <w:gridCol w:w="735"/>
        <w:gridCol w:w="1411"/>
      </w:tblGrid>
      <w:tr w:rsidR="00D468D3">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D468D3" w:rsidTr="00B55FBC">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318"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27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73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D468D3" w:rsidTr="00B55FBC">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318" w:type="dxa"/>
            <w:tcBorders>
              <w:top w:val="nil"/>
              <w:left w:val="nil"/>
              <w:bottom w:val="nil"/>
              <w:right w:val="nil"/>
            </w:tcBorders>
            <w:shd w:val="clear" w:color="auto" w:fill="auto"/>
            <w:noWrap/>
            <w:tcMar>
              <w:top w:w="15" w:type="dxa"/>
              <w:left w:w="15" w:type="dxa"/>
              <w:right w:w="15" w:type="dxa"/>
            </w:tcMar>
            <w:vAlign w:val="bottom"/>
          </w:tcPr>
          <w:p w:rsidR="00D468D3" w:rsidRDefault="00A33698">
            <w:pPr>
              <w:rPr>
                <w:rFonts w:ascii="Arial" w:hAnsi="Arial" w:cs="Arial"/>
                <w:color w:val="000000"/>
                <w:sz w:val="20"/>
                <w:szCs w:val="20"/>
              </w:rPr>
            </w:pPr>
            <w:r>
              <w:rPr>
                <w:rFonts w:ascii="Arial" w:hAnsi="Arial" w:cs="Arial" w:hint="eastAsia"/>
                <w:color w:val="000000"/>
                <w:sz w:val="20"/>
                <w:szCs w:val="20"/>
              </w:rPr>
              <w:t>区划中心</w:t>
            </w:r>
          </w:p>
        </w:tc>
        <w:tc>
          <w:tcPr>
            <w:tcW w:w="850"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27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146"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rsidTr="00B55FBC">
        <w:trPr>
          <w:trHeight w:val="323"/>
          <w:jc w:val="center"/>
        </w:trPr>
        <w:tc>
          <w:tcPr>
            <w:tcW w:w="342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8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99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27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99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73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D468D3" w:rsidTr="00B55FBC">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318"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8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2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B55FBC">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231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8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2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B55FBC">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231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8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2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B55FBC">
        <w:trPr>
          <w:trHeight w:val="323"/>
          <w:jc w:val="center"/>
        </w:trPr>
        <w:tc>
          <w:tcPr>
            <w:tcW w:w="342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2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3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8B428A" w:rsidTr="00B55FBC">
        <w:trPr>
          <w:trHeight w:val="323"/>
          <w:jc w:val="center"/>
        </w:trPr>
        <w:tc>
          <w:tcPr>
            <w:tcW w:w="342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b/>
                <w:bCs/>
                <w:color w:val="000000"/>
                <w:sz w:val="22"/>
              </w:rPr>
            </w:pPr>
            <w:r>
              <w:rPr>
                <w:rFonts w:cs="Arial" w:hint="eastAsia"/>
                <w:b/>
                <w:bCs/>
                <w:color w:val="000000"/>
                <w:sz w:val="22"/>
              </w:rPr>
              <w:t>80.15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b/>
                <w:bCs/>
                <w:color w:val="000000"/>
                <w:sz w:val="22"/>
              </w:rPr>
            </w:pPr>
            <w:r>
              <w:rPr>
                <w:rFonts w:cs="Arial" w:hint="eastAsia"/>
                <w:b/>
                <w:bCs/>
                <w:color w:val="000000"/>
                <w:sz w:val="22"/>
              </w:rPr>
              <w:t>80.15</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b/>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b/>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b/>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208</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社会保障和就业支出</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7.35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7.35</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20805</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行政事业单位离退休</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7.35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7.35</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2080505</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 xml:space="preserve">  机关事业单位基本养老保险缴费支出</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7.35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7.35</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210</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卫生健康支出</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4.81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4.81</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21011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行政事业单位医疗</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4.81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4.81</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2101102</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 xml:space="preserve">  事业单位医疗</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4.81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4.81</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213</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农林水支出</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63.97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63.97</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21301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农业</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63.97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63.97</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2130104</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 xml:space="preserve">  事业运行</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63.97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63.97</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221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住房保障支出</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4.02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4.02</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22102</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住房改革支出</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4.02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4.02</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8B428A" w:rsidTr="00B55FBC">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2210201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rPr>
                <w:rFonts w:ascii="宋体" w:eastAsia="宋体" w:hAnsi="宋体" w:cs="Arial"/>
                <w:color w:val="000000"/>
                <w:sz w:val="22"/>
              </w:rPr>
            </w:pPr>
            <w:r>
              <w:rPr>
                <w:rFonts w:cs="Arial" w:hint="eastAsia"/>
                <w:color w:val="000000"/>
                <w:sz w:val="22"/>
              </w:rPr>
              <w:t xml:space="preserve">  住房公积金</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4.02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Arial"/>
                <w:color w:val="000000"/>
                <w:sz w:val="22"/>
              </w:rPr>
            </w:pPr>
            <w:r>
              <w:rPr>
                <w:rFonts w:cs="Arial" w:hint="eastAsia"/>
                <w:color w:val="000000"/>
                <w:sz w:val="22"/>
              </w:rPr>
              <w:t>4.02</w:t>
            </w:r>
          </w:p>
        </w:tc>
        <w:tc>
          <w:tcPr>
            <w:tcW w:w="127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B428A" w:rsidRDefault="008B428A">
            <w:pPr>
              <w:jc w:val="right"/>
              <w:rPr>
                <w:rFonts w:ascii="宋体" w:eastAsia="宋体" w:hAnsi="宋体" w:cs="宋体"/>
                <w:color w:val="000000"/>
                <w:sz w:val="22"/>
              </w:rPr>
            </w:pPr>
          </w:p>
        </w:tc>
      </w:tr>
      <w:tr w:rsidR="00D468D3">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D468D3" w:rsidRDefault="000A10F6">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700"/>
        <w:gridCol w:w="709"/>
        <w:gridCol w:w="649"/>
      </w:tblGrid>
      <w:tr w:rsidR="00D468D3">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D468D3" w:rsidRDefault="000A10F6">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D468D3">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D468D3">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F45A6C">
              <w:rPr>
                <w:rFonts w:ascii="宋体" w:eastAsia="宋体" w:hAnsi="宋体" w:cs="宋体" w:hint="eastAsia"/>
                <w:color w:val="000000"/>
                <w:kern w:val="0"/>
                <w:sz w:val="20"/>
                <w:szCs w:val="20"/>
              </w:rPr>
              <w:t>区划中心</w:t>
            </w:r>
          </w:p>
        </w:tc>
        <w:tc>
          <w:tcPr>
            <w:tcW w:w="42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51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D468D3" w:rsidTr="00F45A6C">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0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64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D468D3" w:rsidTr="00F45A6C">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0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64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84.14</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7.35</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7.35</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4.81</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4.81</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63.97</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63.97</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4.02</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4.02</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84.14</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80.15</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80.15</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1.89</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5.88</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5.88</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1.89</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F45A6C">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86.03</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86.03</w:t>
            </w: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45A6C">
            <w:pPr>
              <w:jc w:val="right"/>
              <w:rPr>
                <w:rFonts w:ascii="宋体" w:eastAsia="宋体" w:hAnsi="宋体" w:cs="宋体"/>
                <w:color w:val="000000"/>
                <w:sz w:val="22"/>
              </w:rPr>
            </w:pPr>
            <w:r>
              <w:rPr>
                <w:rFonts w:ascii="宋体" w:eastAsia="宋体" w:hAnsi="宋体" w:cs="宋体" w:hint="eastAsia"/>
                <w:color w:val="000000"/>
                <w:sz w:val="22"/>
              </w:rPr>
              <w:t>86.03</w:t>
            </w:r>
          </w:p>
        </w:tc>
        <w:tc>
          <w:tcPr>
            <w:tcW w:w="64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D468D3" w:rsidRDefault="00D468D3"/>
    <w:tbl>
      <w:tblPr>
        <w:tblW w:w="1017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tblPr>
      <w:tblGrid>
        <w:gridCol w:w="808"/>
        <w:gridCol w:w="46"/>
        <w:gridCol w:w="46"/>
        <w:gridCol w:w="4834"/>
        <w:gridCol w:w="1866"/>
        <w:gridCol w:w="1627"/>
        <w:gridCol w:w="951"/>
      </w:tblGrid>
      <w:tr w:rsidR="00D468D3" w:rsidTr="005729C8">
        <w:trPr>
          <w:trHeight w:val="600"/>
          <w:jc w:val="center"/>
        </w:trPr>
        <w:tc>
          <w:tcPr>
            <w:tcW w:w="10178" w:type="dxa"/>
            <w:gridSpan w:val="7"/>
            <w:shd w:val="clear" w:color="auto" w:fill="auto"/>
            <w:noWrap/>
            <w:tcMar>
              <w:top w:w="15" w:type="dxa"/>
              <w:left w:w="15" w:type="dxa"/>
              <w:right w:w="15" w:type="dxa"/>
            </w:tcMar>
            <w:vAlign w:val="center"/>
          </w:tcPr>
          <w:p w:rsidR="00D468D3" w:rsidRDefault="000A10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一般公共预算财政拨款支出决算表</w:t>
            </w:r>
          </w:p>
        </w:tc>
      </w:tr>
      <w:tr w:rsidR="00D468D3" w:rsidTr="005729C8">
        <w:trPr>
          <w:trHeight w:val="255"/>
          <w:jc w:val="center"/>
        </w:trPr>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D468D3" w:rsidTr="005729C8">
        <w:trPr>
          <w:trHeight w:val="255"/>
          <w:jc w:val="center"/>
        </w:trPr>
        <w:tc>
          <w:tcPr>
            <w:tcW w:w="0" w:type="auto"/>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shd w:val="clear" w:color="auto" w:fill="auto"/>
            <w:noWrap/>
            <w:tcMar>
              <w:top w:w="15" w:type="dxa"/>
              <w:left w:w="15" w:type="dxa"/>
              <w:right w:w="15" w:type="dxa"/>
            </w:tcMar>
            <w:vAlign w:val="bottom"/>
          </w:tcPr>
          <w:p w:rsidR="00D468D3" w:rsidRDefault="005729C8">
            <w:pPr>
              <w:rPr>
                <w:rFonts w:ascii="Arial" w:hAnsi="Arial" w:cs="Arial"/>
                <w:color w:val="000000"/>
                <w:sz w:val="20"/>
                <w:szCs w:val="20"/>
              </w:rPr>
            </w:pPr>
            <w:r>
              <w:rPr>
                <w:rFonts w:ascii="Arial" w:hAnsi="Arial" w:cs="Arial" w:hint="eastAsia"/>
                <w:color w:val="000000"/>
                <w:sz w:val="20"/>
                <w:szCs w:val="20"/>
              </w:rPr>
              <w:t>区划中心</w:t>
            </w:r>
          </w:p>
        </w:tc>
        <w:tc>
          <w:tcPr>
            <w:tcW w:w="0" w:type="auto"/>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rsidTr="005729C8">
        <w:trPr>
          <w:trHeight w:val="308"/>
          <w:jc w:val="center"/>
        </w:trPr>
        <w:tc>
          <w:tcPr>
            <w:tcW w:w="0" w:type="auto"/>
            <w:gridSpan w:val="4"/>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519" w:type="dxa"/>
            <w:gridSpan w:val="3"/>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D468D3" w:rsidTr="005729C8">
        <w:trPr>
          <w:trHeight w:val="312"/>
          <w:jc w:val="center"/>
        </w:trPr>
        <w:tc>
          <w:tcPr>
            <w:tcW w:w="889" w:type="dxa"/>
            <w:gridSpan w:val="3"/>
            <w:vMerge w:val="restart"/>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vMerge w:val="restart"/>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956" w:type="dxa"/>
            <w:vMerge w:val="restart"/>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234" w:type="dxa"/>
            <w:vMerge w:val="restart"/>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D468D3" w:rsidTr="005729C8">
        <w:trPr>
          <w:trHeight w:val="312"/>
          <w:jc w:val="center"/>
        </w:trPr>
        <w:tc>
          <w:tcPr>
            <w:tcW w:w="889" w:type="dxa"/>
            <w:gridSpan w:val="3"/>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0" w:type="auto"/>
            <w:vMerge/>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2329" w:type="dxa"/>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956" w:type="dxa"/>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234" w:type="dxa"/>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5729C8">
        <w:trPr>
          <w:trHeight w:val="312"/>
          <w:jc w:val="center"/>
        </w:trPr>
        <w:tc>
          <w:tcPr>
            <w:tcW w:w="889" w:type="dxa"/>
            <w:gridSpan w:val="3"/>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0" w:type="auto"/>
            <w:vMerge/>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2329" w:type="dxa"/>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956" w:type="dxa"/>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234" w:type="dxa"/>
            <w:vMerge/>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5729C8">
        <w:trPr>
          <w:trHeight w:val="308"/>
          <w:jc w:val="center"/>
        </w:trPr>
        <w:tc>
          <w:tcPr>
            <w:tcW w:w="0" w:type="auto"/>
            <w:gridSpan w:val="4"/>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5729C8" w:rsidTr="005729C8">
        <w:trPr>
          <w:trHeight w:val="308"/>
          <w:jc w:val="center"/>
        </w:trPr>
        <w:tc>
          <w:tcPr>
            <w:tcW w:w="0" w:type="auto"/>
            <w:gridSpan w:val="4"/>
            <w:shd w:val="clear" w:color="auto" w:fill="auto"/>
            <w:noWrap/>
            <w:tcMar>
              <w:top w:w="15" w:type="dxa"/>
              <w:left w:w="15" w:type="dxa"/>
              <w:right w:w="15" w:type="dxa"/>
            </w:tcMar>
            <w:vAlign w:val="center"/>
          </w:tcPr>
          <w:p w:rsidR="005729C8" w:rsidRDefault="005729C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b/>
                <w:bCs/>
                <w:color w:val="000000"/>
                <w:sz w:val="22"/>
              </w:rPr>
            </w:pPr>
            <w:r>
              <w:rPr>
                <w:rFonts w:cs="Arial" w:hint="eastAsia"/>
                <w:b/>
                <w:bCs/>
                <w:color w:val="000000"/>
                <w:sz w:val="22"/>
              </w:rPr>
              <w:t>80.15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b/>
                <w:bCs/>
                <w:color w:val="000000"/>
                <w:sz w:val="22"/>
              </w:rPr>
            </w:pPr>
            <w:r>
              <w:rPr>
                <w:rFonts w:cs="Arial" w:hint="eastAsia"/>
                <w:b/>
                <w:bCs/>
                <w:color w:val="000000"/>
                <w:sz w:val="22"/>
              </w:rPr>
              <w:t>80.15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b/>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208</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社会保障和就业支出</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7.35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7.35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20805</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行政事业单位离退休</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7.35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7.35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2080505</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 xml:space="preserve">  机关事业单位基本养老保险缴费支出</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7.35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7.35</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210</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卫生健康支出</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4.81</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4.81</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21011</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行政事业单位医疗</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4.81</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4.81</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2101102</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 xml:space="preserve">  事业单位医疗</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4.81</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4.81</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213</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农林水支出</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63.97</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63.97</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21301</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农业</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63.97</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63.97</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2130104</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 xml:space="preserve">  事业运行</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63.97</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63.97</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221</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住房保障支出</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4.02</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4.02</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22102</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住房改革支出</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4.02</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4.02</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r w:rsidR="005729C8" w:rsidTr="005729C8">
        <w:trPr>
          <w:trHeight w:val="308"/>
          <w:jc w:val="center"/>
        </w:trPr>
        <w:tc>
          <w:tcPr>
            <w:tcW w:w="0" w:type="auto"/>
            <w:gridSpan w:val="3"/>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2210201</w:t>
            </w:r>
          </w:p>
        </w:tc>
        <w:tc>
          <w:tcPr>
            <w:tcW w:w="0" w:type="auto"/>
            <w:shd w:val="clear" w:color="auto" w:fill="auto"/>
            <w:noWrap/>
            <w:tcMar>
              <w:top w:w="15" w:type="dxa"/>
              <w:left w:w="15" w:type="dxa"/>
              <w:right w:w="15" w:type="dxa"/>
            </w:tcMar>
            <w:vAlign w:val="center"/>
          </w:tcPr>
          <w:p w:rsidR="005729C8" w:rsidRDefault="005729C8">
            <w:pPr>
              <w:rPr>
                <w:rFonts w:ascii="宋体" w:eastAsia="宋体" w:hAnsi="宋体" w:cs="Arial"/>
                <w:color w:val="000000"/>
                <w:sz w:val="22"/>
              </w:rPr>
            </w:pPr>
            <w:r>
              <w:rPr>
                <w:rFonts w:cs="Arial" w:hint="eastAsia"/>
                <w:color w:val="000000"/>
                <w:sz w:val="22"/>
              </w:rPr>
              <w:t xml:space="preserve">  住房公积金</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4.02</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Arial"/>
                <w:color w:val="000000"/>
                <w:sz w:val="22"/>
              </w:rPr>
            </w:pPr>
            <w:r>
              <w:rPr>
                <w:rFonts w:cs="Arial" w:hint="eastAsia"/>
                <w:color w:val="000000"/>
                <w:sz w:val="22"/>
              </w:rPr>
              <w:t>4.02</w:t>
            </w:r>
          </w:p>
        </w:tc>
        <w:tc>
          <w:tcPr>
            <w:tcW w:w="0" w:type="auto"/>
            <w:shd w:val="clear" w:color="auto" w:fill="auto"/>
            <w:noWrap/>
            <w:tcMar>
              <w:top w:w="15" w:type="dxa"/>
              <w:left w:w="15" w:type="dxa"/>
              <w:right w:w="15" w:type="dxa"/>
            </w:tcMar>
            <w:vAlign w:val="center"/>
          </w:tcPr>
          <w:p w:rsidR="005729C8" w:rsidRDefault="005729C8">
            <w:pPr>
              <w:jc w:val="right"/>
              <w:rPr>
                <w:rFonts w:ascii="宋体" w:eastAsia="宋体" w:hAnsi="宋体" w:cs="宋体"/>
                <w:color w:val="000000"/>
                <w:sz w:val="22"/>
              </w:rPr>
            </w:pPr>
          </w:p>
        </w:tc>
      </w:tr>
    </w:tbl>
    <w:p w:rsidR="00D468D3" w:rsidRDefault="000A10F6">
      <w:r>
        <w:br w:type="page"/>
      </w:r>
    </w:p>
    <w:tbl>
      <w:tblPr>
        <w:tblW w:w="10000" w:type="dxa"/>
        <w:jc w:val="center"/>
        <w:tblLayout w:type="fixed"/>
        <w:tblCellMar>
          <w:left w:w="0" w:type="dxa"/>
          <w:right w:w="0" w:type="dxa"/>
        </w:tblCellMar>
        <w:tblLook w:val="04A0"/>
      </w:tblPr>
      <w:tblGrid>
        <w:gridCol w:w="896"/>
        <w:gridCol w:w="371"/>
        <w:gridCol w:w="1561"/>
        <w:gridCol w:w="125"/>
        <w:gridCol w:w="658"/>
        <w:gridCol w:w="655"/>
        <w:gridCol w:w="252"/>
        <w:gridCol w:w="1347"/>
        <w:gridCol w:w="218"/>
        <w:gridCol w:w="550"/>
        <w:gridCol w:w="744"/>
        <w:gridCol w:w="271"/>
        <w:gridCol w:w="1572"/>
        <w:gridCol w:w="48"/>
        <w:gridCol w:w="732"/>
      </w:tblGrid>
      <w:tr w:rsidR="00D468D3" w:rsidTr="007D1AA3">
        <w:trPr>
          <w:trHeight w:val="557"/>
          <w:jc w:val="center"/>
        </w:trPr>
        <w:tc>
          <w:tcPr>
            <w:tcW w:w="10000" w:type="dxa"/>
            <w:gridSpan w:val="15"/>
            <w:tcBorders>
              <w:top w:val="nil"/>
              <w:left w:val="nil"/>
              <w:bottom w:val="nil"/>
              <w:right w:val="nil"/>
            </w:tcBorders>
            <w:shd w:val="clear" w:color="auto" w:fill="auto"/>
            <w:tcMar>
              <w:top w:w="15" w:type="dxa"/>
              <w:left w:w="15" w:type="dxa"/>
              <w:right w:w="15" w:type="dxa"/>
            </w:tcMar>
            <w:vAlign w:val="center"/>
          </w:tcPr>
          <w:p w:rsidR="00D468D3" w:rsidRDefault="000A10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D468D3" w:rsidTr="007D1AA3">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932" w:type="dxa"/>
            <w:gridSpan w:val="2"/>
            <w:tcBorders>
              <w:top w:val="nil"/>
              <w:left w:val="nil"/>
              <w:bottom w:val="nil"/>
              <w:right w:val="nil"/>
            </w:tcBorders>
            <w:shd w:val="clear" w:color="auto" w:fill="auto"/>
            <w:tcMar>
              <w:top w:w="15" w:type="dxa"/>
              <w:left w:w="15" w:type="dxa"/>
              <w:right w:w="15" w:type="dxa"/>
            </w:tcMar>
            <w:vAlign w:val="bottom"/>
          </w:tcPr>
          <w:p w:rsidR="00D468D3" w:rsidRDefault="00D468D3">
            <w:pPr>
              <w:rPr>
                <w:rFonts w:ascii="Arial" w:hAnsi="Arial" w:cs="Arial"/>
                <w:color w:val="000000"/>
                <w:sz w:val="20"/>
                <w:szCs w:val="20"/>
              </w:rPr>
            </w:pPr>
          </w:p>
        </w:tc>
        <w:tc>
          <w:tcPr>
            <w:tcW w:w="783"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rsidR="00D468D3" w:rsidRDefault="00D468D3">
            <w:pPr>
              <w:rPr>
                <w:rFonts w:ascii="Arial" w:hAnsi="Arial" w:cs="Arial"/>
                <w:color w:val="000000"/>
                <w:sz w:val="20"/>
                <w:szCs w:val="20"/>
              </w:rPr>
            </w:pPr>
          </w:p>
        </w:tc>
        <w:tc>
          <w:tcPr>
            <w:tcW w:w="768"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623" w:type="dxa"/>
            <w:gridSpan w:val="4"/>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D468D3" w:rsidTr="007D1AA3">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gridSpan w:val="2"/>
            <w:tcBorders>
              <w:top w:val="nil"/>
              <w:left w:val="nil"/>
              <w:bottom w:val="nil"/>
              <w:right w:val="nil"/>
            </w:tcBorders>
            <w:shd w:val="clear" w:color="auto" w:fill="auto"/>
            <w:tcMar>
              <w:top w:w="15" w:type="dxa"/>
              <w:left w:w="15" w:type="dxa"/>
              <w:right w:w="15" w:type="dxa"/>
            </w:tcMar>
            <w:vAlign w:val="bottom"/>
          </w:tcPr>
          <w:p w:rsidR="00D468D3" w:rsidRDefault="00FD646D">
            <w:pPr>
              <w:rPr>
                <w:rFonts w:ascii="Arial" w:hAnsi="Arial" w:cs="Arial"/>
                <w:color w:val="000000"/>
                <w:sz w:val="20"/>
                <w:szCs w:val="20"/>
              </w:rPr>
            </w:pPr>
            <w:r>
              <w:rPr>
                <w:rFonts w:ascii="Arial" w:hAnsi="Arial" w:cs="Arial" w:hint="eastAsia"/>
                <w:color w:val="000000"/>
                <w:sz w:val="20"/>
                <w:szCs w:val="20"/>
              </w:rPr>
              <w:t>区划中心</w:t>
            </w:r>
          </w:p>
        </w:tc>
        <w:tc>
          <w:tcPr>
            <w:tcW w:w="783"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rsidR="00D468D3" w:rsidRDefault="00D468D3">
            <w:pPr>
              <w:rPr>
                <w:rFonts w:ascii="Arial" w:hAnsi="Arial" w:cs="Arial"/>
                <w:color w:val="000000"/>
                <w:sz w:val="20"/>
                <w:szCs w:val="20"/>
              </w:rPr>
            </w:pPr>
          </w:p>
        </w:tc>
        <w:tc>
          <w:tcPr>
            <w:tcW w:w="768"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2623" w:type="dxa"/>
            <w:gridSpan w:val="4"/>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D468D3" w:rsidTr="007D1AA3">
        <w:trPr>
          <w:trHeight w:val="362"/>
          <w:jc w:val="center"/>
        </w:trPr>
        <w:tc>
          <w:tcPr>
            <w:tcW w:w="361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10"/>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D468D3" w:rsidTr="007D1AA3">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D468D3" w:rsidTr="007D1AA3">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932"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83"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59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68"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891"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6.72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20.23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0.99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2.59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16.89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12.96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7.35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4.81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4.02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0.62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0.22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0.01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0.49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193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1891"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spacing w:line="180" w:lineRule="exact"/>
              <w:jc w:val="right"/>
              <w:rPr>
                <w:rFonts w:ascii="宋体" w:eastAsia="宋体" w:hAnsi="宋体" w:cs="宋体"/>
                <w:color w:val="000000"/>
                <w:sz w:val="20"/>
                <w:szCs w:val="20"/>
              </w:rPr>
            </w:pPr>
          </w:p>
        </w:tc>
      </w:tr>
      <w:tr w:rsidR="00D468D3" w:rsidTr="007D1AA3">
        <w:trPr>
          <w:trHeight w:val="317"/>
          <w:jc w:val="center"/>
        </w:trPr>
        <w:tc>
          <w:tcPr>
            <w:tcW w:w="282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73.43</w:t>
            </w:r>
          </w:p>
        </w:tc>
        <w:tc>
          <w:tcPr>
            <w:tcW w:w="5657" w:type="dxa"/>
            <w:gridSpan w:val="9"/>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FD646D">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6.72</w:t>
            </w:r>
          </w:p>
        </w:tc>
      </w:tr>
      <w:tr w:rsidR="00D468D3" w:rsidTr="007D1AA3">
        <w:trPr>
          <w:gridAfter w:val="2"/>
          <w:wAfter w:w="780" w:type="dxa"/>
          <w:trHeight w:val="638"/>
          <w:jc w:val="center"/>
        </w:trPr>
        <w:tc>
          <w:tcPr>
            <w:tcW w:w="9220" w:type="dxa"/>
            <w:gridSpan w:val="13"/>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center"/>
              <w:textAlignment w:val="center"/>
              <w:rPr>
                <w:rFonts w:ascii="黑体" w:eastAsia="黑体" w:hAnsi="宋体" w:cs="黑体"/>
                <w:color w:val="000000"/>
                <w:sz w:val="32"/>
                <w:szCs w:val="32"/>
              </w:rPr>
            </w:pPr>
            <w:r>
              <w:lastRenderedPageBreak/>
              <w:br w:type="page"/>
            </w:r>
            <w:r>
              <w:rPr>
                <w:rFonts w:ascii="黑体" w:eastAsia="黑体" w:hAnsi="宋体" w:cs="黑体" w:hint="eastAsia"/>
                <w:color w:val="000000"/>
                <w:kern w:val="0"/>
                <w:sz w:val="32"/>
                <w:szCs w:val="32"/>
              </w:rPr>
              <w:t>一般公共预算财政拨款“三公”经费支出决算表</w:t>
            </w:r>
          </w:p>
        </w:tc>
      </w:tr>
      <w:tr w:rsidR="00D468D3" w:rsidTr="007D1AA3">
        <w:trPr>
          <w:gridAfter w:val="2"/>
          <w:wAfter w:w="780" w:type="dxa"/>
          <w:trHeight w:val="360"/>
          <w:jc w:val="center"/>
        </w:trPr>
        <w:tc>
          <w:tcPr>
            <w:tcW w:w="1267"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686"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65"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65"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65"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D468D3" w:rsidTr="007D1AA3">
        <w:trPr>
          <w:gridAfter w:val="2"/>
          <w:wAfter w:w="780" w:type="dxa"/>
          <w:trHeight w:val="360"/>
          <w:jc w:val="center"/>
        </w:trPr>
        <w:tc>
          <w:tcPr>
            <w:tcW w:w="1267"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65"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65" w:type="dxa"/>
            <w:gridSpan w:val="2"/>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65" w:type="dxa"/>
            <w:gridSpan w:val="3"/>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rsidTr="007D1AA3">
        <w:trPr>
          <w:gridAfter w:val="2"/>
          <w:wAfter w:w="780" w:type="dxa"/>
          <w:trHeight w:val="417"/>
          <w:jc w:val="center"/>
        </w:trPr>
        <w:tc>
          <w:tcPr>
            <w:tcW w:w="9220" w:type="dxa"/>
            <w:gridSpan w:val="13"/>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D468D3" w:rsidTr="007D1AA3">
        <w:trPr>
          <w:gridAfter w:val="2"/>
          <w:wAfter w:w="780" w:type="dxa"/>
          <w:trHeight w:val="417"/>
          <w:jc w:val="center"/>
        </w:trPr>
        <w:tc>
          <w:tcPr>
            <w:tcW w:w="1267" w:type="dxa"/>
            <w:gridSpan w:val="2"/>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gridSpan w:val="2"/>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8"/>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D468D3" w:rsidTr="007D1AA3">
        <w:trPr>
          <w:gridAfter w:val="2"/>
          <w:wAfter w:w="780" w:type="dxa"/>
          <w:trHeight w:val="417"/>
          <w:jc w:val="center"/>
        </w:trPr>
        <w:tc>
          <w:tcPr>
            <w:tcW w:w="1267" w:type="dxa"/>
            <w:gridSpan w:val="2"/>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686"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7D1AA3">
        <w:trPr>
          <w:gridAfter w:val="2"/>
          <w:wAfter w:w="780" w:type="dxa"/>
          <w:trHeight w:val="417"/>
          <w:jc w:val="center"/>
        </w:trPr>
        <w:tc>
          <w:tcPr>
            <w:tcW w:w="1267" w:type="dxa"/>
            <w:gridSpan w:val="2"/>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D468D3" w:rsidTr="007D1AA3">
        <w:trPr>
          <w:gridAfter w:val="2"/>
          <w:wAfter w:w="780" w:type="dxa"/>
          <w:trHeight w:val="417"/>
          <w:jc w:val="center"/>
        </w:trPr>
        <w:tc>
          <w:tcPr>
            <w:tcW w:w="1267" w:type="dxa"/>
            <w:gridSpan w:val="2"/>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68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6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6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6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72"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r w:rsidR="00D468D3" w:rsidTr="007D1AA3">
        <w:trPr>
          <w:gridAfter w:val="2"/>
          <w:wAfter w:w="780" w:type="dxa"/>
          <w:trHeight w:val="417"/>
          <w:jc w:val="center"/>
        </w:trPr>
        <w:tc>
          <w:tcPr>
            <w:tcW w:w="9220" w:type="dxa"/>
            <w:gridSpan w:val="13"/>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D468D3" w:rsidTr="007D1AA3">
        <w:trPr>
          <w:gridAfter w:val="2"/>
          <w:wAfter w:w="780" w:type="dxa"/>
          <w:trHeight w:val="417"/>
          <w:jc w:val="center"/>
        </w:trPr>
        <w:tc>
          <w:tcPr>
            <w:tcW w:w="1267" w:type="dxa"/>
            <w:gridSpan w:val="2"/>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gridSpan w:val="2"/>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8"/>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D468D3" w:rsidTr="007D1AA3">
        <w:trPr>
          <w:gridAfter w:val="2"/>
          <w:wAfter w:w="780" w:type="dxa"/>
          <w:trHeight w:val="417"/>
          <w:jc w:val="center"/>
        </w:trPr>
        <w:tc>
          <w:tcPr>
            <w:tcW w:w="1267" w:type="dxa"/>
            <w:gridSpan w:val="2"/>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686"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7D1AA3">
        <w:trPr>
          <w:gridAfter w:val="2"/>
          <w:wAfter w:w="780" w:type="dxa"/>
          <w:trHeight w:val="417"/>
          <w:jc w:val="center"/>
        </w:trPr>
        <w:tc>
          <w:tcPr>
            <w:tcW w:w="1267" w:type="dxa"/>
            <w:gridSpan w:val="2"/>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D468D3" w:rsidTr="007D1AA3">
        <w:trPr>
          <w:gridAfter w:val="2"/>
          <w:wAfter w:w="780" w:type="dxa"/>
          <w:trHeight w:val="447"/>
          <w:jc w:val="center"/>
        </w:trPr>
        <w:tc>
          <w:tcPr>
            <w:tcW w:w="1267" w:type="dxa"/>
            <w:gridSpan w:val="2"/>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686" w:type="dxa"/>
            <w:gridSpan w:val="2"/>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65" w:type="dxa"/>
            <w:gridSpan w:val="3"/>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65" w:type="dxa"/>
            <w:gridSpan w:val="2"/>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65" w:type="dxa"/>
            <w:gridSpan w:val="3"/>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1572"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bl>
    <w:p w:rsidR="007D1AA3" w:rsidRDefault="000A10F6">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p>
    <w:p w:rsidR="00D468D3" w:rsidRDefault="007D1AA3">
      <w:r w:rsidRPr="00F0204C">
        <w:rPr>
          <w:rFonts w:ascii="仿宋_GB2312" w:eastAsia="仿宋_GB2312" w:hAnsiTheme="majorEastAsia" w:hint="eastAsia"/>
          <w:b/>
          <w:sz w:val="28"/>
          <w:szCs w:val="28"/>
        </w:rPr>
        <w:t>本部门本年度无相关收入，支出及结转结余情况，按要求空表列示</w:t>
      </w:r>
      <w:r w:rsidR="000A10F6">
        <w:tab/>
      </w:r>
      <w:r w:rsidR="000A10F6">
        <w:tab/>
      </w:r>
      <w:r w:rsidR="000A10F6">
        <w:tab/>
      </w:r>
      <w:r w:rsidR="000A10F6">
        <w:tab/>
      </w:r>
      <w:r w:rsidR="000A10F6">
        <w:tab/>
      </w:r>
      <w:r w:rsidR="000A10F6">
        <w:tab/>
      </w:r>
      <w:r w:rsidR="000A10F6">
        <w:tab/>
      </w:r>
      <w:r w:rsidR="000A10F6">
        <w:tab/>
      </w:r>
      <w:r w:rsidR="000A10F6">
        <w:tab/>
      </w:r>
      <w:r w:rsidR="000A10F6">
        <w:br w:type="page"/>
      </w:r>
    </w:p>
    <w:tbl>
      <w:tblPr>
        <w:tblW w:w="9510" w:type="dxa"/>
        <w:jc w:val="center"/>
        <w:tblCellMar>
          <w:left w:w="0" w:type="dxa"/>
          <w:right w:w="0" w:type="dxa"/>
        </w:tblCellMar>
        <w:tblLook w:val="04A0"/>
      </w:tblPr>
      <w:tblGrid>
        <w:gridCol w:w="1035"/>
        <w:gridCol w:w="59"/>
        <w:gridCol w:w="59"/>
        <w:gridCol w:w="1493"/>
        <w:gridCol w:w="1144"/>
        <w:gridCol w:w="1144"/>
        <w:gridCol w:w="1144"/>
        <w:gridCol w:w="1144"/>
        <w:gridCol w:w="1144"/>
        <w:gridCol w:w="1144"/>
      </w:tblGrid>
      <w:tr w:rsidR="00D468D3">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D468D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D468D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rsidTr="00E87ADA">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3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D468D3" w:rsidTr="00E87ADA">
        <w:trPr>
          <w:trHeight w:val="312"/>
          <w:jc w:val="center"/>
        </w:trPr>
        <w:tc>
          <w:tcPr>
            <w:tcW w:w="1151"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E87ADA">
        <w:trPr>
          <w:trHeight w:val="312"/>
          <w:jc w:val="center"/>
        </w:trPr>
        <w:tc>
          <w:tcPr>
            <w:tcW w:w="115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rsidTr="00E87ADA">
        <w:trPr>
          <w:trHeight w:val="312"/>
          <w:jc w:val="center"/>
        </w:trPr>
        <w:tc>
          <w:tcPr>
            <w:tcW w:w="115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center"/>
              <w:rPr>
                <w:rFonts w:ascii="宋体" w:eastAsia="宋体" w:hAnsi="宋体" w:cs="宋体"/>
                <w:color w:val="000000"/>
                <w:sz w:val="22"/>
              </w:rPr>
            </w:pPr>
          </w:p>
        </w:tc>
      </w:tr>
      <w:tr w:rsidR="00D468D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D468D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r>
      <w:tr w:rsidR="00D468D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bl>
    <w:p w:rsidR="00E87ADA" w:rsidRDefault="00E87ADA" w:rsidP="00E87ADA">
      <w:pPr>
        <w:rPr>
          <w:rFonts w:ascii="仿宋_GB2312" w:eastAsia="仿宋_GB2312" w:hAnsiTheme="majorEastAsia" w:hint="eastAsia"/>
          <w:b/>
          <w:sz w:val="28"/>
          <w:szCs w:val="28"/>
        </w:rPr>
      </w:pPr>
      <w:r w:rsidRPr="00F0204C">
        <w:rPr>
          <w:rFonts w:ascii="仿宋_GB2312" w:eastAsia="仿宋_GB2312" w:hAnsiTheme="majorEastAsia" w:hint="eastAsia"/>
          <w:b/>
          <w:sz w:val="28"/>
          <w:szCs w:val="28"/>
        </w:rPr>
        <w:t>本部门本年度无相关收入，支出及结转结余情况，按要求空表列示</w:t>
      </w:r>
    </w:p>
    <w:p w:rsidR="00D468D3" w:rsidRDefault="000A10F6">
      <w:r>
        <w:br w:type="page"/>
      </w:r>
    </w:p>
    <w:tbl>
      <w:tblPr>
        <w:tblW w:w="9918" w:type="dxa"/>
        <w:jc w:val="center"/>
        <w:tblCellMar>
          <w:left w:w="0" w:type="dxa"/>
          <w:right w:w="0" w:type="dxa"/>
        </w:tblCellMar>
        <w:tblLook w:val="04A0"/>
      </w:tblPr>
      <w:tblGrid>
        <w:gridCol w:w="1110"/>
        <w:gridCol w:w="63"/>
        <w:gridCol w:w="63"/>
        <w:gridCol w:w="4648"/>
        <w:gridCol w:w="828"/>
        <w:gridCol w:w="1603"/>
        <w:gridCol w:w="1603"/>
      </w:tblGrid>
      <w:tr w:rsidR="00D468D3" w:rsidTr="00574F63">
        <w:trPr>
          <w:trHeight w:val="840"/>
          <w:jc w:val="center"/>
        </w:trPr>
        <w:tc>
          <w:tcPr>
            <w:tcW w:w="9918" w:type="dxa"/>
            <w:gridSpan w:val="7"/>
            <w:tcBorders>
              <w:top w:val="nil"/>
              <w:left w:val="nil"/>
              <w:bottom w:val="nil"/>
              <w:right w:val="nil"/>
            </w:tcBorders>
            <w:shd w:val="clear" w:color="auto" w:fill="auto"/>
            <w:noWrap/>
            <w:tcMar>
              <w:top w:w="15" w:type="dxa"/>
              <w:left w:w="15" w:type="dxa"/>
              <w:right w:w="15" w:type="dxa"/>
            </w:tcMar>
            <w:vAlign w:val="center"/>
          </w:tcPr>
          <w:p w:rsidR="00D468D3" w:rsidRDefault="000A10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D468D3" w:rsidTr="00574F6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D468D3" w:rsidTr="00574F6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D468D3" w:rsidRDefault="00D468D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D468D3" w:rsidRDefault="000A10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468D3" w:rsidTr="00574F63">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D468D3" w:rsidTr="00574F63">
        <w:trPr>
          <w:trHeight w:val="615"/>
          <w:jc w:val="center"/>
        </w:trPr>
        <w:tc>
          <w:tcPr>
            <w:tcW w:w="130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D468D3" w:rsidTr="00574F6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D468D3" w:rsidTr="00574F6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0A10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b/>
                <w:color w:val="000000"/>
                <w:sz w:val="22"/>
              </w:rPr>
            </w:pPr>
          </w:p>
        </w:tc>
      </w:tr>
      <w:tr w:rsidR="00D468D3" w:rsidTr="00574F6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43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468D3" w:rsidRDefault="00D468D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468D3" w:rsidRDefault="00D468D3">
            <w:pPr>
              <w:jc w:val="right"/>
              <w:rPr>
                <w:rFonts w:ascii="宋体" w:eastAsia="宋体" w:hAnsi="宋体" w:cs="宋体"/>
                <w:color w:val="000000"/>
                <w:sz w:val="22"/>
              </w:rPr>
            </w:pPr>
          </w:p>
        </w:tc>
      </w:tr>
    </w:tbl>
    <w:p w:rsidR="00574F63" w:rsidRDefault="00574F63" w:rsidP="00574F63">
      <w:pPr>
        <w:rPr>
          <w:rFonts w:ascii="仿宋_GB2312" w:eastAsia="仿宋_GB2312" w:hAnsiTheme="majorEastAsia" w:hint="eastAsia"/>
          <w:b/>
          <w:sz w:val="28"/>
          <w:szCs w:val="28"/>
        </w:rPr>
      </w:pPr>
      <w:r w:rsidRPr="00F0204C">
        <w:rPr>
          <w:rFonts w:ascii="仿宋_GB2312" w:eastAsia="仿宋_GB2312" w:hAnsiTheme="majorEastAsia" w:hint="eastAsia"/>
          <w:b/>
          <w:sz w:val="28"/>
          <w:szCs w:val="28"/>
        </w:rPr>
        <w:t>本部门本年度无相关收入，支出及结转结余情况，按要求空表列示</w:t>
      </w:r>
    </w:p>
    <w:p w:rsidR="00D468D3" w:rsidRDefault="00D468D3"/>
    <w:sectPr w:rsidR="00D468D3" w:rsidSect="00D468D3">
      <w:headerReference w:type="default" r:id="rId35"/>
      <w:footerReference w:type="default" r:id="rId36"/>
      <w:headerReference w:type="first" r:id="rId37"/>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2833" w:rsidRDefault="002F2833" w:rsidP="00D468D3">
      <w:r>
        <w:separator/>
      </w:r>
    </w:p>
  </w:endnote>
  <w:endnote w:type="continuationSeparator" w:id="0">
    <w:p w:rsidR="002F2833" w:rsidRDefault="002F2833" w:rsidP="00D468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altName w:val="Arial Unicode MS"/>
    <w:charset w:val="86"/>
    <w:family w:val="modern"/>
    <w:pitch w:val="default"/>
    <w:sig w:usb0="00000000" w:usb1="00000000" w:usb2="00000016" w:usb3="00000000" w:csb0="00040001" w:csb1="00000000"/>
  </w:font>
  <w:font w:name="ArialUnicodeMS">
    <w:altName w:val="Malgun Gothic"/>
    <w:charset w:val="81"/>
    <w:family w:val="auto"/>
    <w:pitch w:val="default"/>
    <w:sig w:usb0="00000000" w:usb1="00000000" w:usb2="00000010" w:usb3="00000000" w:csb0="00080001" w:csb1="00000000"/>
  </w:font>
  <w:font w:name="微软雅黑">
    <w:panose1 w:val="020B0503020204020204"/>
    <w:charset w:val="86"/>
    <w:family w:val="swiss"/>
    <w:pitch w:val="variable"/>
    <w:sig w:usb0="80000287" w:usb1="2A0F3C52" w:usb2="00000016" w:usb3="00000000" w:csb0="0004001F" w:csb1="00000000"/>
  </w:font>
  <w:font w:name="Cambria">
    <w:panose1 w:val="02040503050406030204"/>
    <w:charset w:val="00"/>
    <w:family w:val="roman"/>
    <w:pitch w:val="variable"/>
    <w:sig w:usb0="A00002EF" w:usb1="4000004B" w:usb2="00000000" w:usb3="00000000" w:csb0="000000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等线 Light">
    <w:altName w:val="汉仪旗黑-55"/>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8A9" w:rsidRDefault="006E68A9">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283072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1412DA" w:rsidRDefault="001234E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412D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32179">
                  <w:rPr>
                    <w:rFonts w:ascii="Times New Roman" w:hAnsi="Times New Roman" w:cs="Times New Roman"/>
                    <w:noProof/>
                    <w:sz w:val="24"/>
                    <w:szCs w:val="24"/>
                  </w:rPr>
                  <w:t>- 26 -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8A9" w:rsidRDefault="006E68A9">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8A9" w:rsidRDefault="006E68A9">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412DA">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412DA">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88761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1412DA" w:rsidRDefault="001234E9">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1412D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32179">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88864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1412DA" w:rsidRDefault="001234E9">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1412D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32179">
                  <w:rPr>
                    <w:rFonts w:ascii="Times New Roman" w:hAnsi="Times New Roman" w:cs="Times New Roman"/>
                    <w:noProof/>
                    <w:sz w:val="24"/>
                    <w:szCs w:val="24"/>
                  </w:rPr>
                  <w:t>- 3 -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88966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1412DA" w:rsidRDefault="001234E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412D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32179">
                  <w:rPr>
                    <w:rFonts w:ascii="Times New Roman" w:hAnsi="Times New Roman" w:cs="Times New Roman"/>
                    <w:noProof/>
                    <w:sz w:val="24"/>
                    <w:szCs w:val="24"/>
                  </w:rPr>
                  <w:t>- 17 -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89068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1412DA" w:rsidRDefault="001234E9">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1412D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32179">
                  <w:rPr>
                    <w:rFonts w:ascii="Times New Roman" w:hAnsi="Times New Roman" w:cs="Times New Roman"/>
                    <w:noProof/>
                    <w:sz w:val="24"/>
                    <w:szCs w:val="24"/>
                  </w:rPr>
                  <w:t>- 13 -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2833" w:rsidRDefault="002F2833" w:rsidP="00D468D3">
      <w:r>
        <w:separator/>
      </w:r>
    </w:p>
  </w:footnote>
  <w:footnote w:type="continuationSeparator" w:id="0">
    <w:p w:rsidR="002F2833" w:rsidRDefault="002F2833" w:rsidP="00D468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8A9" w:rsidRDefault="006E68A9">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412DA">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412DA">
    <w:pPr>
      <w:pStyle w:val="a5"/>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5"/>
    </w:pPr>
    <w:r>
      <w:pict>
        <v:group id="_x0000_s2053" style="position:absolute;left:0;text-align:left;margin-left:2.5pt;margin-top:28.75pt;width:594.8pt;height:35.25pt;z-index:25283174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283276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1412DA" w:rsidRDefault="001412D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1412DA" w:rsidRDefault="001412DA"/>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5"/>
    </w:pPr>
    <w:r>
      <w:pict>
        <v:group id="_x0000_s2060" style="position:absolute;left:0;text-align:left;margin-left:0;margin-top:0;width:596.5pt;height:38.05pt;z-index:25189171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89273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1412DA" w:rsidRDefault="001412DA">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8A9" w:rsidRDefault="006E68A9">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68A9" w:rsidRDefault="006E68A9">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412DA">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412DA">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5"/>
    </w:pPr>
    <w:r>
      <w:pict>
        <v:group id="_x0000_s2096" style="position:absolute;left:0;text-align:left;margin-left:0;margin-top:53.75pt;width:594.8pt;height:31.5pt;z-index:25188556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88659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1412DA" w:rsidRDefault="001412D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5"/>
    </w:pPr>
    <w:r>
      <w:pict>
        <v:group id="_x0000_s2089" style="position:absolute;left:0;text-align:left;margin-left:2.25pt;margin-top:45.75pt;width:239.85pt;height:32.05pt;z-index:2517063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1412DA" w:rsidRDefault="001412D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7053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5"/>
    </w:pPr>
    <w:r>
      <w:pict>
        <v:group id="_x0000_s2073" style="position:absolute;left:0;text-align:left;margin-left:0;margin-top:0;width:594.8pt;height:37.85pt;z-index:251754496;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755520;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1412DA" w:rsidRDefault="001412D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2DA" w:rsidRDefault="001234E9">
    <w:pPr>
      <w:pStyle w:val="a5"/>
    </w:pPr>
    <w:r>
      <w:pict>
        <v:group id="_x0000_s2082" style="position:absolute;left:0;text-align:left;margin-left:0;margin-top:29.75pt;width:157.5pt;height:32pt;z-index:25175756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1412DA" w:rsidRDefault="001412DA">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75654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attachedTemplate r:id="rId1"/>
  <w:defaultTabStop w:val="420"/>
  <w:drawingGridVerticalSpacing w:val="156"/>
  <w:noPunctuationKerning/>
  <w:characterSpacingControl w:val="compressPunctuation"/>
  <w:hdrShapeDefaults>
    <o:shapedefaults v:ext="edit" spidmax="15362"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12E69"/>
    <w:rsid w:val="00031E61"/>
    <w:rsid w:val="00032179"/>
    <w:rsid w:val="0007063E"/>
    <w:rsid w:val="00073392"/>
    <w:rsid w:val="00073F4E"/>
    <w:rsid w:val="00086C89"/>
    <w:rsid w:val="000A10F6"/>
    <w:rsid w:val="000A39FB"/>
    <w:rsid w:val="000B5E3F"/>
    <w:rsid w:val="000E0714"/>
    <w:rsid w:val="000E461B"/>
    <w:rsid w:val="000E4A05"/>
    <w:rsid w:val="00117746"/>
    <w:rsid w:val="001234E9"/>
    <w:rsid w:val="001412DA"/>
    <w:rsid w:val="00163F95"/>
    <w:rsid w:val="0016402E"/>
    <w:rsid w:val="00180A9A"/>
    <w:rsid w:val="001829C0"/>
    <w:rsid w:val="00184809"/>
    <w:rsid w:val="00192112"/>
    <w:rsid w:val="001B0127"/>
    <w:rsid w:val="001C12D5"/>
    <w:rsid w:val="001C69F7"/>
    <w:rsid w:val="001D6F97"/>
    <w:rsid w:val="00220D42"/>
    <w:rsid w:val="002650EC"/>
    <w:rsid w:val="0029749D"/>
    <w:rsid w:val="002A6C46"/>
    <w:rsid w:val="002C19B5"/>
    <w:rsid w:val="002C1F55"/>
    <w:rsid w:val="002D38BE"/>
    <w:rsid w:val="002F2833"/>
    <w:rsid w:val="00325DEA"/>
    <w:rsid w:val="00340F5E"/>
    <w:rsid w:val="003A4EE8"/>
    <w:rsid w:val="003D1224"/>
    <w:rsid w:val="004106EA"/>
    <w:rsid w:val="00442CC2"/>
    <w:rsid w:val="00446244"/>
    <w:rsid w:val="00473C20"/>
    <w:rsid w:val="00490D1C"/>
    <w:rsid w:val="004D61CB"/>
    <w:rsid w:val="005011D6"/>
    <w:rsid w:val="00503F2E"/>
    <w:rsid w:val="00552226"/>
    <w:rsid w:val="005642B6"/>
    <w:rsid w:val="00566120"/>
    <w:rsid w:val="005729C8"/>
    <w:rsid w:val="00574F63"/>
    <w:rsid w:val="00582A97"/>
    <w:rsid w:val="00582E6D"/>
    <w:rsid w:val="005954D5"/>
    <w:rsid w:val="005A53FA"/>
    <w:rsid w:val="005D1293"/>
    <w:rsid w:val="00603DCA"/>
    <w:rsid w:val="00606C8D"/>
    <w:rsid w:val="006349CD"/>
    <w:rsid w:val="00644D5F"/>
    <w:rsid w:val="00657F86"/>
    <w:rsid w:val="006727AD"/>
    <w:rsid w:val="00691425"/>
    <w:rsid w:val="006A516E"/>
    <w:rsid w:val="006B0830"/>
    <w:rsid w:val="006B7896"/>
    <w:rsid w:val="006E459A"/>
    <w:rsid w:val="006E68A9"/>
    <w:rsid w:val="006F2FCB"/>
    <w:rsid w:val="00716E2B"/>
    <w:rsid w:val="007441E2"/>
    <w:rsid w:val="00770F18"/>
    <w:rsid w:val="00773B74"/>
    <w:rsid w:val="00774A77"/>
    <w:rsid w:val="0078290C"/>
    <w:rsid w:val="00795328"/>
    <w:rsid w:val="007C06CA"/>
    <w:rsid w:val="007C546A"/>
    <w:rsid w:val="007D1AA3"/>
    <w:rsid w:val="008163FB"/>
    <w:rsid w:val="0082605B"/>
    <w:rsid w:val="00855C36"/>
    <w:rsid w:val="00857DBE"/>
    <w:rsid w:val="008701BC"/>
    <w:rsid w:val="00883D92"/>
    <w:rsid w:val="008A5362"/>
    <w:rsid w:val="008B0935"/>
    <w:rsid w:val="008B428A"/>
    <w:rsid w:val="008E6EE7"/>
    <w:rsid w:val="008F21F1"/>
    <w:rsid w:val="008F221B"/>
    <w:rsid w:val="008F5A2D"/>
    <w:rsid w:val="00921602"/>
    <w:rsid w:val="0094488D"/>
    <w:rsid w:val="00957EA1"/>
    <w:rsid w:val="00966E5B"/>
    <w:rsid w:val="009A37F9"/>
    <w:rsid w:val="009B4EF0"/>
    <w:rsid w:val="009D271F"/>
    <w:rsid w:val="009E1628"/>
    <w:rsid w:val="009F410F"/>
    <w:rsid w:val="00A101B3"/>
    <w:rsid w:val="00A33698"/>
    <w:rsid w:val="00A35918"/>
    <w:rsid w:val="00A602ED"/>
    <w:rsid w:val="00A76854"/>
    <w:rsid w:val="00A929C2"/>
    <w:rsid w:val="00AD097F"/>
    <w:rsid w:val="00B164A7"/>
    <w:rsid w:val="00B168D8"/>
    <w:rsid w:val="00B22C60"/>
    <w:rsid w:val="00B55FBC"/>
    <w:rsid w:val="00B844F4"/>
    <w:rsid w:val="00B96FC9"/>
    <w:rsid w:val="00BA06A1"/>
    <w:rsid w:val="00BA770A"/>
    <w:rsid w:val="00BF5752"/>
    <w:rsid w:val="00C0376D"/>
    <w:rsid w:val="00C054DE"/>
    <w:rsid w:val="00C53347"/>
    <w:rsid w:val="00C679A9"/>
    <w:rsid w:val="00C7541C"/>
    <w:rsid w:val="00C81DA9"/>
    <w:rsid w:val="00CC0FAA"/>
    <w:rsid w:val="00CD0736"/>
    <w:rsid w:val="00D1570F"/>
    <w:rsid w:val="00D32830"/>
    <w:rsid w:val="00D36688"/>
    <w:rsid w:val="00D468D3"/>
    <w:rsid w:val="00D907AA"/>
    <w:rsid w:val="00DB7153"/>
    <w:rsid w:val="00DB7F05"/>
    <w:rsid w:val="00DE2332"/>
    <w:rsid w:val="00E028C3"/>
    <w:rsid w:val="00E14F77"/>
    <w:rsid w:val="00E3076B"/>
    <w:rsid w:val="00E36978"/>
    <w:rsid w:val="00E77B44"/>
    <w:rsid w:val="00E82A1E"/>
    <w:rsid w:val="00E861E0"/>
    <w:rsid w:val="00E87ADA"/>
    <w:rsid w:val="00EA05EC"/>
    <w:rsid w:val="00EC06F4"/>
    <w:rsid w:val="00EC0C4C"/>
    <w:rsid w:val="00ED0BFB"/>
    <w:rsid w:val="00EE0637"/>
    <w:rsid w:val="00EE4E36"/>
    <w:rsid w:val="00EF5C73"/>
    <w:rsid w:val="00F14AF4"/>
    <w:rsid w:val="00F3358A"/>
    <w:rsid w:val="00F45A6C"/>
    <w:rsid w:val="00F61C3B"/>
    <w:rsid w:val="00F665F4"/>
    <w:rsid w:val="00FA7818"/>
    <w:rsid w:val="00FC1FF7"/>
    <w:rsid w:val="00FD225F"/>
    <w:rsid w:val="00FD646D"/>
    <w:rsid w:val="00FE6212"/>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8D3"/>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D468D3"/>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D468D3"/>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D468D3"/>
    <w:pPr>
      <w:tabs>
        <w:tab w:val="center" w:pos="4153"/>
        <w:tab w:val="right" w:pos="8306"/>
      </w:tabs>
      <w:snapToGrid w:val="0"/>
      <w:jc w:val="left"/>
    </w:pPr>
    <w:rPr>
      <w:sz w:val="18"/>
      <w:szCs w:val="18"/>
    </w:rPr>
  </w:style>
  <w:style w:type="paragraph" w:styleId="a5">
    <w:name w:val="header"/>
    <w:basedOn w:val="a"/>
    <w:link w:val="Char0"/>
    <w:uiPriority w:val="99"/>
    <w:unhideWhenUsed/>
    <w:rsid w:val="00D468D3"/>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D468D3"/>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D468D3"/>
    <w:rPr>
      <w:rFonts w:asciiTheme="minorHAnsi" w:eastAsiaTheme="minorEastAsia" w:hAnsiTheme="minorHAnsi"/>
      <w:sz w:val="18"/>
      <w:szCs w:val="18"/>
    </w:rPr>
  </w:style>
  <w:style w:type="character" w:customStyle="1" w:styleId="Char">
    <w:name w:val="页脚 Char"/>
    <w:basedOn w:val="a0"/>
    <w:link w:val="a4"/>
    <w:uiPriority w:val="99"/>
    <w:qFormat/>
    <w:rsid w:val="00D468D3"/>
    <w:rPr>
      <w:sz w:val="18"/>
      <w:szCs w:val="18"/>
    </w:rPr>
  </w:style>
  <w:style w:type="paragraph" w:customStyle="1" w:styleId="10">
    <w:name w:val="列出段落1"/>
    <w:basedOn w:val="a"/>
    <w:uiPriority w:val="1"/>
    <w:qFormat/>
    <w:rsid w:val="00D468D3"/>
    <w:pPr>
      <w:spacing w:before="2"/>
      <w:ind w:left="119" w:right="434" w:firstLine="643"/>
    </w:pPr>
    <w:rPr>
      <w:rFonts w:ascii="仿宋_GB2312" w:eastAsia="仿宋_GB2312" w:hAnsi="仿宋_GB2312" w:cs="仿宋_GB2312"/>
      <w:lang w:val="zh-CN" w:bidi="zh-CN"/>
    </w:rPr>
  </w:style>
  <w:style w:type="paragraph" w:styleId="a7">
    <w:name w:val="List Paragraph"/>
    <w:basedOn w:val="a"/>
    <w:uiPriority w:val="99"/>
    <w:unhideWhenUsed/>
    <w:qFormat/>
    <w:rsid w:val="004106EA"/>
    <w:pPr>
      <w:spacing w:after="160" w:line="480" w:lineRule="auto"/>
      <w:ind w:firstLineChars="200" w:firstLine="420"/>
    </w:pPr>
    <w:rPr>
      <w:rFonts w:ascii="Times New Roman" w:eastAsia="宋体" w:hAnsi="Times New Roman" w:cs="Times New Roman"/>
      <w:szCs w:val="24"/>
    </w:rPr>
  </w:style>
  <w:style w:type="paragraph" w:styleId="a8">
    <w:name w:val="Balloon Text"/>
    <w:basedOn w:val="a"/>
    <w:link w:val="Char1"/>
    <w:uiPriority w:val="99"/>
    <w:semiHidden/>
    <w:unhideWhenUsed/>
    <w:rsid w:val="005642B6"/>
    <w:rPr>
      <w:sz w:val="18"/>
      <w:szCs w:val="18"/>
    </w:rPr>
  </w:style>
  <w:style w:type="character" w:customStyle="1" w:styleId="Char1">
    <w:name w:val="批注框文本 Char"/>
    <w:basedOn w:val="a0"/>
    <w:link w:val="a8"/>
    <w:uiPriority w:val="99"/>
    <w:semiHidden/>
    <w:rsid w:val="005642B6"/>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divs>
    <w:div w:id="8062432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chart" Target="charts/chart3.xml"/><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chart" Target="charts/chart2.xml"/><Relationship Id="rId33" Type="http://schemas.openxmlformats.org/officeDocument/2006/relationships/header" Target="header10.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eader" Target="header6.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1.xml"/><Relationship Id="rId32" Type="http://schemas.openxmlformats.org/officeDocument/2006/relationships/footer" Target="footer9.xml"/><Relationship Id="rId37" Type="http://schemas.openxmlformats.org/officeDocument/2006/relationships/header" Target="header13.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7.xml"/><Relationship Id="rId28" Type="http://schemas.openxmlformats.org/officeDocument/2006/relationships/chart" Target="charts/chart5.xml"/><Relationship Id="rId36" Type="http://schemas.openxmlformats.org/officeDocument/2006/relationships/footer" Target="footer10.xml"/><Relationship Id="rId10" Type="http://schemas.openxmlformats.org/officeDocument/2006/relationships/header" Target="header2.xml"/><Relationship Id="rId19" Type="http://schemas.openxmlformats.org/officeDocument/2006/relationships/image" Target="media/image1.gif"/><Relationship Id="rId31"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chart" Target="charts/chart4.xml"/><Relationship Id="rId30" Type="http://schemas.openxmlformats.org/officeDocument/2006/relationships/footer" Target="footer8.xml"/><Relationship Id="rId35" Type="http://schemas.openxmlformats.org/officeDocument/2006/relationships/header" Target="header1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2007__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2007___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2007___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2007___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2007___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style val="6"/>
  <c:chart>
    <c:title/>
    <c:view3D>
      <c:rotX val="30"/>
      <c:perspective val="30"/>
    </c:view3D>
    <c:plotArea>
      <c:layout/>
      <c:pie3DChart>
        <c:varyColors val="1"/>
        <c:ser>
          <c:idx val="0"/>
          <c:order val="0"/>
          <c:tx>
            <c:strRef>
              <c:f>Sheet1!$B$1</c:f>
              <c:strCache>
                <c:ptCount val="1"/>
                <c:pt idx="0">
                  <c:v>收入构成</c:v>
                </c:pt>
              </c:strCache>
            </c:strRef>
          </c:tx>
          <c:dLbls>
            <c:showCatName val="1"/>
            <c:showPercent val="1"/>
            <c:showLeaderLines val="1"/>
          </c:dLbls>
          <c:cat>
            <c:strRef>
              <c:f>Sheet1!$A$2:$A$5</c:f>
              <c:strCache>
                <c:ptCount val="2"/>
                <c:pt idx="0">
                  <c:v>财政拨款收入</c:v>
                </c:pt>
                <c:pt idx="1">
                  <c:v>其他收入</c:v>
                </c:pt>
              </c:strCache>
            </c:strRef>
          </c:cat>
          <c:val>
            <c:numRef>
              <c:f>Sheet1!$B$2:$B$5</c:f>
              <c:numCache>
                <c:formatCode>0%</c:formatCode>
                <c:ptCount val="2"/>
                <c:pt idx="0">
                  <c:v>1</c:v>
                </c:pt>
                <c:pt idx="1">
                  <c:v>0</c:v>
                </c:pt>
              </c:numCache>
            </c:numRef>
          </c:val>
        </c:ser>
        <c:dLbls>
          <c:showCatName val="1"/>
          <c:showPercent val="1"/>
        </c:dLbls>
      </c:pie3D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style val="6"/>
  <c:chart>
    <c:title/>
    <c:view3D>
      <c:rotX val="30"/>
      <c:perspective val="30"/>
    </c:view3D>
    <c:plotArea>
      <c:layout/>
      <c:pie3DChart>
        <c:varyColors val="1"/>
        <c:ser>
          <c:idx val="0"/>
          <c:order val="0"/>
          <c:tx>
            <c:strRef>
              <c:f>Sheet1!$B$1</c:f>
              <c:strCache>
                <c:ptCount val="1"/>
                <c:pt idx="0">
                  <c:v>支出构成</c:v>
                </c:pt>
              </c:strCache>
            </c:strRef>
          </c:tx>
          <c:dLbls>
            <c:showCatName val="1"/>
            <c:showPercent val="1"/>
            <c:showLeaderLines val="1"/>
          </c:dLbls>
          <c:cat>
            <c:strRef>
              <c:f>Sheet1!$A$2:$A$5</c:f>
              <c:strCache>
                <c:ptCount val="2"/>
                <c:pt idx="0">
                  <c:v>基本支出</c:v>
                </c:pt>
                <c:pt idx="1">
                  <c:v>项目支出</c:v>
                </c:pt>
              </c:strCache>
            </c:strRef>
          </c:cat>
          <c:val>
            <c:numRef>
              <c:f>Sheet1!$B$2:$B$5</c:f>
              <c:numCache>
                <c:formatCode>0%</c:formatCode>
                <c:ptCount val="3"/>
                <c:pt idx="0">
                  <c:v>1</c:v>
                </c:pt>
                <c:pt idx="1">
                  <c:v>0</c:v>
                </c:pt>
              </c:numCache>
            </c:numRef>
          </c:val>
        </c:ser>
        <c:dLbls>
          <c:showCatName val="1"/>
          <c:showPercent val="1"/>
        </c:dLbls>
      </c:pie3D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a:lstStyle/>
          <a:p>
            <a:pPr>
              <a:defRPr/>
            </a:pPr>
            <a:r>
              <a:rPr lang="en-US" altLang="zh-CN"/>
              <a:t>2018</a:t>
            </a:r>
            <a:r>
              <a:rPr lang="zh-CN" altLang="en-US"/>
              <a:t>与</a:t>
            </a:r>
            <a:r>
              <a:rPr lang="en-US" altLang="zh-CN"/>
              <a:t>2019</a:t>
            </a:r>
            <a:r>
              <a:rPr lang="zh-CN" altLang="en-US"/>
              <a:t>年一般公共预算</a:t>
            </a:r>
            <a:endParaRPr lang="en-US" altLang="zh-CN"/>
          </a:p>
          <a:p>
            <a:pPr>
              <a:defRPr/>
            </a:pPr>
            <a:r>
              <a:rPr lang="zh-CN" altLang="en-US"/>
              <a:t>收入支出情况对比</a:t>
            </a:r>
          </a:p>
        </c:rich>
      </c:tx>
    </c:title>
    <c:plotArea>
      <c:layout>
        <c:manualLayout>
          <c:layoutTarget val="inner"/>
          <c:xMode val="edge"/>
          <c:yMode val="edge"/>
          <c:x val="2.5462962962962982E-2"/>
          <c:y val="0.16083333333333341"/>
          <c:w val="0.88657407407407463"/>
          <c:h val="0.74537714035745528"/>
        </c:manualLayout>
      </c:layout>
      <c:barChart>
        <c:barDir val="col"/>
        <c:grouping val="clustered"/>
        <c:ser>
          <c:idx val="0"/>
          <c:order val="0"/>
          <c:tx>
            <c:strRef>
              <c:f>Sheet1!$B$1</c:f>
              <c:strCache>
                <c:ptCount val="1"/>
                <c:pt idx="0">
                  <c:v>2018与2019年一般公共预算收入支出情况对比</c:v>
                </c:pt>
              </c:strCache>
            </c:strRef>
          </c:tx>
          <c:cat>
            <c:strRef>
              <c:f>Sheet1!$A$2:$A$5</c:f>
              <c:strCache>
                <c:ptCount val="4"/>
                <c:pt idx="0">
                  <c:v>2019年收入</c:v>
                </c:pt>
                <c:pt idx="1">
                  <c:v>2018年收入</c:v>
                </c:pt>
                <c:pt idx="2">
                  <c:v>2019年支出</c:v>
                </c:pt>
                <c:pt idx="3">
                  <c:v>2018年支出</c:v>
                </c:pt>
              </c:strCache>
            </c:strRef>
          </c:cat>
          <c:val>
            <c:numRef>
              <c:f>Sheet1!$B$2:$B$5</c:f>
              <c:numCache>
                <c:formatCode>General</c:formatCode>
                <c:ptCount val="4"/>
                <c:pt idx="0">
                  <c:v>84.14</c:v>
                </c:pt>
                <c:pt idx="1">
                  <c:v>84.7</c:v>
                </c:pt>
                <c:pt idx="2">
                  <c:v>80.149999999999991</c:v>
                </c:pt>
                <c:pt idx="3">
                  <c:v>77.47</c:v>
                </c:pt>
              </c:numCache>
            </c:numRef>
          </c:val>
        </c:ser>
        <c:ser>
          <c:idx val="1"/>
          <c:order val="1"/>
          <c:tx>
            <c:strRef>
              <c:f>Sheet1!$C$1</c:f>
              <c:strCache>
                <c:ptCount val="1"/>
                <c:pt idx="0">
                  <c:v>列1</c:v>
                </c:pt>
              </c:strCache>
            </c:strRef>
          </c:tx>
          <c:cat>
            <c:strRef>
              <c:f>Sheet1!$A$2:$A$5</c:f>
              <c:strCache>
                <c:ptCount val="4"/>
                <c:pt idx="0">
                  <c:v>2019年收入</c:v>
                </c:pt>
                <c:pt idx="1">
                  <c:v>2018年收入</c:v>
                </c:pt>
                <c:pt idx="2">
                  <c:v>2019年支出</c:v>
                </c:pt>
                <c:pt idx="3">
                  <c:v>2018年支出</c:v>
                </c:pt>
              </c:strCache>
            </c:strRef>
          </c:cat>
          <c:val>
            <c:numRef>
              <c:f>Sheet1!$C$2:$C$5</c:f>
            </c:numRef>
          </c:val>
        </c:ser>
        <c:ser>
          <c:idx val="2"/>
          <c:order val="2"/>
          <c:tx>
            <c:strRef>
              <c:f>Sheet1!$D$1</c:f>
              <c:strCache>
                <c:ptCount val="1"/>
                <c:pt idx="0">
                  <c:v>列2</c:v>
                </c:pt>
              </c:strCache>
            </c:strRef>
          </c:tx>
          <c:cat>
            <c:strRef>
              <c:f>Sheet1!$A$2:$A$5</c:f>
              <c:strCache>
                <c:ptCount val="4"/>
                <c:pt idx="0">
                  <c:v>2019年收入</c:v>
                </c:pt>
                <c:pt idx="1">
                  <c:v>2018年收入</c:v>
                </c:pt>
                <c:pt idx="2">
                  <c:v>2019年支出</c:v>
                </c:pt>
                <c:pt idx="3">
                  <c:v>2018年支出</c:v>
                </c:pt>
              </c:strCache>
            </c:strRef>
          </c:cat>
          <c:val>
            <c:numRef>
              <c:f>Sheet1!$D$2:$D$5</c:f>
            </c:numRef>
          </c:val>
        </c:ser>
        <c:dLbls>
          <c:showVal val="1"/>
        </c:dLbls>
        <c:overlap val="-25"/>
        <c:axId val="229439744"/>
        <c:axId val="229449728"/>
      </c:barChart>
      <c:catAx>
        <c:axId val="229439744"/>
        <c:scaling>
          <c:orientation val="minMax"/>
        </c:scaling>
        <c:axPos val="b"/>
        <c:numFmt formatCode="General" sourceLinked="1"/>
        <c:majorTickMark val="none"/>
        <c:tickLblPos val="nextTo"/>
        <c:crossAx val="229449728"/>
        <c:crosses val="autoZero"/>
        <c:auto val="1"/>
        <c:lblAlgn val="ctr"/>
        <c:lblOffset val="100"/>
      </c:catAx>
      <c:valAx>
        <c:axId val="229449728"/>
        <c:scaling>
          <c:orientation val="minMax"/>
        </c:scaling>
        <c:delete val="1"/>
        <c:axPos val="l"/>
        <c:numFmt formatCode="General" sourceLinked="1"/>
        <c:majorTickMark val="none"/>
        <c:tickLblPos val="none"/>
        <c:crossAx val="22943974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plotArea>
      <c:layout/>
      <c:barChart>
        <c:barDir val="col"/>
        <c:grouping val="clustered"/>
        <c:ser>
          <c:idx val="0"/>
          <c:order val="0"/>
          <c:tx>
            <c:strRef>
              <c:f>Sheet1!$B$1</c:f>
              <c:strCache>
                <c:ptCount val="1"/>
                <c:pt idx="0">
                  <c:v>2019年度收入支出预决算情况对比</c:v>
                </c:pt>
              </c:strCache>
            </c:strRef>
          </c:tx>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77.099999999999994</c:v>
                </c:pt>
                <c:pt idx="1">
                  <c:v>84.14</c:v>
                </c:pt>
                <c:pt idx="2">
                  <c:v>77.099999999999994</c:v>
                </c:pt>
                <c:pt idx="3">
                  <c:v>80.149999999999991</c:v>
                </c:pt>
              </c:numCache>
            </c:numRef>
          </c:val>
        </c:ser>
        <c:ser>
          <c:idx val="1"/>
          <c:order val="1"/>
          <c:tx>
            <c:strRef>
              <c:f>Sheet1!$C$1</c:f>
              <c:strCache>
                <c:ptCount val="1"/>
                <c:pt idx="0">
                  <c:v>列1</c:v>
                </c:pt>
              </c:strCache>
            </c:strRef>
          </c:tx>
          <c:cat>
            <c:strRef>
              <c:f>Sheet1!$A$2:$A$5</c:f>
              <c:strCache>
                <c:ptCount val="4"/>
                <c:pt idx="0">
                  <c:v>收入预算数</c:v>
                </c:pt>
                <c:pt idx="1">
                  <c:v>收入决算数</c:v>
                </c:pt>
                <c:pt idx="2">
                  <c:v>支出预算数</c:v>
                </c:pt>
                <c:pt idx="3">
                  <c:v>支出决算数</c:v>
                </c:pt>
              </c:strCache>
            </c:strRef>
          </c:cat>
          <c:val>
            <c:numRef>
              <c:f>Sheet1!$C$2:$C$5</c:f>
            </c:numRef>
          </c:val>
        </c:ser>
        <c:ser>
          <c:idx val="2"/>
          <c:order val="2"/>
          <c:tx>
            <c:strRef>
              <c:f>Sheet1!$D$1</c:f>
              <c:strCache>
                <c:ptCount val="1"/>
                <c:pt idx="0">
                  <c:v>列2</c:v>
                </c:pt>
              </c:strCache>
            </c:strRef>
          </c:tx>
          <c:cat>
            <c:strRef>
              <c:f>Sheet1!$A$2:$A$5</c:f>
              <c:strCache>
                <c:ptCount val="4"/>
                <c:pt idx="0">
                  <c:v>收入预算数</c:v>
                </c:pt>
                <c:pt idx="1">
                  <c:v>收入决算数</c:v>
                </c:pt>
                <c:pt idx="2">
                  <c:v>支出预算数</c:v>
                </c:pt>
                <c:pt idx="3">
                  <c:v>支出决算数</c:v>
                </c:pt>
              </c:strCache>
            </c:strRef>
          </c:cat>
          <c:val>
            <c:numRef>
              <c:f>Sheet1!$D$2:$D$5</c:f>
            </c:numRef>
          </c:val>
        </c:ser>
        <c:dLbls>
          <c:showVal val="1"/>
        </c:dLbls>
        <c:overlap val="-25"/>
        <c:axId val="229476224"/>
        <c:axId val="229477760"/>
      </c:barChart>
      <c:catAx>
        <c:axId val="229476224"/>
        <c:scaling>
          <c:orientation val="minMax"/>
        </c:scaling>
        <c:axPos val="b"/>
        <c:majorTickMark val="none"/>
        <c:tickLblPos val="nextTo"/>
        <c:crossAx val="229477760"/>
        <c:crosses val="autoZero"/>
        <c:auto val="1"/>
        <c:lblAlgn val="ctr"/>
        <c:lblOffset val="100"/>
      </c:catAx>
      <c:valAx>
        <c:axId val="229477760"/>
        <c:scaling>
          <c:orientation val="minMax"/>
        </c:scaling>
        <c:delete val="1"/>
        <c:axPos val="l"/>
        <c:numFmt formatCode="General" sourceLinked="1"/>
        <c:majorTickMark val="none"/>
        <c:tickLblPos val="none"/>
        <c:crossAx val="229476224"/>
        <c:crosses val="autoZero"/>
        <c:crossBetween val="between"/>
      </c:valAx>
    </c:plotArea>
    <c:legend>
      <c:legendPos val="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view3D>
      <c:rotX val="30"/>
      <c:perspective val="30"/>
    </c:view3D>
    <c:plotArea>
      <c:layout/>
      <c:pie3DChart>
        <c:varyColors val="1"/>
        <c:ser>
          <c:idx val="0"/>
          <c:order val="0"/>
          <c:tx>
            <c:strRef>
              <c:f>Sheet1!$B$1</c:f>
              <c:strCache>
                <c:ptCount val="1"/>
                <c:pt idx="0">
                  <c:v>财政拨款支出决算结构表</c:v>
                </c:pt>
              </c:strCache>
            </c:strRef>
          </c:tx>
          <c:dLbls>
            <c:showCatName val="1"/>
            <c:showPercent val="1"/>
            <c:showLeaderLines val="1"/>
          </c:dLbls>
          <c:cat>
            <c:strRef>
              <c:f>Sheet1!$A$2:$A$5</c:f>
              <c:strCache>
                <c:ptCount val="4"/>
                <c:pt idx="0">
                  <c:v>社会保障和就业支出</c:v>
                </c:pt>
                <c:pt idx="1">
                  <c:v>卫生健康支出</c:v>
                </c:pt>
                <c:pt idx="2">
                  <c:v>农林水支出</c:v>
                </c:pt>
                <c:pt idx="3">
                  <c:v>住房保障支出</c:v>
                </c:pt>
              </c:strCache>
            </c:strRef>
          </c:cat>
          <c:val>
            <c:numRef>
              <c:f>Sheet1!$B$2:$B$5</c:f>
              <c:numCache>
                <c:formatCode>0.00%</c:formatCode>
                <c:ptCount val="4"/>
                <c:pt idx="0">
                  <c:v>9.1700000000000004E-2</c:v>
                </c:pt>
                <c:pt idx="1">
                  <c:v>6.0000000000000032E-2</c:v>
                </c:pt>
                <c:pt idx="2">
                  <c:v>0.79810000000000003</c:v>
                </c:pt>
                <c:pt idx="3">
                  <c:v>5.0200000000000002E-2</c:v>
                </c:pt>
              </c:numCache>
            </c:numRef>
          </c:val>
        </c:ser>
        <c:dLbls>
          <c:showCatName val="1"/>
          <c:showPercent val="1"/>
        </c:dLbls>
      </c:pie3DChart>
    </c:plotArea>
    <c:plotVisOnly val="1"/>
  </c:chart>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4DA8AE-E269-46B3-A64D-920F6F346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243</TotalTime>
  <Pages>28</Pages>
  <Words>1528</Words>
  <Characters>8716</Characters>
  <Application>Microsoft Office Word</Application>
  <DocSecurity>0</DocSecurity>
  <Lines>72</Lines>
  <Paragraphs>20</Paragraphs>
  <ScaleCrop>false</ScaleCrop>
  <Company>Microsoft</Company>
  <LinksUpToDate>false</LinksUpToDate>
  <CharactersWithSpaces>10224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68</cp:revision>
  <cp:lastPrinted>2020-07-30T02:37:00Z</cp:lastPrinted>
  <dcterms:created xsi:type="dcterms:W3CDTF">2020-07-29T09:42:00Z</dcterms:created>
  <dcterms:modified xsi:type="dcterms:W3CDTF">2020-11-04T02:35:00Z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