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财政部 国家发展改革委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关于非免疫规划疫苗储存运输收费有关事项的通知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22" w:afterAutospacing="0" w:line="27" w:lineRule="atLeast"/>
        <w:ind w:left="0" w:right="0"/>
        <w:jc w:val="center"/>
        <w:rPr>
          <w:rStyle w:val="9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9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财税〔2020〕17号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国家卫生健康委员会，各省、自治区、直辖市财政厅（局）、发展改革委、物价局，新疆生产建设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兵团财政局、发展改革委：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　　根据《中华人民共和国疫苗管理法》有关规定，各省、自治区、直辖市可以结合本地区经济发展水平等因素，决定是否收取非免疫规划疫苗储存运输费。为规范收费管理，现就非免疫规划疫苗储存运输费有关事项通知如下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　　一、省级及以下疾病预防控制中心、其他相关疾病预防控制工作机构，承担非免疫规划疫苗配送工作，在接收疫苗生产企业运送的非免疫规划疫苗并验收合格后，可向疫苗生产企业收取非免疫规划疫苗储存运输费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　　由省、市级疾病预防控制中心、其他相关疾病预防控制工作机构，接收疫苗生产企业运送的非免疫规划疫苗后，再分发至县级疾病预防控制中心配送的，县级疾病预防控制中心不得重复收费。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　　疫苗生产企业直接配送至接种单位的，省级及以下疾病预防控制中心、其他相关疾病预防控制工作机构，不得征收非免疫规划疫苗储存运输费。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　　二、非免疫规划疫苗储存运输费收费标准按照成本补偿原则，由省、自治区、直辖市人民政府价格主管部门会同财政部门制定。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　　三、收费单位应当使用省级财政部门统一监（印）制的票据。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　　四、收费收入应按收费单位隶属关系上缴同级国库，纳入一般公共预算管理，具体收缴办法按照国库集中收缴有关规定执行。收费单位开展相关工作所需经费，在相关部门预算中统筹安排。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　　五、收费单位应严格按照上述规定执行，不得自行增加收费项目、扩大收费范围，并自觉接受财政、市场监管、审计部门的监督检查。对违规多征、减征、免征或缓征收费等行为，依照《中华人民共和国预算法》、《财政违法行为处罚处分条例》等法律法规予以处理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　　六、本通知自发布之日起执行。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righ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　　财政部 国家发展改革委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40" w:lineRule="exact"/>
        <w:ind w:left="0" w:right="0"/>
        <w:jc w:val="right"/>
        <w:textAlignment w:val="auto"/>
        <w:rPr>
          <w:rFonts w:hint="eastAsia" w:asciiTheme="minorEastAsia" w:hAnsiTheme="minorEastAsia" w:eastAsiaTheme="minorEastAsia" w:cstheme="minorEastAsia"/>
          <w:b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</w:rPr>
        <w:t>　　2020年2月20日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3990B6F"/>
    <w:rsid w:val="060927CA"/>
    <w:rsid w:val="06A15B20"/>
    <w:rsid w:val="06E869A6"/>
    <w:rsid w:val="0A7913CE"/>
    <w:rsid w:val="0C5E61B1"/>
    <w:rsid w:val="0D7A607C"/>
    <w:rsid w:val="0E9B2E08"/>
    <w:rsid w:val="1D906DC0"/>
    <w:rsid w:val="1EC935FF"/>
    <w:rsid w:val="1F564B28"/>
    <w:rsid w:val="23BA3624"/>
    <w:rsid w:val="23E56658"/>
    <w:rsid w:val="24650530"/>
    <w:rsid w:val="27392192"/>
    <w:rsid w:val="2B762329"/>
    <w:rsid w:val="2C7C34D5"/>
    <w:rsid w:val="2E4E7933"/>
    <w:rsid w:val="2EC667DA"/>
    <w:rsid w:val="2F1A2DA1"/>
    <w:rsid w:val="31AF244E"/>
    <w:rsid w:val="32BC0BCB"/>
    <w:rsid w:val="34900011"/>
    <w:rsid w:val="34EA6BAA"/>
    <w:rsid w:val="368C4A91"/>
    <w:rsid w:val="3BF52543"/>
    <w:rsid w:val="3D63560F"/>
    <w:rsid w:val="45447286"/>
    <w:rsid w:val="472D35F6"/>
    <w:rsid w:val="48FB421D"/>
    <w:rsid w:val="4BA049D6"/>
    <w:rsid w:val="4D0B45AB"/>
    <w:rsid w:val="4E257136"/>
    <w:rsid w:val="4FF3022F"/>
    <w:rsid w:val="50E531CB"/>
    <w:rsid w:val="54AE31CB"/>
    <w:rsid w:val="55B2256F"/>
    <w:rsid w:val="56C0654B"/>
    <w:rsid w:val="5C7E42B4"/>
    <w:rsid w:val="5E5730E4"/>
    <w:rsid w:val="60641E1D"/>
    <w:rsid w:val="65183F95"/>
    <w:rsid w:val="68817F0B"/>
    <w:rsid w:val="698B5B50"/>
    <w:rsid w:val="6F0E554A"/>
    <w:rsid w:val="71BD55FD"/>
    <w:rsid w:val="744C328B"/>
    <w:rsid w:val="75E922E2"/>
    <w:rsid w:val="7687683E"/>
    <w:rsid w:val="79E259DE"/>
    <w:rsid w:val="7D6F34AB"/>
    <w:rsid w:val="7E94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uiPriority w:val="0"/>
    <w:rPr>
      <w:color w:val="333333"/>
      <w:u w:val="none"/>
    </w:rPr>
  </w:style>
  <w:style w:type="character" w:styleId="11">
    <w:name w:val="Emphasis"/>
    <w:basedOn w:val="8"/>
    <w:qFormat/>
    <w:uiPriority w:val="0"/>
    <w:rPr>
      <w:i/>
    </w:rPr>
  </w:style>
  <w:style w:type="character" w:styleId="12">
    <w:name w:val="Hyperlink"/>
    <w:basedOn w:val="8"/>
    <w:qFormat/>
    <w:uiPriority w:val="0"/>
    <w:rPr>
      <w:color w:val="333333"/>
      <w:u w:val="none"/>
    </w:rPr>
  </w:style>
  <w:style w:type="character" w:customStyle="1" w:styleId="13">
    <w:name w:val="hao1"/>
    <w:basedOn w:val="8"/>
    <w:uiPriority w:val="0"/>
    <w:rPr>
      <w:b/>
    </w:rPr>
  </w:style>
  <w:style w:type="character" w:customStyle="1" w:styleId="14">
    <w:name w:val="wz"/>
    <w:basedOn w:val="8"/>
    <w:qFormat/>
    <w:uiPriority w:val="0"/>
    <w:rPr>
      <w:vanish/>
      <w:color w:val="808080"/>
    </w:rPr>
  </w:style>
  <w:style w:type="character" w:customStyle="1" w:styleId="15">
    <w:name w:val="hao12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2020-08-14T06:47:24Z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