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rPr>
      </w:pPr>
      <w:r>
        <w:rPr>
          <w:rFonts w:hint="eastAsia" w:ascii="微软雅黑" w:hAnsi="微软雅黑" w:eastAsia="微软雅黑" w:cs="微软雅黑"/>
          <w:b w:val="0"/>
          <w:bCs/>
          <w:i w:val="0"/>
          <w:caps w:val="0"/>
          <w:color w:val="333333"/>
          <w:spacing w:val="0"/>
          <w:sz w:val="36"/>
          <w:szCs w:val="36"/>
          <w:shd w:val="clear" w:fill="FFFFFF"/>
        </w:rPr>
        <w:t>财政部 税务总局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lang w:val="en-US" w:eastAsia="zh-CN"/>
        </w:rPr>
      </w:pPr>
      <w:r>
        <w:rPr>
          <w:rFonts w:hint="eastAsia" w:ascii="微软雅黑" w:hAnsi="微软雅黑" w:eastAsia="微软雅黑" w:cs="微软雅黑"/>
          <w:b w:val="0"/>
          <w:bCs/>
          <w:i w:val="0"/>
          <w:caps w:val="0"/>
          <w:color w:val="333333"/>
          <w:spacing w:val="0"/>
          <w:sz w:val="36"/>
          <w:szCs w:val="36"/>
          <w:shd w:val="clear" w:fill="FFFFFF"/>
          <w:lang w:val="en-US" w:eastAsia="zh-CN"/>
        </w:rPr>
        <w:t>关于继续实施支持文化企业发展增值税政策的通知</w:t>
      </w:r>
    </w:p>
    <w:p>
      <w:pPr>
        <w:keepNext w:val="0"/>
        <w:keepLines w:val="0"/>
        <w:pageBreakBefore w:val="0"/>
        <w:widowControl/>
        <w:suppressLineNumbers w:val="0"/>
        <w:pBdr>
          <w:top w:val="none" w:color="auto" w:sz="0" w:space="0"/>
          <w:bottom w:val="none" w:color="auto" w:sz="0" w:space="0"/>
        </w:pBdr>
        <w:shd w:val="clear" w:fill="FFFFFF"/>
        <w:kinsoku/>
        <w:wordWrap/>
        <w:overflowPunct/>
        <w:topLinePunct w:val="0"/>
        <w:autoSpaceDE/>
        <w:autoSpaceDN/>
        <w:bidi w:val="0"/>
        <w:adjustRightInd/>
        <w:snapToGrid/>
        <w:spacing w:before="210" w:beforeAutospacing="0" w:after="210" w:afterAutospacing="0" w:line="440" w:lineRule="exact"/>
        <w:ind w:left="0" w:right="0"/>
        <w:jc w:val="center"/>
        <w:textAlignment w:val="auto"/>
        <w:rPr>
          <w:rFonts w:hint="eastAsia" w:asciiTheme="minorEastAsia" w:hAnsiTheme="minorEastAsia" w:eastAsiaTheme="minorEastAsia" w:cstheme="minorEastAsia"/>
          <w:color w:val="333333"/>
          <w:sz w:val="24"/>
          <w:szCs w:val="24"/>
        </w:rPr>
      </w:pPr>
      <w:r>
        <w:rPr>
          <w:rStyle w:val="7"/>
          <w:rFonts w:hint="eastAsia" w:ascii="宋体" w:hAnsi="宋体" w:eastAsia="宋体" w:cs="宋体"/>
          <w:i w:val="0"/>
          <w:caps w:val="0"/>
          <w:color w:val="333333"/>
          <w:spacing w:val="0"/>
          <w:kern w:val="0"/>
          <w:sz w:val="24"/>
          <w:szCs w:val="24"/>
          <w:shd w:val="clear" w:fill="FFFFFF"/>
          <w:lang w:val="en-US" w:eastAsia="zh-CN" w:bidi="ar"/>
        </w:rPr>
        <w:t>财税〔2019〕17号</w:t>
      </w:r>
      <w:r>
        <w:rPr>
          <w:rFonts w:hint="eastAsia" w:asciiTheme="minorEastAsia" w:hAnsiTheme="minorEastAsia" w:eastAsiaTheme="minorEastAsia" w:cstheme="minorEastAsia"/>
          <w:color w:val="333333"/>
          <w:kern w:val="0"/>
          <w:sz w:val="24"/>
          <w:szCs w:val="24"/>
          <w:u w:val="none"/>
          <w:shd w:val="clear" w:fill="FFFFFF"/>
          <w:lang w:val="en-US" w:eastAsia="zh-CN" w:bidi="ar"/>
        </w:rPr>
        <w:fldChar w:fldCharType="begin"/>
      </w:r>
      <w:r>
        <w:rPr>
          <w:rFonts w:hint="eastAsia" w:asciiTheme="minorEastAsia" w:hAnsiTheme="minorEastAsia" w:eastAsiaTheme="minorEastAsia" w:cstheme="minorEastAsia"/>
          <w:color w:val="333333"/>
          <w:kern w:val="0"/>
          <w:sz w:val="24"/>
          <w:szCs w:val="24"/>
          <w:u w:val="none"/>
          <w:shd w:val="clear" w:fill="FFFFFF"/>
          <w:lang w:val="en-US" w:eastAsia="zh-CN" w:bidi="ar"/>
        </w:rPr>
        <w:instrText xml:space="preserve"> HYPERLINK "http://www.chinatax.gov.cn/n810341/n810755/c4094858/content.html" \t "http://www.chinatax.gov.cn/n810341/n810755/c4094858/_blank" </w:instrText>
      </w:r>
      <w:r>
        <w:rPr>
          <w:rFonts w:hint="eastAsia" w:asciiTheme="minorEastAsia" w:hAnsiTheme="minorEastAsia" w:eastAsiaTheme="minorEastAsia" w:cstheme="minorEastAsia"/>
          <w:color w:val="333333"/>
          <w:kern w:val="0"/>
          <w:sz w:val="24"/>
          <w:szCs w:val="24"/>
          <w:u w:val="none"/>
          <w:shd w:val="clear" w:fill="FFFFFF"/>
          <w:lang w:val="en-US" w:eastAsia="zh-CN" w:bidi="ar"/>
        </w:rPr>
        <w:fldChar w:fldCharType="separate"/>
      </w:r>
      <w:r>
        <w:rPr>
          <w:rFonts w:hint="eastAsia" w:asciiTheme="minorEastAsia" w:hAnsiTheme="minorEastAsia" w:eastAsiaTheme="minorEastAsia" w:cstheme="minorEastAsia"/>
          <w:color w:val="333333"/>
          <w:kern w:val="0"/>
          <w:sz w:val="24"/>
          <w:szCs w:val="24"/>
          <w:u w:val="none"/>
          <w:shd w:val="clear" w:fill="FFFFFF"/>
          <w:lang w:val="en-US" w:eastAsia="zh-CN" w:bidi="ar"/>
        </w:rPr>
        <w:fldChar w:fldCharType="end"/>
      </w:r>
    </w:p>
    <w:p>
      <w:pPr>
        <w:keepNext w:val="0"/>
        <w:keepLines w:val="0"/>
        <w:pageBreakBefore w:val="0"/>
        <w:widowControl/>
        <w:suppressLineNumbers w:val="0"/>
        <w:pBdr>
          <w:top w:val="none" w:color="auto" w:sz="0" w:space="0"/>
          <w:bottom w:val="none" w:color="auto" w:sz="0" w:space="0"/>
        </w:pBdr>
        <w:shd w:val="clear" w:fill="FFFFFF"/>
        <w:kinsoku/>
        <w:wordWrap/>
        <w:overflowPunct/>
        <w:topLinePunct w:val="0"/>
        <w:autoSpaceDE/>
        <w:autoSpaceDN/>
        <w:bidi w:val="0"/>
        <w:adjustRightInd/>
        <w:snapToGrid/>
        <w:spacing w:before="210" w:beforeAutospacing="0" w:after="210" w:afterAutospacing="0" w:line="440" w:lineRule="exact"/>
        <w:ind w:left="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kern w:val="0"/>
          <w:sz w:val="24"/>
          <w:szCs w:val="24"/>
          <w:shd w:val="clear" w:fill="FFFFFF"/>
          <w:lang w:val="en-US" w:eastAsia="zh-CN" w:bidi="ar"/>
        </w:rPr>
        <w:fldChar w:fldCharType="begin"/>
      </w:r>
      <w:r>
        <w:rPr>
          <w:rFonts w:hint="eastAsia" w:asciiTheme="minorEastAsia" w:hAnsiTheme="minorEastAsia" w:eastAsiaTheme="minorEastAsia" w:cstheme="minorEastAsia"/>
          <w:kern w:val="0"/>
          <w:sz w:val="24"/>
          <w:szCs w:val="24"/>
          <w:shd w:val="clear" w:fill="FFFFFF"/>
          <w:lang w:val="en-US" w:eastAsia="zh-CN" w:bidi="ar"/>
        </w:rPr>
        <w:instrText xml:space="preserve"> HYPERLINK "http://www.chinatax.gov.cn/n810341/n810755/c4094858/javascript:;" \o "分享到微信" </w:instrText>
      </w:r>
      <w:r>
        <w:rPr>
          <w:rFonts w:hint="eastAsia" w:asciiTheme="minorEastAsia" w:hAnsiTheme="minorEastAsia" w:eastAsiaTheme="minorEastAsia" w:cstheme="minorEastAsia"/>
          <w:kern w:val="0"/>
          <w:sz w:val="24"/>
          <w:szCs w:val="24"/>
          <w:shd w:val="clear" w:fill="FFFFFF"/>
          <w:lang w:val="en-US" w:eastAsia="zh-CN" w:bidi="ar"/>
        </w:rPr>
        <w:fldChar w:fldCharType="separate"/>
      </w:r>
      <w:r>
        <w:rPr>
          <w:rStyle w:val="9"/>
          <w:rFonts w:hint="eastAsia" w:asciiTheme="minorEastAsia" w:hAnsiTheme="minorEastAsia" w:eastAsiaTheme="minorEastAsia" w:cstheme="minorEastAsia"/>
          <w:sz w:val="24"/>
          <w:szCs w:val="24"/>
          <w:shd w:val="clear" w:fill="FFFFFF"/>
        </w:rPr>
        <w:t> </w:t>
      </w:r>
      <w:r>
        <w:rPr>
          <w:rFonts w:hint="eastAsia" w:asciiTheme="minorEastAsia" w:hAnsiTheme="minorEastAsia" w:eastAsiaTheme="minorEastAsia" w:cstheme="minorEastAsia"/>
          <w:kern w:val="0"/>
          <w:sz w:val="24"/>
          <w:szCs w:val="24"/>
          <w:shd w:val="clear" w:fill="FFFFFF"/>
          <w:lang w:val="en-US" w:eastAsia="zh-CN" w:bidi="ar"/>
        </w:rPr>
        <w:fldChar w:fldCharType="end"/>
      </w:r>
      <w:r>
        <w:rPr>
          <w:rFonts w:hint="eastAsia" w:asciiTheme="minorEastAsia" w:hAnsiTheme="minorEastAsia" w:eastAsiaTheme="minorEastAsia" w:cstheme="minorEastAsia"/>
          <w:color w:val="333333"/>
          <w:kern w:val="0"/>
          <w:sz w:val="24"/>
          <w:szCs w:val="24"/>
          <w:shd w:val="clear" w:fill="FFFFFF"/>
          <w:lang w:val="en-US" w:eastAsia="zh-CN" w:bidi="ar"/>
        </w:rPr>
        <w:t xml:space="preserve"> </w:t>
      </w:r>
      <w:r>
        <w:rPr>
          <w:rFonts w:hint="eastAsia" w:asciiTheme="minorEastAsia" w:hAnsiTheme="minorEastAsia" w:eastAsiaTheme="minorEastAsia" w:cstheme="minorEastAsia"/>
          <w:kern w:val="0"/>
          <w:sz w:val="24"/>
          <w:szCs w:val="24"/>
          <w:shd w:val="clear" w:fill="FFFFFF"/>
          <w:lang w:val="en-US" w:eastAsia="zh-CN" w:bidi="ar"/>
        </w:rPr>
        <w:fldChar w:fldCharType="begin"/>
      </w:r>
      <w:r>
        <w:rPr>
          <w:rFonts w:hint="eastAsia" w:asciiTheme="minorEastAsia" w:hAnsiTheme="minorEastAsia" w:eastAsiaTheme="minorEastAsia" w:cstheme="minorEastAsia"/>
          <w:kern w:val="0"/>
          <w:sz w:val="24"/>
          <w:szCs w:val="24"/>
          <w:shd w:val="clear" w:fill="FFFFFF"/>
          <w:lang w:val="en-US" w:eastAsia="zh-CN" w:bidi="ar"/>
        </w:rPr>
        <w:instrText xml:space="preserve"> HYPERLINK "http://www.chinatax.gov.cn/n810341/n810755/c4094858/javascript:;" \o "分享到新浪微博" </w:instrText>
      </w:r>
      <w:r>
        <w:rPr>
          <w:rFonts w:hint="eastAsia" w:asciiTheme="minorEastAsia" w:hAnsiTheme="minorEastAsia" w:eastAsiaTheme="minorEastAsia" w:cstheme="minorEastAsia"/>
          <w:kern w:val="0"/>
          <w:sz w:val="24"/>
          <w:szCs w:val="24"/>
          <w:shd w:val="clear" w:fill="FFFFFF"/>
          <w:lang w:val="en-US" w:eastAsia="zh-CN" w:bidi="ar"/>
        </w:rPr>
        <w:fldChar w:fldCharType="separate"/>
      </w:r>
      <w:r>
        <w:rPr>
          <w:rStyle w:val="9"/>
          <w:rFonts w:hint="eastAsia" w:asciiTheme="minorEastAsia" w:hAnsiTheme="minorEastAsia" w:eastAsiaTheme="minorEastAsia" w:cstheme="minorEastAsia"/>
          <w:sz w:val="24"/>
          <w:szCs w:val="24"/>
          <w:shd w:val="clear" w:fill="FFFFFF"/>
        </w:rPr>
        <w:t> </w:t>
      </w:r>
      <w:r>
        <w:rPr>
          <w:rFonts w:hint="eastAsia" w:asciiTheme="minorEastAsia" w:hAnsiTheme="minorEastAsia" w:eastAsiaTheme="minorEastAsia" w:cstheme="minorEastAsia"/>
          <w:kern w:val="0"/>
          <w:sz w:val="24"/>
          <w:szCs w:val="24"/>
          <w:shd w:val="clear" w:fill="FFFFFF"/>
          <w:lang w:val="en-US" w:eastAsia="zh-CN" w:bidi="ar"/>
        </w:rPr>
        <w:fldChar w:fldCharType="end"/>
      </w:r>
      <w:r>
        <w:rPr>
          <w:rFonts w:hint="eastAsia" w:asciiTheme="minorEastAsia" w:hAnsiTheme="minorEastAsia" w:eastAsiaTheme="minorEastAsia" w:cstheme="minorEastAsia"/>
          <w:color w:val="333333"/>
          <w:kern w:val="0"/>
          <w:sz w:val="24"/>
          <w:szCs w:val="24"/>
          <w:shd w:val="clear" w:fill="FFFFFF"/>
          <w:lang w:val="en-US" w:eastAsia="zh-CN" w:bidi="ar"/>
        </w:rPr>
        <w:t xml:space="preserve">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各省、自治区、直辖市、计划单列市财政厅（局），新疆生产建设兵团财政局，国家税务总局各省、自治区、直辖市、计划单列市税务局：</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为贯彻落实《国务院办公厅关于印发文化体制改革中经营性文化事业单位转制为企业和进一步支持文化企业发展两个规定的通知》（国办发〔2018〕124号）有关规定，进一步深化文化体制改革，促进文化企业发展，现就继续实施支持文化企业发展的</w:t>
      </w:r>
      <w:bookmarkStart w:id="0" w:name="_GoBack"/>
      <w:bookmarkEnd w:id="0"/>
      <w:r>
        <w:rPr>
          <w:rFonts w:hint="eastAsia" w:asciiTheme="minorEastAsia" w:hAnsiTheme="minorEastAsia" w:eastAsiaTheme="minorEastAsia" w:cstheme="minorEastAsia"/>
          <w:color w:val="333333"/>
          <w:sz w:val="24"/>
          <w:szCs w:val="24"/>
          <w:shd w:val="clear" w:fill="FFFFFF"/>
        </w:rPr>
        <w:t>增值税政策通知如下：</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一、对电影主管部门（包括中央、省、地市及县级）按照各自职能权限批准从事电影制片、发行、放映的电影集团公司（含成员企业）、电影制片厂及其他电影企业取得的销售电影拷贝（含数字拷贝）收入、转让电影版权（包括转让和许可使用）收入、电影发行收入以及在农村取得的电影放映收入，免征增值税。一般纳税人提供的城市电影放映服务，可以按现行政策规定，选择按照简易计税办法计算缴纳增值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二、对广播电视运营服务企业收取的有线数字电视基本收视维护费和农村有线电视基本收视费，免征增值税。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三、本通知执行期限为2019年1月1日至2023年12月31日。《财政部 税务总局关于继续执行有线电视收视费增值税政策的通知》（财税〔2017〕35号）同时废止。《财政部 税务总局关于继续实施支持文化企业发展若干税收政策的通知》（财税〔2014〕85号）自2019年1月1日起停止执行。</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文化企业按照本通知规定应予减免的增值税税款，在本通知下发以前已经征收入库的，可抵减以后纳税期应缴税款或办理退库。</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财政部 税务总局</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i w:val="0"/>
          <w:caps w:val="0"/>
          <w:color w:val="333333"/>
          <w:spacing w:val="0"/>
          <w:sz w:val="24"/>
          <w:szCs w:val="24"/>
          <w:shd w:val="clear" w:fill="FFFFFF"/>
        </w:rPr>
      </w:pPr>
      <w:r>
        <w:rPr>
          <w:rFonts w:hint="eastAsia" w:asciiTheme="minorEastAsia" w:hAnsiTheme="minorEastAsia" w:eastAsiaTheme="minorEastAsia" w:cstheme="minorEastAsia"/>
          <w:color w:val="333333"/>
          <w:sz w:val="24"/>
          <w:szCs w:val="24"/>
          <w:shd w:val="clear" w:fill="FFFFFF"/>
        </w:rPr>
        <w:t>2019年2月13日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03765DE8"/>
    <w:rsid w:val="32BC0BCB"/>
    <w:rsid w:val="3BF52543"/>
    <w:rsid w:val="4D0B45AB"/>
    <w:rsid w:val="4E257136"/>
    <w:rsid w:val="7D6F3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3">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uiPriority w:val="0"/>
    <w:rPr>
      <w:color w:val="333333"/>
      <w:u w:val="none"/>
    </w:rPr>
  </w:style>
  <w:style w:type="character" w:styleId="9">
    <w:name w:val="Hyperlink"/>
    <w:basedOn w:val="6"/>
    <w:uiPriority w:val="0"/>
    <w:rPr>
      <w:color w:val="333333"/>
      <w:u w:val="none"/>
    </w:rPr>
  </w:style>
  <w:style w:type="character" w:customStyle="1" w:styleId="10">
    <w:name w:val="hao1"/>
    <w:basedOn w:val="6"/>
    <w:uiPriority w:val="0"/>
    <w:rPr>
      <w:b/>
    </w:rPr>
  </w:style>
  <w:style w:type="character" w:customStyle="1" w:styleId="11">
    <w:name w:val="wz"/>
    <w:basedOn w:val="6"/>
    <w:uiPriority w:val="0"/>
    <w:rPr>
      <w:vanish/>
      <w:color w:val="808080"/>
    </w:rPr>
  </w:style>
  <w:style w:type="character" w:customStyle="1" w:styleId="12">
    <w:name w:val="hao12"/>
    <w:basedOn w:val="6"/>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2020-08-14T02:57:59Z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