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2"/>
          <w:szCs w:val="32"/>
          <w:shd w:val="clear" w:fill="FFFFFF"/>
        </w:rPr>
      </w:pPr>
      <w:r>
        <w:rPr>
          <w:rFonts w:hint="eastAsia" w:ascii="微软雅黑" w:hAnsi="微软雅黑" w:eastAsia="微软雅黑" w:cs="微软雅黑"/>
          <w:b w:val="0"/>
          <w:bCs/>
          <w:i w:val="0"/>
          <w:caps w:val="0"/>
          <w:color w:val="333333"/>
          <w:spacing w:val="0"/>
          <w:sz w:val="32"/>
          <w:szCs w:val="32"/>
          <w:shd w:val="clear" w:fill="FFFFFF"/>
        </w:rPr>
        <w:t>国务院办公厅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关于印发 降低社会保险费率综合方案的通知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Style w:val="9"/>
          <w:rFonts w:hint="eastAsia" w:ascii="宋体" w:hAnsi="宋体" w:eastAsia="宋体" w:cs="宋体"/>
          <w:i w:val="0"/>
          <w:caps w:val="0"/>
          <w:color w:val="333333"/>
          <w:spacing w:val="0"/>
          <w:sz w:val="24"/>
          <w:szCs w:val="24"/>
          <w:shd w:val="clear" w:fill="FFFFFF"/>
        </w:rPr>
      </w:pPr>
      <w:r>
        <w:rPr>
          <w:rStyle w:val="9"/>
          <w:rFonts w:hint="eastAsia" w:ascii="宋体" w:hAnsi="宋体" w:eastAsia="宋体" w:cs="宋体"/>
          <w:i w:val="0"/>
          <w:caps w:val="0"/>
          <w:color w:val="333333"/>
          <w:spacing w:val="0"/>
          <w:sz w:val="24"/>
          <w:szCs w:val="24"/>
          <w:shd w:val="clear" w:fill="FFFFFF"/>
        </w:rPr>
        <w:t>国办发〔2019〕13号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right="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各省</w:t>
      </w:r>
      <w:bookmarkStart w:id="0" w:name="_GoBack"/>
      <w:bookmarkEnd w:id="0"/>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、自治区、直辖市人民政府，国务院各部委、各直属机构：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《降低社会保险费率综合方案》已经国务院同意，现印发给你们，请认真贯彻执行。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降低社会保险费率，是减轻企业负担、优化营商环境、完善社会保险制度的重要举措。各地区各有关部门要以习近平新时代中国特色社会主义思想为指导，全面贯彻党的十九大和十九届二中、三中全会精神，坚持稳中求进工作总基调，坚持新发展理念，统筹考虑降低社会保险费率、完善社会保险制度、稳步推进社会保险费征收体制改革，密切协调配合，抓好工作落实，确保企业特别是小微企业社会保险缴费负担有实质性下降，确保职工各项社会保险待遇不受影响、按时足额支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jc w:val="right"/>
        <w:textAlignment w:val="top"/>
        <w:rPr>
          <w:rFonts w:hint="eastAsia" w:asciiTheme="minorEastAsia" w:hAnsiTheme="minorEastAsia" w:eastAsiaTheme="minorEastAsia" w:cstheme="minorEastAsia"/>
          <w:i w:val="0"/>
          <w:caps w:val="0"/>
          <w:color w:val="555555"/>
          <w:spacing w:val="0"/>
          <w:sz w:val="24"/>
          <w:szCs w:val="24"/>
          <w:bdr w:val="none" w:color="auto" w:sz="0" w:space="0"/>
          <w:shd w:val="clear" w:fill="FFFFFF"/>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 xml:space="preserve">国务院办公厅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jc w:val="right"/>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cstheme="minorEastAsia"/>
          <w:i w:val="0"/>
          <w:caps w:val="0"/>
          <w:color w:val="555555"/>
          <w:spacing w:val="0"/>
          <w:sz w:val="24"/>
          <w:szCs w:val="24"/>
          <w:bdr w:val="none" w:color="auto" w:sz="0" w:space="0"/>
          <w:shd w:val="clear" w:fill="FFFFFF"/>
          <w:lang w:val="en-US" w:eastAsia="zh-CN"/>
        </w:rPr>
        <w:t xml:space="preserve">   </w:t>
      </w: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2019年4月1日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（此件公开发布）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0"/>
        <w:textAlignment w:val="top"/>
        <w:rPr>
          <w:rFonts w:hint="eastAsia" w:asciiTheme="minorEastAsia" w:hAnsiTheme="minorEastAsia" w:eastAsiaTheme="minorEastAsia" w:cstheme="minorEastAsia"/>
          <w:i w:val="0"/>
          <w:caps w:val="0"/>
          <w:color w:val="555555"/>
          <w:spacing w:val="0"/>
          <w:sz w:val="24"/>
          <w:szCs w:val="24"/>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0"/>
        <w:textAlignment w:val="top"/>
        <w:rPr>
          <w:rFonts w:hint="eastAsia" w:asciiTheme="minorEastAsia" w:hAnsiTheme="minorEastAsia" w:eastAsiaTheme="minorEastAsia" w:cstheme="minorEastAsia"/>
          <w:i w:val="0"/>
          <w:caps w:val="0"/>
          <w:color w:val="555555"/>
          <w:spacing w:val="0"/>
          <w:sz w:val="24"/>
          <w:szCs w:val="24"/>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jc w:val="center"/>
        <w:textAlignment w:val="top"/>
        <w:rPr>
          <w:rFonts w:hint="eastAsia" w:asciiTheme="minorEastAsia" w:hAnsiTheme="minorEastAsia" w:eastAsiaTheme="minorEastAsia" w:cstheme="minorEastAsia"/>
          <w:i w:val="0"/>
          <w:caps w:val="0"/>
          <w:color w:val="555555"/>
          <w:spacing w:val="0"/>
          <w:sz w:val="24"/>
          <w:szCs w:val="24"/>
        </w:rPr>
      </w:pPr>
      <w:r>
        <w:rPr>
          <w:rStyle w:val="9"/>
          <w:rFonts w:hint="eastAsia" w:asciiTheme="minorEastAsia" w:hAnsiTheme="minorEastAsia" w:eastAsiaTheme="minorEastAsia" w:cstheme="minorEastAsia"/>
          <w:i w:val="0"/>
          <w:caps w:val="0"/>
          <w:color w:val="555555"/>
          <w:spacing w:val="0"/>
          <w:sz w:val="24"/>
          <w:szCs w:val="24"/>
          <w:bdr w:val="none" w:color="auto" w:sz="0" w:space="0"/>
          <w:shd w:val="clear" w:fill="FFFFFF"/>
        </w:rPr>
        <w:t>降低社会保险费率综合方案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0"/>
        <w:textAlignment w:val="top"/>
        <w:rPr>
          <w:rFonts w:hint="eastAsia" w:asciiTheme="minorEastAsia" w:hAnsiTheme="minorEastAsia" w:eastAsiaTheme="minorEastAsia" w:cstheme="minorEastAsia"/>
          <w:i w:val="0"/>
          <w:caps w:val="0"/>
          <w:color w:val="555555"/>
          <w:spacing w:val="0"/>
          <w:sz w:val="24"/>
          <w:szCs w:val="24"/>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为贯彻落实党中央、国务院决策部署，降低社会保险（以下简称社保）费率，完善社保制度，稳步推进社保费征收体制改革，制定本方案。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一、降低养老保险单位缴费比例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自2019年5月1日起，降低城镇职工基本养老保险（包括企业和机关事业单位基本养老保险，以下简称养老保险）单位缴费比例。各省、自治区、直辖市及新疆生产建设兵团（以下统称省）养老保险单位缴费比例高于16%的，可降至16%；目前低于16%的，要研究提出过渡办法。各省具体调整或过渡方案于2019年4月15日前报人力资源社会保障部、财政部备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二、继续阶段性降低失业保险、工伤保险费率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自2019年5月1日起，实施失业保险总费率1%的省，延长阶段性降低失业保险费率的期限至2020年4月30日。自2019年5月1日起，延长阶段性降低工伤保险费率的期限至2020年4月30日，工伤保险基金累计结余可支付月数在18至23个月的统筹地区可以现行费率为基础下调20%，累计结余可支付月数在24个月以上的统筹地区可以现行费率为基础下调50%。</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三、调整社保缴费基数政策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调整就业人员平均工资计算口径。各省应以本省城镇非私营单位就业人员平均工资和城镇私营单位就业人员平均工资加权计算的全口径城镇单位就业人员平均工资，核定社保个人缴费基数上下限，合理降低部分参保人员和企业的社保缴费基数。调整就业人员平均工资计算口径后，各省要制定基本养老金计发办法的过渡措施，确保退休人员待遇水平平稳衔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完善个体工商户和灵活就业人员缴费基数政策。个体工商户和灵活就业人员参加企业职工基本养老保险，可以在本省全口径城镇单位就业人员平均工资的60%至300%之间选择适当的缴费基数。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四、加快推进养老保险省级统筹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各省要结合降低养老保险单位缴费比例、调整社保缴费基数政策等措施，加快推进企业职工基本养老保险省级统筹，逐步统一养老保险参保缴费、单位及个人缴费基数核定办法等政策，2020年底前实现企业职工基本养老保险基金省级统收统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五、提高养老保险基金中央调剂比例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加大企业职工基本养老保险基金中央调剂力度，2019年基金中央调剂比例提高至3.5%，进一步均衡各省之间养老保险基金负担，确保企业离退休人员基本养老金按时足额发放。</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六、稳步推进社保费征收体制改革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企业职工基本养老保险和企业职工其他险种缴费，原则上暂按现行征收体制继续征收，稳定缴费方式，“成熟一省、移交一省”；机关事业单位社保费和城乡居民社保费征管职责如期划转。人力资源社会保障、税务、财政、医保部门要抓紧推进信息共享平台建设等各项工作，切实加强信息共享，确保征收工作有序衔接。妥善处理好企业历史欠费问题，在征收体制改革过程中不得自行对企业历史欠费进行集中清缴，不得采取任何增加小微企业实际缴费负担的做法，避免造成企业生产经营困难。同时，合理调整2019年社保基金收入预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七、建立工作协调机制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国务院建立工作协调机制，统筹协调降低社保费率和社保费征收体制改革相关工作。县级以上地方政府要建立由政府负责人牵头，人力资源社会保障、财政、税务、医保等部门参加的工作协调机制，统筹协调降低社保费率以及征收体制改革过渡期间的工作衔接，提出具体安排，确保各项工作顺利进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八、认真做好组织落实工作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20"/>
        <w:textAlignment w:val="top"/>
        <w:rPr>
          <w:rFonts w:hint="eastAsia" w:asciiTheme="minorEastAsia" w:hAnsiTheme="minorEastAsia" w:eastAsiaTheme="minorEastAsia" w:cstheme="minorEastAsia"/>
          <w:i w:val="0"/>
          <w:caps w:val="0"/>
          <w:color w:val="555555"/>
          <w:spacing w:val="0"/>
          <w:sz w:val="24"/>
          <w:szCs w:val="24"/>
        </w:rPr>
      </w:pPr>
      <w:r>
        <w:rPr>
          <w:rFonts w:hint="eastAsia" w:asciiTheme="minorEastAsia" w:hAnsiTheme="minorEastAsia" w:eastAsiaTheme="minorEastAsia" w:cstheme="minorEastAsia"/>
          <w:i w:val="0"/>
          <w:caps w:val="0"/>
          <w:color w:val="555555"/>
          <w:spacing w:val="0"/>
          <w:sz w:val="24"/>
          <w:szCs w:val="24"/>
          <w:bdr w:val="none" w:color="auto" w:sz="0" w:space="0"/>
          <w:shd w:val="clear" w:fill="FFFFFF"/>
        </w:rPr>
        <w:t>各地区各有关部门要加强领导，精心组织实施。人力资源社会保障部、财政部、税务总局、国家医保局要加强指导和监督检查，及时研究解决工作中遇到的问题，确保各项政策措施落到实处。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225" w:afterAutospacing="0" w:line="440" w:lineRule="exact"/>
        <w:ind w:right="0" w:firstLine="480" w:firstLineChars="200"/>
        <w:jc w:val="left"/>
        <w:textAlignment w:val="auto"/>
        <w:rPr>
          <w:rFonts w:hint="eastAsia" w:asciiTheme="minorEastAsia" w:hAnsiTheme="minorEastAsia" w:eastAsiaTheme="minorEastAsia" w:cstheme="minorEastAsia"/>
          <w:i w:val="0"/>
          <w:caps w:val="0"/>
          <w:color w:val="000000" w:themeColor="text1"/>
          <w:spacing w:val="0"/>
          <w:sz w:val="24"/>
          <w:szCs w:val="24"/>
          <w:shd w:val="clear" w:fill="FFFFFF"/>
          <w:lang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3990B6F"/>
    <w:rsid w:val="060927CA"/>
    <w:rsid w:val="06A15B20"/>
    <w:rsid w:val="0A7913CE"/>
    <w:rsid w:val="0C5E61B1"/>
    <w:rsid w:val="1D906DC0"/>
    <w:rsid w:val="1F564B28"/>
    <w:rsid w:val="24650530"/>
    <w:rsid w:val="27392192"/>
    <w:rsid w:val="2C7C34D5"/>
    <w:rsid w:val="2F1A2DA1"/>
    <w:rsid w:val="32BC0BCB"/>
    <w:rsid w:val="3BF52543"/>
    <w:rsid w:val="3D63560F"/>
    <w:rsid w:val="45447286"/>
    <w:rsid w:val="472D35F6"/>
    <w:rsid w:val="48FB421D"/>
    <w:rsid w:val="4D0B45AB"/>
    <w:rsid w:val="4E257136"/>
    <w:rsid w:val="4FF3022F"/>
    <w:rsid w:val="50E531CB"/>
    <w:rsid w:val="54AE31CB"/>
    <w:rsid w:val="55B2256F"/>
    <w:rsid w:val="56C0654B"/>
    <w:rsid w:val="5C7E42B4"/>
    <w:rsid w:val="65183F95"/>
    <w:rsid w:val="68817F0B"/>
    <w:rsid w:val="71BD55FD"/>
    <w:rsid w:val="75E922E2"/>
    <w:rsid w:val="79E259DE"/>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FollowedHyperlink"/>
    <w:basedOn w:val="8"/>
    <w:uiPriority w:val="0"/>
    <w:rPr>
      <w:color w:val="333333"/>
      <w:u w:val="none"/>
    </w:rPr>
  </w:style>
  <w:style w:type="character" w:styleId="11">
    <w:name w:val="Hyperlink"/>
    <w:basedOn w:val="8"/>
    <w:qFormat/>
    <w:uiPriority w:val="0"/>
    <w:rPr>
      <w:color w:val="333333"/>
      <w:u w:val="none"/>
    </w:rPr>
  </w:style>
  <w:style w:type="character" w:customStyle="1" w:styleId="12">
    <w:name w:val="hao1"/>
    <w:basedOn w:val="8"/>
    <w:uiPriority w:val="0"/>
    <w:rPr>
      <w:b/>
    </w:rPr>
  </w:style>
  <w:style w:type="character" w:customStyle="1" w:styleId="13">
    <w:name w:val="wz"/>
    <w:basedOn w:val="8"/>
    <w:qFormat/>
    <w:uiPriority w:val="0"/>
    <w:rPr>
      <w:vanish/>
      <w:color w:val="808080"/>
    </w:rPr>
  </w:style>
  <w:style w:type="character" w:customStyle="1" w:styleId="14">
    <w:name w:val="hao12"/>
    <w:basedOn w:val="8"/>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2020-08-14T04:09:32Z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