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1662"/>
        </w:tabs>
        <w:kinsoku/>
        <w:wordWrap/>
        <w:overflowPunct/>
        <w:topLinePunct w:val="0"/>
        <w:autoSpaceDE/>
        <w:autoSpaceDN/>
        <w:bidi w:val="0"/>
        <w:adjustRightInd w:val="0"/>
        <w:spacing w:line="520" w:lineRule="exact"/>
        <w:textAlignment w:val="auto"/>
        <w:outlineLvl w:val="9"/>
        <w:rPr>
          <w:rFonts w:asciiTheme="majorEastAsia" w:hAnsiTheme="majorEastAsia" w:eastAsiaTheme="majorEastAsia" w:cstheme="majorEastAsia"/>
          <w:b/>
          <w:bCs/>
          <w:sz w:val="36"/>
          <w:szCs w:val="36"/>
        </w:rPr>
      </w:pPr>
      <w:r>
        <w:rPr>
          <w:rFonts w:hint="eastAsia" w:ascii="黑体" w:hAnsi="黑体" w:eastAsia="黑体" w:cs="黑体"/>
          <w:sz w:val="32"/>
          <w:szCs w:val="32"/>
        </w:rPr>
        <w:tab/>
      </w:r>
      <w:r>
        <w:rPr>
          <w:rFonts w:hint="eastAsia" w:asciiTheme="majorEastAsia" w:hAnsiTheme="majorEastAsia" w:eastAsiaTheme="majorEastAsia" w:cstheme="majorEastAsia"/>
          <w:b/>
          <w:bCs/>
          <w:sz w:val="36"/>
          <w:szCs w:val="36"/>
        </w:rPr>
        <w:t>石家庄市鹿泉区公用事业管理中心</w:t>
      </w:r>
    </w:p>
    <w:p>
      <w:pPr>
        <w:keepNext w:val="0"/>
        <w:keepLines w:val="0"/>
        <w:pageBreakBefore w:val="0"/>
        <w:widowControl w:val="0"/>
        <w:kinsoku/>
        <w:wordWrap/>
        <w:overflowPunct/>
        <w:topLinePunct w:val="0"/>
        <w:autoSpaceDE/>
        <w:autoSpaceDN/>
        <w:bidi w:val="0"/>
        <w:spacing w:line="520" w:lineRule="exact"/>
        <w:jc w:val="center"/>
        <w:textAlignment w:val="auto"/>
        <w:outlineLvl w:val="9"/>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海山大街（玉石路-北外环）安装路灯项目绩效评价报告</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根据《石家庄市鹿泉区区级部门预算绩效管理办法》（鹿财字[2019]65号），遵循“科学性、规范性、客观性和公正性”的原则，对海山大街（玉石路-北外环）安装路灯项目实施了绩效评价，形成本评价报告。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2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1.项目实施单位及项目立项等基本情况：实施单位是石家庄市鹿泉区公用事业管理中心，项目经区政府批准列入2019年鹿泉区政府财政预算计划。</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海山大街（玉石路-北外环）安装路灯是对海山大街南起玉石东路北至北外环，全长约为2.1公里路灯进行改造和新装。工程主要实施内容为：</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主路安装11米双臂路灯杆108根，主路安装250瓦LED路灯头108台、辅路安装150瓦LED路灯头108台，材质压铸铝飞利浦灯珠明纬驱动、色温3000K，现浇C20、600*600*1200mm灯杆基础（接地线为40*4镀锌扁铁，接地极为50*50*5*2500镀锌角钢）108座，安装BVVB3*2.5²配线2100米，安装YJV-0.6/1KV 4*35²主电缆4200米，顶管（直径80mmPE管）4200米，安装800*1600*400mm配电箱一座（内含：德力西隔离开关100A型号1块、德力西空气开关CDM1-125A型号1块、德力西电流互感器150/5型号3块、德力西空气开关3p/60型号1块、德力西浪涌保护器100型号1块、德力西塑壳漏电断路器CDM1-63A/4300型号4块、德力西接触器CJ20-63A型号4块、德力西时控开关4块、德力西箱体800*1600*400型号1台）</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该项目总投资约91.73万元，资金来源为本级财政资金，2019年度财政调整安排建设资金40万元。</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项目预期绩效总目标，全面改善海山大街北段晚上的通行能力，提高城区道路基础设施的完整性，给周边学校及居民出行提供方便，大大提升城市整体形象。</w:t>
      </w:r>
    </w:p>
    <w:p>
      <w:pPr>
        <w:keepNext w:val="0"/>
        <w:keepLines w:val="0"/>
        <w:pageBreakBefore w:val="0"/>
        <w:widowControl w:val="0"/>
        <w:kinsoku/>
        <w:wordWrap/>
        <w:overflowPunct/>
        <w:topLinePunct w:val="0"/>
        <w:autoSpaceDE/>
        <w:autoSpaceDN/>
        <w:bidi w:val="0"/>
        <w:adjustRightInd w:val="0"/>
        <w:snapToGrid w:val="0"/>
        <w:spacing w:line="52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成立评价小组，由评价小组组织实施对海山大街（玉石路-北外环）安装路灯工程立项、资金落实、业务管理、财务管理、项目产出、项目效益等绩效评价指标进行检查评价。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在开展预算绩效评价工作时，对项目立项、资金落实、业务管理、财务管理、项目产出、项目效益等共性绩效评价指标。</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w:t>
      </w:r>
      <w:r>
        <w:rPr>
          <w:rFonts w:hint="eastAsia" w:ascii="仿宋" w:hAnsi="仿宋" w:eastAsia="仿宋" w:cs="仿宋"/>
          <w:sz w:val="32"/>
          <w:szCs w:val="32"/>
          <w:lang w:val="en-US" w:eastAsia="zh-CN"/>
        </w:rPr>
        <w:t>18</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2019年度财政拨付该项目建设资金40万元，按照合同约定我中心已全部支付。</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通过对资金到位率和到位及时率等情况进行分析后，根据指标体系评分标准计算分值为1</w:t>
      </w:r>
      <w:r>
        <w:rPr>
          <w:rFonts w:hint="eastAsia" w:ascii="仿宋" w:hAnsi="仿宋" w:eastAsia="仿宋" w:cs="仿宋"/>
          <w:sz w:val="32"/>
          <w:szCs w:val="32"/>
          <w:lang w:val="en-US" w:eastAsia="zh-CN"/>
        </w:rPr>
        <w:t>5</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w:t>
      </w:r>
      <w:r>
        <w:rPr>
          <w:rFonts w:hint="eastAsia" w:ascii="仿宋" w:hAnsi="仿宋" w:eastAsia="仿宋" w:cs="仿宋"/>
          <w:sz w:val="32"/>
          <w:szCs w:val="32"/>
          <w:lang w:val="en-US" w:eastAsia="zh-CN"/>
        </w:rPr>
        <w:t>8</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30天，总投资97万元。海山大街（玉石路-北外环）安装路灯工程2019年11月1日进场开始施工，11月30日完工。按照合同工期圆满完成各项施工内容，并一次性通过竣工验收，质量合格。实际总投资为91.73万元，节约成本5.27万元。通过对项目的实际完成率、完成及时率、质量达标率、成本节约率等情况进行分析后，根据指标体系评分标准计算分值为2</w:t>
      </w:r>
      <w:r>
        <w:rPr>
          <w:rFonts w:hint="eastAsia" w:ascii="仿宋" w:hAnsi="仿宋" w:eastAsia="仿宋" w:cs="仿宋"/>
          <w:sz w:val="32"/>
          <w:szCs w:val="32"/>
          <w:lang w:val="en-US" w:eastAsia="zh-CN"/>
        </w:rPr>
        <w:t>2</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全面改善海山大街北段晚上的通行能力，提高城区道路基础设施的完整性，给周边学校及居民出行提供方便，大大提升城市整体形象。通过对项目的经济效益、社会效益、生态效益、可持续影响和社会公众或服务对象满意度等情况进行分析后，根据指标体系评分标准计算分值为1</w:t>
      </w:r>
      <w:r>
        <w:rPr>
          <w:rFonts w:hint="eastAsia" w:ascii="仿宋" w:hAnsi="仿宋" w:eastAsia="仿宋" w:cs="仿宋"/>
          <w:sz w:val="32"/>
          <w:szCs w:val="32"/>
          <w:lang w:val="en-US" w:eastAsia="zh-CN"/>
        </w:rPr>
        <w:t>7</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w:t>
      </w:r>
      <w:r>
        <w:rPr>
          <w:rFonts w:hint="eastAsia" w:ascii="仿宋" w:hAnsi="仿宋" w:eastAsia="仿宋" w:cs="仿宋"/>
          <w:sz w:val="32"/>
          <w:szCs w:val="32"/>
          <w:lang w:val="en-US" w:eastAsia="zh-CN"/>
        </w:rPr>
        <w:t>90</w:t>
      </w:r>
      <w:r>
        <w:rPr>
          <w:rFonts w:hint="eastAsia" w:ascii="仿宋" w:hAnsi="仿宋" w:eastAsia="仿宋" w:cs="仿宋"/>
          <w:sz w:val="32"/>
          <w:szCs w:val="32"/>
        </w:rPr>
        <w:t>分，等级为优秀。</w:t>
      </w:r>
    </w:p>
    <w:p>
      <w:pPr>
        <w:keepNext w:val="0"/>
        <w:keepLines w:val="0"/>
        <w:pageBreakBefore w:val="0"/>
        <w:widowControl w:val="0"/>
        <w:kinsoku/>
        <w:wordWrap/>
        <w:overflowPunct/>
        <w:topLinePunct w:val="0"/>
        <w:autoSpaceDE/>
        <w:autoSpaceDN/>
        <w:bidi w:val="0"/>
        <w:spacing w:line="52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2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2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组长：杜树森</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副组长：王永丽、张彬、杜彦章、刘猛、封惠贞</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成员：贡素馨、米建欣、赵利强、崔潇文、张仁和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20" w:lineRule="exact"/>
        <w:textAlignment w:val="auto"/>
        <w:outlineLvl w:val="9"/>
      </w:pPr>
    </w:p>
    <w:p>
      <w:pPr>
        <w:keepNext w:val="0"/>
        <w:keepLines w:val="0"/>
        <w:pageBreakBefore w:val="0"/>
        <w:widowControl w:val="0"/>
        <w:kinsoku/>
        <w:wordWrap/>
        <w:overflowPunct/>
        <w:topLinePunct w:val="0"/>
        <w:autoSpaceDE/>
        <w:autoSpaceDN/>
        <w:bidi w:val="0"/>
        <w:spacing w:line="520" w:lineRule="exact"/>
        <w:textAlignment w:val="auto"/>
        <w:outlineLvl w:val="9"/>
      </w:pPr>
    </w:p>
    <w:p>
      <w:pPr>
        <w:keepNext w:val="0"/>
        <w:keepLines w:val="0"/>
        <w:pageBreakBefore w:val="0"/>
        <w:widowControl w:val="0"/>
        <w:kinsoku/>
        <w:wordWrap/>
        <w:overflowPunct/>
        <w:topLinePunct w:val="0"/>
        <w:autoSpaceDE/>
        <w:autoSpaceDN/>
        <w:bidi w:val="0"/>
        <w:spacing w:line="520" w:lineRule="exact"/>
        <w:textAlignment w:val="auto"/>
        <w:outlineLvl w:val="9"/>
      </w:pPr>
    </w:p>
    <w:p>
      <w:pPr>
        <w:keepNext w:val="0"/>
        <w:keepLines w:val="0"/>
        <w:pageBreakBefore w:val="0"/>
        <w:widowControl w:val="0"/>
        <w:kinsoku/>
        <w:wordWrap/>
        <w:overflowPunct/>
        <w:topLinePunct w:val="0"/>
        <w:autoSpaceDE/>
        <w:autoSpaceDN/>
        <w:bidi w:val="0"/>
        <w:spacing w:line="520" w:lineRule="exact"/>
        <w:textAlignment w:val="auto"/>
        <w:outlineLvl w:val="9"/>
      </w:pPr>
    </w:p>
    <w:p>
      <w:pPr>
        <w:keepNext w:val="0"/>
        <w:keepLines w:val="0"/>
        <w:pageBreakBefore w:val="0"/>
        <w:widowControl w:val="0"/>
        <w:kinsoku/>
        <w:wordWrap/>
        <w:overflowPunct/>
        <w:topLinePunct w:val="0"/>
        <w:autoSpaceDE/>
        <w:autoSpaceDN/>
        <w:bidi w:val="0"/>
        <w:spacing w:line="520" w:lineRule="exact"/>
        <w:textAlignment w:val="auto"/>
        <w:outlineLvl w:val="9"/>
      </w:pPr>
    </w:p>
    <w:p>
      <w:pPr>
        <w:keepNext w:val="0"/>
        <w:keepLines w:val="0"/>
        <w:pageBreakBefore w:val="0"/>
        <w:widowControl w:val="0"/>
        <w:kinsoku/>
        <w:wordWrap/>
        <w:overflowPunct/>
        <w:topLinePunct w:val="0"/>
        <w:autoSpaceDE/>
        <w:autoSpaceDN/>
        <w:bidi w:val="0"/>
        <w:spacing w:line="520" w:lineRule="exact"/>
        <w:textAlignment w:val="auto"/>
        <w:outlineLvl w:val="9"/>
      </w:pPr>
    </w:p>
    <w:p>
      <w:pPr>
        <w:keepNext w:val="0"/>
        <w:keepLines w:val="0"/>
        <w:pageBreakBefore w:val="0"/>
        <w:widowControl w:val="0"/>
        <w:kinsoku/>
        <w:wordWrap/>
        <w:overflowPunct/>
        <w:topLinePunct w:val="0"/>
        <w:autoSpaceDE/>
        <w:autoSpaceDN/>
        <w:bidi w:val="0"/>
        <w:spacing w:line="520" w:lineRule="exact"/>
        <w:textAlignment w:val="auto"/>
        <w:outlineLvl w:val="9"/>
      </w:pPr>
    </w:p>
    <w:sectPr>
      <w:headerReference r:id="rId3" w:type="first"/>
      <w:footerReference r:id="rId6" w:type="first"/>
      <w:footerReference r:id="rId4" w:type="default"/>
      <w:footerReference r:id="rId5" w:type="even"/>
      <w:pgSz w:w="11906" w:h="16838"/>
      <w:pgMar w:top="1361" w:right="1417" w:bottom="1361" w:left="1474" w:header="851" w:footer="992" w:gutter="0"/>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Arial">
    <w:panose1 w:val="020B0604020202020204"/>
    <w:charset w:val="00"/>
    <w:family w:val="auto"/>
    <w:pitch w:val="default"/>
    <w:sig w:usb0="E0002A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213B5B0A"/>
    <w:rsid w:val="00001D50"/>
    <w:rsid w:val="0018138C"/>
    <w:rsid w:val="00436717"/>
    <w:rsid w:val="0ED7302A"/>
    <w:rsid w:val="213B5B0A"/>
    <w:rsid w:val="708068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318</Words>
  <Characters>1813</Characters>
  <Lines>15</Lines>
  <Paragraphs>4</Paragraphs>
  <TotalTime>0</TotalTime>
  <ScaleCrop>false</ScaleCrop>
  <LinksUpToDate>false</LinksUpToDate>
  <CharactersWithSpaces>2127</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2020-01-05T05:49:00Z</dcterms:created>
  <dc:creator>快乐一生</dc:creator>
  <cp:lastModifiedBy>Administrator</cp:lastModifiedBy>
  <dcterms:modified xsi:type="dcterms:W3CDTF">2020-01-07T02:05:48Z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