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hint="eastAsia" w:ascii="宋体" w:hAnsi="宋体" w:cs="黑体"/>
          <w:b/>
          <w:bCs/>
          <w:sz w:val="36"/>
          <w:szCs w:val="36"/>
        </w:rPr>
      </w:pPr>
      <w:r>
        <w:rPr>
          <w:rFonts w:hint="eastAsia" w:ascii="宋体" w:hAnsi="宋体" w:cs="黑体"/>
          <w:b/>
          <w:bCs/>
          <w:sz w:val="36"/>
          <w:szCs w:val="36"/>
        </w:rPr>
        <w:t>旅发大会观摩路线沿线夜景亮化工程</w:t>
      </w:r>
    </w:p>
    <w:p>
      <w:pPr>
        <w:spacing w:line="360" w:lineRule="auto"/>
        <w:jc w:val="center"/>
        <w:rPr>
          <w:rFonts w:ascii="宋体" w:cs="仿宋"/>
          <w:sz w:val="36"/>
          <w:szCs w:val="36"/>
        </w:rPr>
      </w:pPr>
      <w:r>
        <w:rPr>
          <w:rFonts w:hint="eastAsia" w:ascii="宋体" w:hAnsi="宋体"/>
          <w:b/>
          <w:bCs/>
          <w:sz w:val="36"/>
          <w:szCs w:val="36"/>
        </w:rPr>
        <w:t>项目绩效评价报告</w:t>
      </w:r>
    </w:p>
    <w:p>
      <w:pPr>
        <w:spacing w:line="360" w:lineRule="auto"/>
        <w:jc w:val="center"/>
        <w:rPr>
          <w:rFonts w:ascii="华文楷体" w:eastAsia="华文楷体"/>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w:t>
      </w:r>
      <w:r>
        <w:rPr>
          <w:rFonts w:ascii="仿宋_GB2312" w:eastAsia="仿宋_GB2312"/>
          <w:sz w:val="32"/>
          <w:szCs w:val="32"/>
        </w:rPr>
        <w:t>[2019]65</w:t>
      </w:r>
      <w:r>
        <w:rPr>
          <w:rFonts w:hint="eastAsia" w:ascii="仿宋_GB2312" w:eastAsia="仿宋_GB2312"/>
          <w:sz w:val="32"/>
          <w:szCs w:val="32"/>
        </w:rPr>
        <w:t>号），遵循“科学性、规范性、客观性和公正性”的原则，对旅发大会观摩路线沿线夜景亮化工程项目实施了绩效评价，形成本评价报告。</w:t>
      </w:r>
    </w:p>
    <w:p>
      <w:pPr>
        <w:adjustRightInd w:val="0"/>
        <w:snapToGrid w:val="0"/>
        <w:spacing w:line="360" w:lineRule="auto"/>
        <w:rPr>
          <w:rFonts w:ascii="黑体" w:eastAsia="黑体"/>
          <w:b/>
          <w:bCs/>
          <w:sz w:val="32"/>
          <w:szCs w:val="36"/>
        </w:rPr>
      </w:pPr>
      <w:r>
        <w:rPr>
          <w:rFonts w:ascii="黑体" w:eastAsia="黑体"/>
          <w:sz w:val="32"/>
          <w:szCs w:val="32"/>
        </w:rPr>
        <w:t xml:space="preserve">    </w:t>
      </w:r>
      <w:r>
        <w:rPr>
          <w:rFonts w:hint="eastAsia" w:ascii="黑体" w:eastAsia="黑体"/>
          <w:sz w:val="32"/>
          <w:szCs w:val="32"/>
        </w:rPr>
        <w:t>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ascii="仿宋_GB2312" w:eastAsia="仿宋_GB2312"/>
          <w:sz w:val="32"/>
          <w:szCs w:val="32"/>
        </w:rPr>
        <w:t xml:space="preserve"> 1.</w:t>
      </w:r>
      <w:r>
        <w:rPr>
          <w:rFonts w:hint="eastAsia" w:ascii="仿宋_GB2312" w:eastAsia="仿宋_GB2312"/>
          <w:sz w:val="32"/>
          <w:szCs w:val="32"/>
        </w:rPr>
        <w:t>项目实施单位及项目立项等基本情况；</w:t>
      </w:r>
      <w:r>
        <w:rPr>
          <w:rFonts w:hint="eastAsia" w:ascii="仿宋" w:hAnsi="仿宋" w:eastAsia="仿宋" w:cs="仿宋"/>
          <w:sz w:val="32"/>
          <w:szCs w:val="32"/>
        </w:rPr>
        <w:t>实施单位是石家庄市鹿泉区公用事业管理中心，项目立项已列入2019年鹿</w:t>
      </w:r>
      <w:r>
        <w:rPr>
          <w:rFonts w:hint="eastAsia" w:ascii="仿宋_GB2312" w:eastAsia="仿宋_GB2312"/>
          <w:sz w:val="32"/>
          <w:szCs w:val="32"/>
        </w:rPr>
        <w:t>泉区政府投资建设项目计划。</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2.</w:t>
      </w:r>
      <w:r>
        <w:rPr>
          <w:rFonts w:hint="eastAsia" w:ascii="仿宋_GB2312" w:eastAsia="仿宋_GB2312"/>
          <w:sz w:val="32"/>
          <w:szCs w:val="32"/>
        </w:rPr>
        <w:t>项目主要实施内容和范围；</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对北斗路两侧楼体、行道树亮化；南太平河河道、两侧建筑亮化；海山公园音乐喷泉改造；抱犊寨停车场周边建筑亮化；翠屏山迎宾馆周边亮化。</w:t>
      </w:r>
      <w:bookmarkStart w:id="0" w:name="_GoBack"/>
      <w:bookmarkEnd w:id="0"/>
    </w:p>
    <w:p>
      <w:pPr>
        <w:adjustRightInd w:val="0"/>
        <w:snapToGrid w:val="0"/>
        <w:spacing w:line="360" w:lineRule="auto"/>
        <w:ind w:firstLine="640" w:firstLineChars="200"/>
        <w:rPr>
          <w:rFonts w:hint="eastAsia" w:ascii="仿宋_GB2312" w:eastAsia="仿宋_GB2312"/>
          <w:sz w:val="32"/>
          <w:szCs w:val="32"/>
        </w:rPr>
      </w:pPr>
      <w:r>
        <w:rPr>
          <w:rFonts w:ascii="仿宋_GB2312" w:eastAsia="仿宋_GB2312"/>
          <w:sz w:val="32"/>
          <w:szCs w:val="32"/>
        </w:rPr>
        <w:t xml:space="preserve"> 3.</w:t>
      </w:r>
      <w:r>
        <w:rPr>
          <w:rFonts w:hint="eastAsia" w:ascii="仿宋_GB2312" w:eastAsia="仿宋_GB2312"/>
          <w:sz w:val="32"/>
          <w:szCs w:val="32"/>
        </w:rPr>
        <w:t>项目资金投入情况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该项目总投资</w:t>
      </w:r>
      <w:r>
        <w:rPr>
          <w:rFonts w:hint="eastAsia" w:ascii="仿宋_GB2312" w:eastAsia="仿宋_GB2312"/>
          <w:sz w:val="32"/>
          <w:szCs w:val="32"/>
          <w:lang w:val="en-US" w:eastAsia="zh-CN"/>
        </w:rPr>
        <w:t>4036.31万元，项目资金来源为本级财政资金，2019年度财政预算安排资金1000万元。</w:t>
      </w:r>
    </w:p>
    <w:p>
      <w:pPr>
        <w:adjustRightInd w:val="0"/>
        <w:snapToGrid w:val="0"/>
        <w:spacing w:line="360" w:lineRule="auto"/>
        <w:ind w:firstLine="640" w:firstLineChars="200"/>
        <w:rPr>
          <w:rFonts w:ascii="楷体_GB2312" w:hAnsi="楷体_GB2312" w:eastAsia="楷体_GB2312" w:cs="楷体_GB2312"/>
          <w:b/>
          <w:bCs/>
          <w:color w:val="000000" w:themeColor="text1"/>
          <w:sz w:val="32"/>
          <w:szCs w:val="32"/>
          <w14:textFill>
            <w14:solidFill>
              <w14:schemeClr w14:val="tx1"/>
            </w14:solidFill>
          </w14:textFill>
        </w:rPr>
      </w:pPr>
      <w:r>
        <w:rPr>
          <w:rFonts w:hint="eastAsia" w:ascii="楷体_GB2312" w:hAnsi="楷体_GB2312" w:eastAsia="楷体_GB2312" w:cs="楷体_GB2312"/>
          <w:color w:val="000000" w:themeColor="text1"/>
          <w:sz w:val="32"/>
          <w:szCs w:val="32"/>
          <w14:textFill>
            <w14:solidFill>
              <w14:schemeClr w14:val="tx1"/>
            </w14:solidFill>
          </w14:textFill>
        </w:rPr>
        <w:t>（二）项目预期绩效目标</w:t>
      </w:r>
    </w:p>
    <w:p>
      <w:pPr>
        <w:adjustRightInd w:val="0"/>
        <w:snapToGrid w:val="0"/>
        <w:spacing w:line="360" w:lineRule="auto"/>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项目预期绩效总目标，阶段性（当年）的绩效目标和指标；</w:t>
      </w:r>
    </w:p>
    <w:p>
      <w:pPr>
        <w:adjustRightInd w:val="0"/>
        <w:snapToGrid w:val="0"/>
        <w:spacing w:line="360" w:lineRule="auto"/>
        <w:ind w:firstLine="640" w:firstLineChars="200"/>
        <w:rPr>
          <w:rFonts w:ascii="仿宋_GB2312" w:eastAsia="仿宋_GB2312" w:cs="宋体"/>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完成北斗路两侧楼体、行道树亮化；南太平河河道、两侧建筑亮化；海山公园音乐喷泉改造；抱犊寨停车场周边建筑亮化；翠屏山迎宾馆周边</w:t>
      </w:r>
      <w:r>
        <w:rPr>
          <w:rFonts w:hint="eastAsia" w:ascii="仿宋_GB2312" w:hAnsi="宋体" w:eastAsia="仿宋_GB2312" w:cs="宋体"/>
          <w:color w:val="000000" w:themeColor="text1"/>
          <w:sz w:val="32"/>
          <w:szCs w:val="32"/>
          <w14:textFill>
            <w14:solidFill>
              <w14:schemeClr w14:val="tx1"/>
            </w14:solidFill>
          </w14:textFill>
        </w:rPr>
        <w:t>等亮化，提升城区及重要节点亮化水平。</w:t>
      </w:r>
    </w:p>
    <w:p>
      <w:pPr>
        <w:adjustRightInd w:val="0"/>
        <w:snapToGrid w:val="0"/>
        <w:spacing w:line="360" w:lineRule="auto"/>
        <w:ind w:firstLine="640" w:firstLineChars="200"/>
        <w:rPr>
          <w:rFonts w:ascii="仿宋_GB2312" w:eastAsia="仿宋_GB2312"/>
          <w:color w:val="000000" w:themeColor="text1"/>
          <w:sz w:val="32"/>
          <w:szCs w:val="32"/>
          <w14:textFill>
            <w14:solidFill>
              <w14:schemeClr w14:val="tx1"/>
            </w14:solidFill>
          </w14:textFill>
        </w:rPr>
      </w:pPr>
      <w:r>
        <w:rPr>
          <w:rFonts w:ascii="仿宋_GB2312" w:eastAsia="仿宋_GB2312"/>
          <w:color w:val="000000" w:themeColor="text1"/>
          <w:sz w:val="32"/>
          <w:szCs w:val="32"/>
          <w14:textFill>
            <w14:solidFill>
              <w14:schemeClr w14:val="tx1"/>
            </w14:solidFill>
          </w14:textFill>
        </w:rPr>
        <w:t>2019</w:t>
      </w:r>
      <w:r>
        <w:rPr>
          <w:rFonts w:hint="eastAsia" w:ascii="仿宋_GB2312" w:eastAsia="仿宋_GB2312"/>
          <w:color w:val="000000" w:themeColor="text1"/>
          <w:sz w:val="32"/>
          <w:szCs w:val="32"/>
          <w14:textFill>
            <w14:solidFill>
              <w14:schemeClr w14:val="tx1"/>
            </w14:solidFill>
          </w14:textFill>
        </w:rPr>
        <w:t>年亮化项目全部完成。</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楷体_GB2312" w:hAnsi="楷体_GB2312" w:eastAsia="楷体_GB2312" w:cs="楷体_GB2312"/>
          <w:sz w:val="32"/>
          <w:szCs w:val="32"/>
        </w:rPr>
      </w:pPr>
      <w:r>
        <w:rPr>
          <w:rFonts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rPr>
          <w:rFonts w:ascii="仿宋_GB2312" w:eastAsia="仿宋_GB2312"/>
          <w:sz w:val="32"/>
          <w:szCs w:val="32"/>
        </w:rPr>
      </w:pPr>
      <w:r>
        <w:rPr>
          <w:rFonts w:ascii="仿宋_GB2312" w:eastAsia="仿宋_GB2312"/>
          <w:sz w:val="32"/>
          <w:szCs w:val="32"/>
        </w:rPr>
        <w:t xml:space="preserve">    </w:t>
      </w:r>
      <w:r>
        <w:rPr>
          <w:rFonts w:hint="eastAsia" w:ascii="仿宋_GB2312" w:eastAsia="仿宋_GB2312"/>
          <w:sz w:val="32"/>
          <w:szCs w:val="32"/>
        </w:rPr>
        <w:t>说明项目评价资料收集、评价过程、评价工作管理组织等情况。</w:t>
      </w:r>
    </w:p>
    <w:p>
      <w:pPr>
        <w:rPr>
          <w:rFonts w:hint="eastAsia" w:ascii="楷体_GB2312" w:hAnsi="楷体_GB2312" w:eastAsia="楷体_GB2312" w:cs="楷体_GB2312"/>
          <w:sz w:val="32"/>
          <w:szCs w:val="32"/>
        </w:rPr>
      </w:pPr>
      <w:r>
        <w:rPr>
          <w:rFonts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ind w:firstLine="640" w:firstLineChars="200"/>
        <w:rPr>
          <w:rFonts w:hint="eastAsia" w:ascii="楷体_GB2312" w:hAnsi="楷体_GB2312" w:eastAsia="楷体_GB2312" w:cs="楷体_GB2312"/>
          <w:sz w:val="32"/>
          <w:szCs w:val="32"/>
        </w:rPr>
      </w:pPr>
      <w:r>
        <w:rPr>
          <w:rFonts w:hint="eastAsia" w:ascii="仿宋" w:hAnsi="仿宋" w:eastAsia="仿宋" w:cs="仿宋"/>
          <w:sz w:val="32"/>
          <w:szCs w:val="32"/>
        </w:rPr>
        <w:t>对工程手续、工程资料及竣工验收等相关资料进行查阅、根据绩效评价指标体系框架进行分项评价。</w:t>
      </w:r>
    </w:p>
    <w:p>
      <w:pPr>
        <w:rPr>
          <w:rFonts w:ascii="仿宋_GB2312" w:eastAsia="仿宋_GB2312"/>
          <w:sz w:val="32"/>
          <w:szCs w:val="32"/>
        </w:rPr>
      </w:pPr>
      <w:r>
        <w:rPr>
          <w:rFonts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ind w:firstLine="640" w:firstLineChars="200"/>
        <w:rPr>
          <w:rFonts w:ascii="仿宋_GB2312" w:eastAsia="仿宋_GB2312"/>
          <w:sz w:val="32"/>
          <w:szCs w:val="32"/>
        </w:rPr>
      </w:pPr>
      <w:r>
        <w:rPr>
          <w:rFonts w:hint="eastAsia" w:ascii="仿宋_GB2312" w:eastAsia="仿宋_GB2312"/>
          <w:sz w:val="32"/>
          <w:szCs w:val="32"/>
        </w:rPr>
        <w:t>在开展预算绩效评价工作时，针对具体绩效评价对象的特点，设计具体的绩效评价指标体系。除共性指标外，必须设置能够体现项目特点和绩效的个性指标；项目产出指标与项目效果指标设置数量在</w:t>
      </w:r>
      <w:r>
        <w:rPr>
          <w:rFonts w:ascii="仿宋_GB2312" w:eastAsia="仿宋_GB2312"/>
          <w:sz w:val="32"/>
          <w:szCs w:val="32"/>
        </w:rPr>
        <w:t>8</w:t>
      </w:r>
      <w:r>
        <w:rPr>
          <w:rFonts w:hint="eastAsia" w:ascii="仿宋_GB2312" w:eastAsia="仿宋_GB2312"/>
          <w:sz w:val="32"/>
          <w:szCs w:val="32"/>
        </w:rPr>
        <w:t>个（含）以上，分值权重占总体的</w:t>
      </w:r>
      <w:r>
        <w:rPr>
          <w:rFonts w:ascii="仿宋_GB2312" w:eastAsia="仿宋_GB2312"/>
          <w:sz w:val="32"/>
          <w:szCs w:val="32"/>
        </w:rPr>
        <w:t>65%</w:t>
      </w:r>
      <w:r>
        <w:rPr>
          <w:rFonts w:hint="eastAsia" w:ascii="仿宋_GB2312" w:eastAsia="仿宋_GB2312"/>
          <w:sz w:val="32"/>
          <w:szCs w:val="32"/>
        </w:rPr>
        <w:t>以上。</w:t>
      </w:r>
    </w:p>
    <w:p>
      <w:pPr>
        <w:rPr>
          <w:rFonts w:ascii="黑体" w:hAnsi="黑体" w:eastAsia="黑体" w:cs="黑体"/>
          <w:b/>
          <w:bCs/>
          <w:sz w:val="32"/>
          <w:szCs w:val="32"/>
        </w:rPr>
      </w:pPr>
      <w:r>
        <w:rPr>
          <w:rFonts w:ascii="仿宋_GB2312" w:eastAsia="仿宋_GB2312"/>
          <w:b/>
          <w:bCs/>
          <w:sz w:val="32"/>
          <w:szCs w:val="32"/>
        </w:rPr>
        <w:t xml:space="preserve">    </w:t>
      </w: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ascii="楷体_GB2312" w:hAnsi="楷体_GB2312" w:eastAsia="楷体_GB2312" w:cs="楷体_GB2312"/>
          <w:sz w:val="32"/>
          <w:szCs w:val="32"/>
        </w:rPr>
        <w:t xml:space="preserve">   </w:t>
      </w:r>
      <w:r>
        <w:rPr>
          <w:rFonts w:hint="eastAsia" w:ascii="楷体_GB2312" w:hAnsi="楷体_GB2312" w:eastAsia="楷体_GB2312" w:cs="楷体_GB2312"/>
          <w:sz w:val="32"/>
          <w:szCs w:val="32"/>
        </w:rPr>
        <w:t>（一）项目投入</w:t>
      </w:r>
    </w:p>
    <w:p>
      <w:pPr>
        <w:ind w:firstLine="640" w:firstLineChars="200"/>
        <w:rPr>
          <w:rFonts w:ascii="仿宋_GB2312" w:eastAsia="仿宋_GB2312"/>
          <w:sz w:val="32"/>
          <w:szCs w:val="32"/>
        </w:rPr>
      </w:pPr>
      <w:r>
        <w:rPr>
          <w:rFonts w:ascii="仿宋_GB2312" w:eastAsia="仿宋_GB2312"/>
          <w:sz w:val="32"/>
          <w:szCs w:val="32"/>
        </w:rPr>
        <w:t>1.</w:t>
      </w:r>
      <w:r>
        <w:rPr>
          <w:rFonts w:hint="eastAsia" w:ascii="仿宋_GB2312" w:eastAsia="仿宋_GB2312"/>
          <w:sz w:val="32"/>
          <w:szCs w:val="32"/>
        </w:rPr>
        <w:t>项目立项情况分析。对项目立项规范性、绩效目标合理性和绩效指标明确性等情况进行分析后，根据指标体系评分标准计算分值。</w:t>
      </w:r>
    </w:p>
    <w:p>
      <w:pPr>
        <w:ind w:firstLine="640" w:firstLineChars="200"/>
        <w:rPr>
          <w:rFonts w:hint="eastAsia" w:ascii="仿宋_GB2312" w:eastAsia="仿宋_GB2312"/>
          <w:sz w:val="32"/>
          <w:szCs w:val="32"/>
        </w:rPr>
      </w:pPr>
      <w:r>
        <w:rPr>
          <w:rFonts w:ascii="仿宋_GB2312" w:eastAsia="仿宋_GB2312"/>
          <w:sz w:val="32"/>
          <w:szCs w:val="32"/>
        </w:rPr>
        <w:t>2.</w:t>
      </w:r>
      <w:r>
        <w:rPr>
          <w:rFonts w:hint="eastAsia" w:ascii="仿宋_GB2312" w:eastAsia="仿宋_GB2312"/>
          <w:sz w:val="32"/>
          <w:szCs w:val="32"/>
        </w:rPr>
        <w:t>资金落实情况分析。</w:t>
      </w:r>
    </w:p>
    <w:p>
      <w:pPr>
        <w:ind w:firstLine="640" w:firstLineChars="200"/>
        <w:rPr>
          <w:rFonts w:ascii="仿宋_GB2312" w:eastAsia="仿宋_GB2312"/>
          <w:sz w:val="32"/>
          <w:szCs w:val="32"/>
        </w:rPr>
      </w:pPr>
      <w:r>
        <w:rPr>
          <w:rFonts w:hint="eastAsia" w:ascii="仿宋_GB2312" w:eastAsia="仿宋_GB2312"/>
          <w:sz w:val="32"/>
          <w:szCs w:val="32"/>
          <w:lang w:val="en-US" w:eastAsia="zh-CN"/>
        </w:rPr>
        <w:t>2019年度财政拨付该项目建设资金699.8万元，按照合同约定我中心已全部支付。</w:t>
      </w:r>
      <w:r>
        <w:rPr>
          <w:rFonts w:hint="eastAsia" w:ascii="仿宋_GB2312" w:eastAsia="仿宋_GB2312"/>
          <w:sz w:val="32"/>
          <w:szCs w:val="32"/>
        </w:rPr>
        <w:t>对资金到位率和到位及时率等情况进行分析后，根据指标体系评分标准计算分值。</w:t>
      </w:r>
    </w:p>
    <w:p>
      <w:pPr>
        <w:rPr>
          <w:rFonts w:ascii="楷体_GB2312" w:hAnsi="楷体_GB2312" w:eastAsia="楷体_GB2312" w:cs="楷体_GB2312"/>
          <w:sz w:val="32"/>
          <w:szCs w:val="32"/>
        </w:rPr>
      </w:pPr>
      <w:r>
        <w:rPr>
          <w:rFonts w:ascii="仿宋_GB2312" w:eastAsia="仿宋_GB2312"/>
          <w:sz w:val="32"/>
          <w:szCs w:val="32"/>
        </w:rPr>
        <w:t xml:space="preserve">   </w:t>
      </w:r>
      <w:r>
        <w:rPr>
          <w:rFonts w:hint="eastAsia" w:ascii="楷体_GB2312" w:hAnsi="楷体_GB2312" w:eastAsia="楷体_GB2312" w:cs="楷体_GB2312"/>
          <w:sz w:val="32"/>
          <w:szCs w:val="32"/>
        </w:rPr>
        <w:t>（二）项目实施过程</w:t>
      </w:r>
    </w:p>
    <w:p>
      <w:pPr>
        <w:ind w:firstLine="640" w:firstLineChars="200"/>
        <w:rPr>
          <w:rFonts w:ascii="仿宋_GB2312" w:eastAsia="仿宋_GB2312"/>
          <w:sz w:val="32"/>
          <w:szCs w:val="32"/>
        </w:rPr>
      </w:pPr>
      <w:r>
        <w:rPr>
          <w:rFonts w:ascii="仿宋_GB2312" w:eastAsia="仿宋_GB2312"/>
          <w:sz w:val="32"/>
          <w:szCs w:val="32"/>
        </w:rPr>
        <w:t>1.</w:t>
      </w:r>
      <w:r>
        <w:rPr>
          <w:rFonts w:hint="eastAsia" w:ascii="仿宋_GB2312" w:eastAsia="仿宋_GB2312"/>
          <w:sz w:val="32"/>
          <w:szCs w:val="32"/>
        </w:rPr>
        <w:t>业务管理情况分析。</w:t>
      </w:r>
    </w:p>
    <w:p>
      <w:pPr>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制定了管理制度，管理制度健全；项目实施中严格按照管理制度，制度能够有效执行；项目质量由施工单位自检、监理单位抽检，项目质量可控。</w:t>
      </w:r>
    </w:p>
    <w:p>
      <w:pPr>
        <w:ind w:firstLine="640" w:firstLineChars="200"/>
        <w:rPr>
          <w:rFonts w:ascii="仿宋_GB2312" w:eastAsia="仿宋_GB2312"/>
          <w:sz w:val="32"/>
          <w:szCs w:val="32"/>
        </w:rPr>
      </w:pPr>
      <w:r>
        <w:rPr>
          <w:rFonts w:ascii="仿宋_GB2312" w:eastAsia="仿宋_GB2312"/>
          <w:sz w:val="32"/>
          <w:szCs w:val="32"/>
        </w:rPr>
        <w:t>2.</w:t>
      </w:r>
      <w:r>
        <w:rPr>
          <w:rFonts w:hint="eastAsia" w:ascii="仿宋_GB2312" w:eastAsia="仿宋_GB2312"/>
          <w:sz w:val="32"/>
          <w:szCs w:val="32"/>
        </w:rPr>
        <w:t>财务管理。对管理制度健全性、资金使用合规性和财务监控有效性等情况进行分析后，根据指标体系评分标准计算分值。</w:t>
      </w:r>
    </w:p>
    <w:p>
      <w:pPr>
        <w:rPr>
          <w:rFonts w:ascii="仿宋_GB2312" w:eastAsia="仿宋_GB2312"/>
          <w:b/>
          <w:bCs/>
          <w:color w:val="000000" w:themeColor="text1"/>
          <w:sz w:val="32"/>
          <w:szCs w:val="32"/>
          <w14:textFill>
            <w14:solidFill>
              <w14:schemeClr w14:val="tx1"/>
            </w14:solidFill>
          </w14:textFill>
        </w:rPr>
      </w:pPr>
      <w:r>
        <w:rPr>
          <w:rFonts w:ascii="仿宋_GB2312" w:eastAsia="仿宋_GB2312"/>
          <w:b/>
          <w:bCs/>
          <w:color w:val="000000" w:themeColor="text1"/>
          <w:sz w:val="32"/>
          <w:szCs w:val="32"/>
          <w14:textFill>
            <w14:solidFill>
              <w14:schemeClr w14:val="tx1"/>
            </w14:solidFill>
          </w14:textFill>
        </w:rPr>
        <w:t xml:space="preserve">   </w:t>
      </w:r>
      <w:r>
        <w:rPr>
          <w:rFonts w:hint="eastAsia" w:ascii="楷体_GB2312" w:hAnsi="楷体_GB2312" w:eastAsia="楷体_GB2312" w:cs="楷体_GB2312"/>
          <w:color w:val="000000" w:themeColor="text1"/>
          <w:sz w:val="32"/>
          <w:szCs w:val="32"/>
          <w14:textFill>
            <w14:solidFill>
              <w14:schemeClr w14:val="tx1"/>
            </w14:solidFill>
          </w14:textFill>
        </w:rPr>
        <w:t>（</w:t>
      </w:r>
      <w:r>
        <w:rPr>
          <w:rFonts w:hint="eastAsia" w:ascii="楷体_GB2312" w:hAnsi="楷体_GB2312" w:eastAsia="楷体_GB2312" w:cs="楷体_GB2312"/>
          <w:color w:val="000000" w:themeColor="text1"/>
          <w:sz w:val="32"/>
          <w:szCs w:val="32"/>
          <w14:textFill>
            <w14:solidFill>
              <w14:schemeClr w14:val="tx1"/>
            </w14:solidFill>
          </w14:textFill>
        </w:rPr>
        <w:t>三）项目产出</w:t>
      </w:r>
    </w:p>
    <w:p>
      <w:pPr>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对项目的实际完成率、完成及时率、质量达标率、成本节约率等情况进行分析后，根据指标体系评分标准计算分值。</w:t>
      </w:r>
    </w:p>
    <w:p>
      <w:pPr>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项目实际完成率</w:t>
      </w:r>
      <w:r>
        <w:rPr>
          <w:rFonts w:ascii="仿宋_GB2312" w:eastAsia="仿宋_GB2312"/>
          <w:color w:val="000000" w:themeColor="text1"/>
          <w:sz w:val="32"/>
          <w:szCs w:val="32"/>
          <w14:textFill>
            <w14:solidFill>
              <w14:schemeClr w14:val="tx1"/>
            </w14:solidFill>
          </w14:textFill>
        </w:rPr>
        <w:t>100%</w:t>
      </w:r>
      <w:r>
        <w:rPr>
          <w:rFonts w:hint="eastAsia" w:ascii="仿宋_GB2312" w:eastAsia="仿宋_GB2312"/>
          <w:color w:val="000000" w:themeColor="text1"/>
          <w:sz w:val="32"/>
          <w:szCs w:val="32"/>
          <w14:textFill>
            <w14:solidFill>
              <w14:schemeClr w14:val="tx1"/>
            </w14:solidFill>
          </w14:textFill>
        </w:rPr>
        <w:t>。</w:t>
      </w:r>
    </w:p>
    <w:p>
      <w:pPr>
        <w:ind w:firstLine="640" w:firstLineChars="200"/>
        <w:rPr>
          <w:rFonts w:ascii="仿宋_GB2312" w:eastAsia="仿宋_GB2312"/>
          <w:color w:val="FF0000"/>
          <w:sz w:val="32"/>
          <w:szCs w:val="32"/>
        </w:rPr>
      </w:pPr>
      <w:r>
        <w:rPr>
          <w:rFonts w:hint="eastAsia" w:ascii="仿宋_GB2312" w:eastAsia="仿宋_GB2312"/>
          <w:color w:val="000000" w:themeColor="text1"/>
          <w:sz w:val="32"/>
          <w:szCs w:val="32"/>
          <w14:textFill>
            <w14:solidFill>
              <w14:schemeClr w14:val="tx1"/>
            </w14:solidFill>
          </w14:textFill>
        </w:rPr>
        <w:t>完成及时率</w:t>
      </w:r>
    </w:p>
    <w:p>
      <w:pPr>
        <w:rPr>
          <w:rFonts w:ascii="楷体_GB2312" w:hAnsi="楷体_GB2312" w:eastAsia="楷体_GB2312" w:cs="楷体_GB2312"/>
          <w:color w:val="000000" w:themeColor="text1"/>
          <w:sz w:val="32"/>
          <w:szCs w:val="32"/>
          <w14:textFill>
            <w14:solidFill>
              <w14:schemeClr w14:val="tx1"/>
            </w14:solidFill>
          </w14:textFill>
        </w:rPr>
      </w:pPr>
      <w:r>
        <w:rPr>
          <w:rFonts w:ascii="楷体_GB2312" w:hAnsi="楷体_GB2312" w:eastAsia="楷体_GB2312" w:cs="楷体_GB2312"/>
          <w:b/>
          <w:bCs/>
          <w:color w:val="FF0000"/>
          <w:sz w:val="32"/>
          <w:szCs w:val="32"/>
        </w:rPr>
        <w:t xml:space="preserve">   </w:t>
      </w:r>
      <w:r>
        <w:rPr>
          <w:rFonts w:hint="eastAsia" w:ascii="楷体_GB2312" w:hAnsi="楷体_GB2312" w:eastAsia="楷体_GB2312" w:cs="楷体_GB2312"/>
          <w:color w:val="000000" w:themeColor="text1"/>
          <w:sz w:val="32"/>
          <w:szCs w:val="32"/>
          <w14:textFill>
            <w14:solidFill>
              <w14:schemeClr w14:val="tx1"/>
            </w14:solidFill>
          </w14:textFill>
        </w:rPr>
        <w:t>（四）项目效果</w:t>
      </w:r>
    </w:p>
    <w:p>
      <w:pPr>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对项目的经济效益、社会效益、生态效益、可持续影响和社会公众或服务对象满意度等情况进行分析后，根据指标体系评分标准计算分值。</w:t>
      </w:r>
    </w:p>
    <w:p>
      <w:pPr>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经济效益：产生间接经济效益。项目完成后，可以吸引更多的外地游客，到我区进行旅游、观光，拉动经济增长。</w:t>
      </w:r>
    </w:p>
    <w:p>
      <w:pPr>
        <w:ind w:firstLine="640" w:firstLineChars="200"/>
        <w:rPr>
          <w:rFonts w:ascii="仿宋_GB2312" w:eastAsia="仿宋_GB2312"/>
          <w:color w:val="000000" w:themeColor="text1"/>
          <w:sz w:val="32"/>
          <w:szCs w:val="32"/>
          <w14:textFill>
            <w14:solidFill>
              <w14:schemeClr w14:val="tx1"/>
            </w14:solidFill>
          </w14:textFill>
        </w:rPr>
      </w:pPr>
      <w:r>
        <w:rPr>
          <w:rFonts w:hint="eastAsia" w:ascii="仿宋_GB2312" w:eastAsia="仿宋_GB2312"/>
          <w:color w:val="000000" w:themeColor="text1"/>
          <w:sz w:val="32"/>
          <w:szCs w:val="32"/>
          <w14:textFill>
            <w14:solidFill>
              <w14:schemeClr w14:val="tx1"/>
            </w14:solidFill>
          </w14:textFill>
        </w:rPr>
        <w:t>服务对象满意度情况：满意度≥</w:t>
      </w:r>
      <w:r>
        <w:rPr>
          <w:rFonts w:ascii="仿宋_GB2312" w:eastAsia="仿宋_GB2312"/>
          <w:color w:val="000000" w:themeColor="text1"/>
          <w:sz w:val="32"/>
          <w:szCs w:val="32"/>
          <w14:textFill>
            <w14:solidFill>
              <w14:schemeClr w14:val="tx1"/>
            </w14:solidFill>
          </w14:textFill>
        </w:rPr>
        <w:t>90%</w:t>
      </w:r>
      <w:r>
        <w:rPr>
          <w:rFonts w:hint="eastAsia" w:ascii="仿宋_GB2312" w:eastAsia="仿宋_GB2312"/>
          <w:color w:val="000000" w:themeColor="text1"/>
          <w:sz w:val="32"/>
          <w:szCs w:val="32"/>
          <w14:textFill>
            <w14:solidFill>
              <w14:schemeClr w14:val="tx1"/>
            </w14:solidFill>
          </w14:textFill>
        </w:rPr>
        <w:t>。</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根据项目执行情况和项目绩效情况，给出总得分，指标体系设定满分</w:t>
      </w:r>
      <w:r>
        <w:rPr>
          <w:rFonts w:ascii="仿宋_GB2312" w:eastAsia="仿宋_GB2312"/>
          <w:sz w:val="32"/>
          <w:szCs w:val="32"/>
        </w:rPr>
        <w:t>100</w:t>
      </w:r>
      <w:r>
        <w:rPr>
          <w:rFonts w:hint="eastAsia" w:ascii="仿宋_GB2312" w:eastAsia="仿宋_GB2312"/>
          <w:sz w:val="32"/>
          <w:szCs w:val="32"/>
        </w:rPr>
        <w:t>分，得出综合评价结论和项目综合绩效评价等级。项目综合绩效评价分为</w:t>
      </w:r>
      <w:r>
        <w:rPr>
          <w:rFonts w:ascii="仿宋_GB2312" w:eastAsia="仿宋_GB2312"/>
          <w:sz w:val="32"/>
          <w:szCs w:val="32"/>
        </w:rPr>
        <w:t>4</w:t>
      </w:r>
      <w:r>
        <w:rPr>
          <w:rFonts w:hint="eastAsia" w:ascii="仿宋_GB2312" w:eastAsia="仿宋_GB2312"/>
          <w:sz w:val="32"/>
          <w:szCs w:val="32"/>
        </w:rPr>
        <w:t>个等级：得分</w:t>
      </w:r>
      <w:r>
        <w:rPr>
          <w:rFonts w:ascii="Arial" w:hAnsi="Arial" w:eastAsia="仿宋_GB2312" w:cs="Arial"/>
          <w:sz w:val="32"/>
          <w:szCs w:val="32"/>
        </w:rPr>
        <w:t>≥</w:t>
      </w:r>
      <w:r>
        <w:rPr>
          <w:rFonts w:ascii="仿宋_GB2312" w:eastAsia="仿宋_GB2312"/>
          <w:sz w:val="32"/>
          <w:szCs w:val="32"/>
        </w:rPr>
        <w:t>85</w:t>
      </w:r>
      <w:r>
        <w:rPr>
          <w:rFonts w:hint="eastAsia" w:ascii="仿宋_GB2312" w:eastAsia="仿宋_GB2312"/>
          <w:sz w:val="32"/>
          <w:szCs w:val="32"/>
        </w:rPr>
        <w:t>分为优秀；</w:t>
      </w:r>
      <w:r>
        <w:rPr>
          <w:rFonts w:ascii="仿宋_GB2312" w:eastAsia="仿宋_GB2312"/>
          <w:sz w:val="32"/>
          <w:szCs w:val="32"/>
        </w:rPr>
        <w:t>75</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ascii="仿宋_GB2312" w:eastAsia="仿宋_GB2312"/>
          <w:sz w:val="32"/>
          <w:szCs w:val="32"/>
        </w:rPr>
        <w:t>85</w:t>
      </w:r>
      <w:r>
        <w:rPr>
          <w:rFonts w:hint="eastAsia" w:ascii="仿宋_GB2312" w:eastAsia="仿宋_GB2312"/>
          <w:sz w:val="32"/>
          <w:szCs w:val="32"/>
        </w:rPr>
        <w:t>分为良好；</w:t>
      </w:r>
      <w:r>
        <w:rPr>
          <w:rFonts w:ascii="仿宋_GB2312" w:eastAsia="仿宋_GB2312"/>
          <w:sz w:val="32"/>
          <w:szCs w:val="32"/>
        </w:rPr>
        <w:t>60</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ascii="仿宋_GB2312" w:eastAsia="仿宋_GB2312"/>
          <w:sz w:val="32"/>
          <w:szCs w:val="32"/>
        </w:rPr>
        <w:t>75</w:t>
      </w:r>
      <w:r>
        <w:rPr>
          <w:rFonts w:hint="eastAsia" w:ascii="仿宋_GB2312" w:eastAsia="仿宋_GB2312"/>
          <w:sz w:val="32"/>
          <w:szCs w:val="32"/>
        </w:rPr>
        <w:t>分为一般；得分</w:t>
      </w:r>
      <w:r>
        <w:rPr>
          <w:rFonts w:hint="eastAsia" w:ascii="仿宋_GB2312" w:hAnsi="仿宋_GB2312" w:eastAsia="仿宋_GB2312"/>
          <w:sz w:val="32"/>
          <w:szCs w:val="32"/>
        </w:rPr>
        <w:t>＜</w:t>
      </w:r>
      <w:r>
        <w:rPr>
          <w:rFonts w:ascii="仿宋_GB2312" w:eastAsia="仿宋_GB2312"/>
          <w:sz w:val="32"/>
          <w:szCs w:val="32"/>
        </w:rPr>
        <w:t>60</w:t>
      </w:r>
      <w:r>
        <w:rPr>
          <w:rFonts w:hint="eastAsia" w:ascii="仿宋_GB2312" w:eastAsia="仿宋_GB2312"/>
          <w:sz w:val="32"/>
          <w:szCs w:val="32"/>
        </w:rPr>
        <w:t>分为较差。</w:t>
      </w:r>
    </w:p>
    <w:p>
      <w:pPr>
        <w:ind w:firstLine="640" w:firstLineChars="200"/>
        <w:rPr>
          <w:rFonts w:ascii="仿宋_GB2312" w:eastAsia="仿宋_GB2312"/>
          <w:sz w:val="32"/>
          <w:szCs w:val="32"/>
        </w:rPr>
      </w:pPr>
      <w:r>
        <w:rPr>
          <w:rFonts w:hint="eastAsia" w:ascii="黑体" w:hAnsi="黑体" w:eastAsia="黑体"/>
          <w:sz w:val="32"/>
          <w:szCs w:val="32"/>
        </w:rPr>
        <w:t>五、存在的问题及改进措施</w:t>
      </w:r>
    </w:p>
    <w:p>
      <w:pPr>
        <w:rPr>
          <w:rFonts w:hint="eastAsia" w:ascii="楷体_GB2312" w:hAnsi="楷体_GB2312" w:eastAsia="楷体_GB2312"/>
          <w:sz w:val="32"/>
          <w:szCs w:val="32"/>
        </w:rPr>
      </w:pPr>
      <w:r>
        <w:rPr>
          <w:rFonts w:ascii="楷体_GB2312" w:hAnsi="楷体_GB2312" w:eastAsia="楷体_GB2312"/>
          <w:b/>
          <w:bCs/>
          <w:sz w:val="32"/>
          <w:szCs w:val="32"/>
        </w:rPr>
        <w:t xml:space="preserve">   </w:t>
      </w:r>
      <w:r>
        <w:rPr>
          <w:rFonts w:hint="eastAsia" w:ascii="楷体_GB2312" w:hAnsi="楷体_GB2312" w:eastAsia="楷体_GB2312"/>
          <w:sz w:val="32"/>
          <w:szCs w:val="32"/>
        </w:rPr>
        <w:t>（一）项目存在的主要问题</w:t>
      </w:r>
    </w:p>
    <w:p>
      <w:pPr>
        <w:rPr>
          <w:rFonts w:hint="eastAsia" w:ascii="楷体_GB2312" w:hAnsi="楷体_GB2312" w:eastAsia="楷体_GB2312"/>
          <w:sz w:val="32"/>
          <w:szCs w:val="32"/>
          <w:lang w:eastAsia="zh-CN"/>
        </w:rPr>
      </w:pPr>
      <w:r>
        <w:rPr>
          <w:rFonts w:hint="eastAsia" w:ascii="楷体_GB2312" w:hAnsi="楷体_GB2312" w:eastAsia="楷体_GB2312"/>
          <w:sz w:val="32"/>
          <w:szCs w:val="32"/>
          <w:lang w:eastAsia="zh-CN"/>
        </w:rPr>
        <w:t>无</w:t>
      </w:r>
    </w:p>
    <w:p>
      <w:pPr>
        <w:rPr>
          <w:rFonts w:hint="eastAsia" w:ascii="楷体_GB2312" w:hAnsi="楷体_GB2312" w:eastAsia="楷体_GB2312"/>
          <w:sz w:val="32"/>
          <w:szCs w:val="32"/>
        </w:rPr>
      </w:pPr>
      <w:r>
        <w:rPr>
          <w:rFonts w:ascii="楷体_GB2312" w:hAnsi="楷体_GB2312" w:eastAsia="楷体_GB2312"/>
          <w:sz w:val="32"/>
          <w:szCs w:val="32"/>
        </w:rPr>
        <w:t xml:space="preserve">   </w:t>
      </w:r>
      <w:r>
        <w:rPr>
          <w:rFonts w:hint="eastAsia" w:ascii="楷体_GB2312" w:hAnsi="楷体_GB2312" w:eastAsia="楷体_GB2312"/>
          <w:sz w:val="32"/>
          <w:szCs w:val="32"/>
        </w:rPr>
        <w:t>（二）针对问题提出具体的改进措施或建议</w:t>
      </w:r>
    </w:p>
    <w:p>
      <w:pPr>
        <w:rPr>
          <w:rFonts w:hint="eastAsia" w:ascii="楷体_GB2312" w:hAnsi="楷体_GB2312" w:eastAsia="楷体_GB2312"/>
          <w:sz w:val="32"/>
          <w:szCs w:val="32"/>
          <w:lang w:eastAsia="zh-CN"/>
        </w:rPr>
      </w:pPr>
      <w:r>
        <w:rPr>
          <w:rFonts w:hint="eastAsia" w:ascii="楷体_GB2312" w:hAnsi="楷体_GB2312" w:eastAsia="楷体_GB2312"/>
          <w:sz w:val="32"/>
          <w:szCs w:val="32"/>
          <w:lang w:eastAsia="zh-CN"/>
        </w:rPr>
        <w:t>无</w:t>
      </w:r>
    </w:p>
    <w:p>
      <w:pPr>
        <w:numPr>
          <w:numId w:val="0"/>
        </w:numPr>
        <w:adjustRightInd w:val="0"/>
        <w:snapToGrid w:val="0"/>
        <w:spacing w:line="360" w:lineRule="auto"/>
        <w:ind w:firstLine="640" w:firstLineChars="200"/>
        <w:rPr>
          <w:rFonts w:hint="eastAsia" w:ascii="仿宋_GB2312" w:eastAsia="仿宋_GB2312"/>
          <w:sz w:val="32"/>
          <w:szCs w:val="32"/>
        </w:rPr>
      </w:pPr>
      <w:r>
        <w:rPr>
          <w:rFonts w:hint="eastAsia" w:ascii="黑体" w:eastAsia="黑体"/>
          <w:sz w:val="32"/>
          <w:szCs w:val="32"/>
          <w:lang w:eastAsia="zh-CN"/>
        </w:rPr>
        <w:t>六、</w:t>
      </w:r>
      <w:r>
        <w:rPr>
          <w:rFonts w:hint="eastAsia" w:ascii="黑体" w:eastAsia="黑体"/>
          <w:sz w:val="32"/>
          <w:szCs w:val="32"/>
        </w:rPr>
        <w:t>评价工作组人员名单及签字</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评价工作小组人员名单:</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组长：</w:t>
      </w:r>
      <w:r>
        <w:rPr>
          <w:rFonts w:hint="eastAsia" w:ascii="仿宋" w:hAnsi="仿宋" w:eastAsia="仿宋" w:cs="仿宋"/>
          <w:sz w:val="32"/>
          <w:szCs w:val="32"/>
          <w:lang w:eastAsia="zh-CN"/>
        </w:rPr>
        <w:t>邱保良</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副组长：</w:t>
      </w:r>
      <w:r>
        <w:rPr>
          <w:rFonts w:hint="eastAsia" w:ascii="仿宋" w:hAnsi="仿宋" w:eastAsia="仿宋" w:cs="仿宋"/>
          <w:sz w:val="32"/>
          <w:szCs w:val="32"/>
          <w:lang w:eastAsia="zh-CN"/>
        </w:rPr>
        <w:t>曹斌</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成员</w:t>
      </w:r>
      <w:r>
        <w:rPr>
          <w:rFonts w:hint="eastAsia" w:ascii="仿宋" w:hAnsi="仿宋" w:eastAsia="仿宋" w:cs="仿宋"/>
          <w:sz w:val="32"/>
          <w:szCs w:val="32"/>
          <w:lang w:eastAsia="zh-CN"/>
        </w:rPr>
        <w:t>：贡素馨、米建欣、赵利强、崔潇文、张仁和</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评价工作小组人员签字：</w:t>
      </w:r>
    </w:p>
    <w:p>
      <w:pPr>
        <w:numPr>
          <w:numId w:val="0"/>
        </w:numPr>
        <w:adjustRightInd w:val="0"/>
        <w:snapToGrid w:val="0"/>
        <w:spacing w:line="360" w:lineRule="auto"/>
        <w:rPr>
          <w:rFonts w:hint="eastAsia" w:ascii="仿宋_GB2312" w:eastAsia="仿宋_GB2312"/>
          <w:sz w:val="32"/>
          <w:szCs w:val="32"/>
        </w:rPr>
      </w:pPr>
    </w:p>
    <w:p>
      <w:pPr>
        <w:rPr>
          <w:rFonts w:ascii="仿宋_GB2312"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附件：项目支出绩效评价共性指标体系框架</w:t>
      </w:r>
    </w:p>
    <w:p>
      <w:pPr>
        <w:adjustRightInd w:val="0"/>
        <w:spacing w:line="360" w:lineRule="auto"/>
        <w:ind w:firstLine="640" w:firstLineChars="200"/>
        <w:rPr>
          <w:rFonts w:ascii="仿宋_GB2312" w:hAnsi="宋体" w:eastAsia="仿宋_GB2312"/>
          <w:sz w:val="32"/>
          <w:szCs w:val="32"/>
        </w:rPr>
      </w:pPr>
    </w:p>
    <w:p>
      <w:pPr>
        <w:adjustRightInd w:val="0"/>
        <w:spacing w:line="360" w:lineRule="auto"/>
        <w:rPr>
          <w:rFonts w:ascii="仿宋_GB2312" w:hAnsi="宋体" w:eastAsia="仿宋_GB2312"/>
          <w:sz w:val="32"/>
          <w:szCs w:val="32"/>
        </w:rPr>
      </w:pPr>
      <w:r>
        <w:rPr>
          <w:rFonts w:hint="eastAsia" w:ascii="黑体" w:hAnsi="黑体" w:eastAsia="黑体" w:cs="黑体"/>
          <w:sz w:val="32"/>
          <w:szCs w:val="32"/>
        </w:rPr>
        <w:t>附件</w:t>
      </w:r>
    </w:p>
    <w:p>
      <w:pPr>
        <w:adjustRightInd w:val="0"/>
        <w:spacing w:line="360" w:lineRule="auto"/>
        <w:rPr>
          <w:rFonts w:ascii="仿宋_GB2312" w:hAnsi="宋体" w:eastAsia="仿宋_GB2312"/>
          <w:sz w:val="32"/>
          <w:szCs w:val="32"/>
        </w:rPr>
      </w:pPr>
    </w:p>
    <w:p>
      <w:pPr>
        <w:adjustRightInd w:val="0"/>
        <w:spacing w:line="360" w:lineRule="auto"/>
        <w:ind w:firstLine="643" w:firstLineChars="200"/>
        <w:rPr>
          <w:rFonts w:ascii="宋体"/>
          <w:b/>
          <w:color w:val="000000"/>
          <w:sz w:val="32"/>
          <w:shd w:val="clear" w:color="auto" w:fill="FFFFFF"/>
        </w:rPr>
      </w:pPr>
      <w:r>
        <w:rPr>
          <w:rFonts w:ascii="宋体" w:hAnsi="宋体"/>
          <w:b/>
          <w:color w:val="000000"/>
          <w:sz w:val="32"/>
          <w:shd w:val="clear" w:color="auto" w:fill="FFFFFF"/>
        </w:rPr>
        <w:t xml:space="preserve">      </w:t>
      </w:r>
      <w:r>
        <w:rPr>
          <w:rFonts w:hint="eastAsia" w:ascii="宋体" w:hAnsi="宋体"/>
          <w:b/>
          <w:color w:val="000000"/>
          <w:sz w:val="32"/>
          <w:shd w:val="clear" w:color="auto" w:fill="FFFFFF"/>
        </w:rPr>
        <w:t>项目支出绩效评价共性指标体系框架</w:t>
      </w:r>
    </w:p>
    <w:tbl>
      <w:tblPr>
        <w:tblStyle w:val="6"/>
        <w:tblW w:w="8646" w:type="dxa"/>
        <w:tblInd w:w="0" w:type="dxa"/>
        <w:tblLayout w:type="fixed"/>
        <w:tblCellMar>
          <w:top w:w="0" w:type="dxa"/>
          <w:left w:w="108" w:type="dxa"/>
          <w:bottom w:w="0" w:type="dxa"/>
          <w:right w:w="108" w:type="dxa"/>
        </w:tblCellMar>
      </w:tblPr>
      <w:tblGrid>
        <w:gridCol w:w="742"/>
        <w:gridCol w:w="778"/>
        <w:gridCol w:w="818"/>
        <w:gridCol w:w="2414"/>
        <w:gridCol w:w="3894"/>
      </w:tblGrid>
      <w:tr>
        <w:tblPrEx>
          <w:tblLayout w:type="fixed"/>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hint="eastAsia" w:ascii="楷体_GB2312" w:hAnsi="楷体_GB2312" w:eastAsia="楷体_GB2312"/>
                <w:b/>
                <w:color w:val="000000"/>
                <w:sz w:val="24"/>
                <w:szCs w:val="28"/>
                <w:shd w:val="clear" w:color="auto" w:fill="FFFFFF"/>
              </w:rPr>
              <w:t>一级</w:t>
            </w:r>
            <w:r>
              <w:rPr>
                <w:rFonts w:ascii="楷体_GB2312" w:hAnsi="楷体_GB2312" w:eastAsia="楷体_GB2312"/>
                <w:b/>
                <w:color w:val="000000"/>
                <w:sz w:val="24"/>
                <w:szCs w:val="28"/>
                <w:shd w:val="clear" w:color="auto" w:fill="FFFFFF"/>
              </w:rPr>
              <w:br w:type="textWrapping"/>
            </w:r>
            <w:r>
              <w:rPr>
                <w:rFonts w:hint="eastAsia" w:ascii="楷体_GB2312" w:hAnsi="楷体_GB2312" w:eastAsia="楷体_GB2312"/>
                <w:b/>
                <w:color w:val="000000"/>
                <w:sz w:val="24"/>
                <w:szCs w:val="28"/>
                <w:shd w:val="clear" w:color="auto" w:fill="FFFFFF"/>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hint="eastAsia" w:ascii="楷体_GB2312" w:hAnsi="楷体_GB2312" w:eastAsia="楷体_GB2312"/>
                <w:b/>
                <w:color w:val="000000"/>
                <w:sz w:val="24"/>
                <w:szCs w:val="28"/>
                <w:shd w:val="clear" w:color="auto" w:fill="FFFFFF"/>
              </w:rPr>
              <w:t>二级</w:t>
            </w:r>
            <w:r>
              <w:rPr>
                <w:rFonts w:ascii="楷体_GB2312" w:hAnsi="楷体_GB2312" w:eastAsia="楷体_GB2312"/>
                <w:b/>
                <w:color w:val="000000"/>
                <w:sz w:val="24"/>
                <w:szCs w:val="28"/>
                <w:shd w:val="clear" w:color="auto" w:fill="FFFFFF"/>
              </w:rPr>
              <w:br w:type="textWrapping"/>
            </w:r>
            <w:r>
              <w:rPr>
                <w:rFonts w:hint="eastAsia" w:ascii="楷体_GB2312" w:hAnsi="楷体_GB2312" w:eastAsia="楷体_GB2312"/>
                <w:b/>
                <w:color w:val="000000"/>
                <w:sz w:val="24"/>
                <w:szCs w:val="28"/>
                <w:shd w:val="clear" w:color="auto" w:fill="FFFFFF"/>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hint="eastAsia" w:ascii="楷体_GB2312" w:hAnsi="楷体_GB2312" w:eastAsia="楷体_GB2312"/>
                <w:b/>
                <w:color w:val="000000"/>
                <w:sz w:val="24"/>
                <w:szCs w:val="28"/>
                <w:shd w:val="clear" w:color="auto" w:fill="FFFFFF"/>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hint="eastAsia" w:ascii="楷体_GB2312" w:hAnsi="楷体_GB2312" w:eastAsia="楷体_GB2312"/>
                <w:b/>
                <w:color w:val="000000"/>
                <w:sz w:val="24"/>
                <w:szCs w:val="28"/>
                <w:shd w:val="clear" w:color="auto" w:fill="FFFFFF"/>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hint="eastAsia" w:ascii="楷体_GB2312" w:hAnsi="楷体_GB2312" w:eastAsia="楷体_GB2312"/>
                <w:b/>
                <w:color w:val="000000"/>
                <w:sz w:val="24"/>
                <w:szCs w:val="28"/>
                <w:shd w:val="clear" w:color="auto" w:fill="FFFFFF"/>
              </w:rPr>
              <w:t>指标说明</w:t>
            </w:r>
          </w:p>
        </w:tc>
      </w:tr>
      <w:tr>
        <w:tblPrEx>
          <w:tblLayout w:type="fixed"/>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投</w:t>
            </w:r>
            <w:r>
              <w:rPr>
                <w:rFonts w:ascii="楷体_GB2312" w:hAnsi="楷体_GB2312" w:eastAsia="楷体_GB2312"/>
                <w:color w:val="000000"/>
                <w:sz w:val="22"/>
                <w:shd w:val="clear" w:color="auto" w:fill="FFFFFF"/>
              </w:rPr>
              <w:t xml:space="preserve">   </w:t>
            </w:r>
            <w:r>
              <w:rPr>
                <w:rFonts w:hint="eastAsia" w:ascii="楷体_GB2312" w:hAnsi="楷体_GB2312" w:eastAsia="楷体_GB2312"/>
                <w:color w:val="000000"/>
                <w:sz w:val="22"/>
                <w:shd w:val="clear" w:color="auto" w:fill="FFFFFF"/>
              </w:rPr>
              <w:t>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①项目是否按照规定的程序申请设立；</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②所提交的文件、材料是否符合相关要求；</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③事前是否已经过必要的可行性研究、专家论证、风险评估、集体决策等。</w:t>
            </w:r>
          </w:p>
        </w:tc>
      </w:tr>
      <w:tr>
        <w:tblPrEx>
          <w:tblLayout w:type="fixed"/>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①是否符合国家相关法律法规、国民经济发展规划和党委政府决策；</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②是否与项目实施单位或委托单位职责密切相关；</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③项目是否为促进事业发展所必需；</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④项目预期产出效益和效果是否符合正常的业绩水平。</w:t>
            </w:r>
          </w:p>
        </w:tc>
      </w:tr>
      <w:tr>
        <w:tblPrEx>
          <w:tblLayout w:type="fixed"/>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①是否将项目绩效目标细化分解为具体的绩效指标；</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②是否通过清晰、可衡量的指标值予以体现；</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③是否与项目年度任务数或计划数相对应；</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④是否与预算确定的项目投资额或资金量相匹配。</w:t>
            </w:r>
          </w:p>
        </w:tc>
      </w:tr>
      <w:tr>
        <w:tblPrEx>
          <w:tblLayout w:type="fixed"/>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资金</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资金到位率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（实际到位资金</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计划投入资金）×</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实际到位资金：一定时期（本年度或项目期）内实际落实到具体项目的资金。</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计划投入资金：一定时期（本年度或项目期）内计划投入到具体项目的资金。</w:t>
            </w:r>
          </w:p>
        </w:tc>
      </w:tr>
      <w:tr>
        <w:tblPrEx>
          <w:tblLayout w:type="fixed"/>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到位及时率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（及时到位资金</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应到位资金）×</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及时到位资金：截至规定时点实际落实到具体项目的资金。</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应到位资金：按照合同或项目进度要求截至规定时点应落实到具体项目的资金。</w:t>
            </w:r>
          </w:p>
        </w:tc>
      </w:tr>
      <w:tr>
        <w:tblPrEx>
          <w:tblLayout w:type="fixed"/>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过</w:t>
            </w:r>
            <w:r>
              <w:rPr>
                <w:rFonts w:ascii="楷体_GB2312" w:hAnsi="楷体_GB2312" w:eastAsia="楷体_GB2312"/>
                <w:color w:val="000000"/>
                <w:sz w:val="22"/>
                <w:shd w:val="clear" w:color="auto" w:fill="FFFFFF"/>
              </w:rPr>
              <w:t xml:space="preserve">   </w:t>
            </w:r>
            <w:r>
              <w:rPr>
                <w:rFonts w:hint="eastAsia" w:ascii="楷体_GB2312" w:hAnsi="楷体_GB2312" w:eastAsia="楷体_GB2312"/>
                <w:color w:val="000000"/>
                <w:sz w:val="22"/>
                <w:shd w:val="clear" w:color="auto" w:fill="FFFFFF"/>
              </w:rPr>
              <w:t>程</w:t>
            </w:r>
          </w:p>
          <w:p>
            <w:pPr>
              <w:shd w:val="solid" w:color="FFFFFF" w:fill="auto"/>
              <w:autoSpaceDN w:val="0"/>
              <w:jc w:val="center"/>
              <w:textAlignment w:val="center"/>
              <w:rPr>
                <w:rFonts w:ascii="楷体_GB2312" w:hAnsi="楷体_GB2312" w:eastAsia="楷体_GB2312"/>
                <w:color w:val="000000"/>
                <w:sz w:val="2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业务</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①是否已制定或具有相应的业务管理制度；</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②业务管理制度是否合法、合规、完整。</w:t>
            </w:r>
          </w:p>
        </w:tc>
      </w:tr>
      <w:tr>
        <w:tblPrEx>
          <w:tblLayout w:type="fixed"/>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①是否遵守相关法律法规和业务管理规定；</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②项目调整及支出调整手续是否完备；</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③项目合同书、验收报告、技术鉴定等资料是否齐全并及时归档；</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④项目实施的人员条件、场地设备、信息支撑等是否落实到位。</w:t>
            </w:r>
          </w:p>
        </w:tc>
      </w:tr>
      <w:tr>
        <w:tblPrEx>
          <w:tblLayout w:type="fixed"/>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项目实施单位是否为达到项目质量要求而采取了必需的措施</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①是否已制定或具有相应的项目质量要求或标准；</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②是否采取了相应的项目质量检查、验收等必需的控制措施或手段。</w:t>
            </w:r>
          </w:p>
        </w:tc>
      </w:tr>
      <w:tr>
        <w:tblPrEx>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财务</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①是否已制定或具有相应的项目资金管理办法；</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②项目资金管理办法是否符合相关财务会计制度的规定。</w:t>
            </w:r>
          </w:p>
        </w:tc>
      </w:tr>
      <w:tr>
        <w:tblPrEx>
          <w:tblLayout w:type="fixed"/>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①是否符合国家财经法规和财务管理制度以及有关专项资金管理办法的规定；</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②资金的拨付是否有完整的审批程序和手续；</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③项目的重大开支是否经过评估认证；</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④是否符合项目预算批复或合同规定的用途；</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⑤是否存在截留、挤占、挪用、虚列支出等情况。</w:t>
            </w:r>
          </w:p>
        </w:tc>
      </w:tr>
      <w:tr>
        <w:tblPrEx>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①是否已制定或具有相应的监控机制；</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②是否采取了相应的财务检查等必要的监控措施或手段。</w:t>
            </w:r>
          </w:p>
        </w:tc>
      </w:tr>
      <w:tr>
        <w:tblPrEx>
          <w:tblLayout w:type="fixed"/>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产</w:t>
            </w:r>
            <w:r>
              <w:rPr>
                <w:rFonts w:ascii="楷体_GB2312" w:hAnsi="楷体_GB2312" w:eastAsia="楷体_GB2312"/>
                <w:color w:val="000000"/>
                <w:sz w:val="22"/>
                <w:shd w:val="clear" w:color="auto" w:fill="FFFFFF"/>
              </w:rPr>
              <w:t xml:space="preserve">   </w:t>
            </w:r>
            <w:r>
              <w:rPr>
                <w:rFonts w:hint="eastAsia" w:ascii="楷体_GB2312" w:hAnsi="楷体_GB2312" w:eastAsia="楷体_GB2312"/>
                <w:color w:val="000000"/>
                <w:sz w:val="22"/>
                <w:shd w:val="clear" w:color="auto" w:fill="FFFFFF"/>
              </w:rPr>
              <w:t>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实际完成率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（实际产出数</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计划产出数）×</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实际产出数：一定时期（本年度或项目期）内项目实际产出的产品或提供的服务数量。</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计划产出数：项目绩效目标确定的在一定时期（本年度或项目期）内计划产出的产品或提供的服务数量。</w:t>
            </w:r>
          </w:p>
        </w:tc>
      </w:tr>
      <w:tr>
        <w:tblPrEx>
          <w:tblLayout w:type="fixed"/>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完成及时率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（计划完成时间</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实际完成时间）</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计划完成时间</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实际完成时间：项目实施单位完成该项目实际所耗用的时间。</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计划完成时间：按照项目实施计划或相关规定完成该项目所需的时间。</w:t>
            </w:r>
          </w:p>
        </w:tc>
      </w:tr>
      <w:tr>
        <w:tblPrEx>
          <w:tblLayout w:type="fixed"/>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质量达标率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（质量达标产出数</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实际产出数）×</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质量达标产出数：一定时期（本年度或项目期）内实际达到既定质量标准的产品或服务数量。</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既定质量标准是指项目实施单位设立绩效目标时依据计划标准、行业标准、历史标准或其他标准而设定的绩效指标值。</w:t>
            </w:r>
          </w:p>
        </w:tc>
      </w:tr>
      <w:tr>
        <w:tblPrEx>
          <w:tblLayout w:type="fixed"/>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成本节约率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（计划成本</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实际成本）</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计划成本</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实际成本：项目实施单位如期、保质、保量完成既定工作目标实际所耗费的支出。</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计划成本：项目实施单位为完成工作目标计划安排的支出，一般以项目预算为参考。</w:t>
            </w:r>
          </w:p>
        </w:tc>
      </w:tr>
      <w:tr>
        <w:tblPrEx>
          <w:tblLayout w:type="fixed"/>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效</w:t>
            </w:r>
            <w:r>
              <w:rPr>
                <w:rFonts w:ascii="楷体_GB2312" w:hAnsi="楷体_GB2312" w:eastAsia="楷体_GB2312"/>
                <w:color w:val="000000"/>
                <w:sz w:val="22"/>
                <w:shd w:val="clear" w:color="auto" w:fill="FFFFFF"/>
              </w:rPr>
              <w:t xml:space="preserve">   </w:t>
            </w:r>
            <w:r>
              <w:rPr>
                <w:rFonts w:hint="eastAsia" w:ascii="楷体_GB2312" w:hAnsi="楷体_GB2312" w:eastAsia="楷体_GB2312"/>
                <w:color w:val="000000"/>
                <w:sz w:val="22"/>
                <w:shd w:val="clear" w:color="auto" w:fill="FFFFFF"/>
              </w:rPr>
              <w:t>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此四项指标为设置项目支出绩效评价指标时必须考虑的共性要素，可根据项目实际并结合绩效目标设立情况有选择的进行设置，并将其细化为相应的个性化指标。</w:t>
            </w:r>
          </w:p>
        </w:tc>
      </w:tr>
      <w:tr>
        <w:tblPrEx>
          <w:tblLayout w:type="fixed"/>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Layout w:type="fixed"/>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Layout w:type="fixed"/>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Layout w:type="fixed"/>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社会公众或服务对象是指因该项目实施而受到影响的部门（单位）、群体或个人。一般采取社会调查的方式。</w:t>
            </w:r>
          </w:p>
        </w:tc>
      </w:tr>
    </w:tbl>
    <w:p>
      <w:pPr>
        <w:adjustRightInd w:val="0"/>
        <w:spacing w:line="360" w:lineRule="auto"/>
        <w:ind w:firstLine="640" w:firstLineChars="200"/>
        <w:rPr>
          <w:rFonts w:ascii="仿宋_GB2312" w:hAnsi="宋体" w:eastAsia="仿宋_GB2312"/>
          <w:sz w:val="32"/>
          <w:szCs w:val="32"/>
        </w:rPr>
      </w:pPr>
    </w:p>
    <w:p>
      <w:pPr>
        <w:adjustRightInd w:val="0"/>
        <w:spacing w:line="360" w:lineRule="auto"/>
        <w:rPr>
          <w:rFonts w:ascii="仿宋_GB2312" w:hAnsi="宋体" w:eastAsia="仿宋_GB2312"/>
          <w:sz w:val="32"/>
          <w:szCs w:val="32"/>
        </w:rPr>
      </w:pPr>
    </w:p>
    <w:p/>
    <w:sectPr>
      <w:headerReference r:id="rId5" w:type="first"/>
      <w:footerReference r:id="rId8" w:type="first"/>
      <w:headerReference r:id="rId3" w:type="default"/>
      <w:footerReference r:id="rId6" w:type="default"/>
      <w:headerReference r:id="rId4" w:type="even"/>
      <w:footerReference r:id="rId7"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华文楷体">
    <w:altName w:val="宋体"/>
    <w:panose1 w:val="00000000000000000000"/>
    <w:charset w:val="86"/>
    <w:family w:val="auto"/>
    <w:pitch w:val="default"/>
    <w:sig w:usb0="00000000" w:usb1="00000000" w:usb2="00000010" w:usb3="00000000" w:csb0="0004009F" w:csb1="00000000"/>
  </w:font>
  <w:font w:name="仿宋_GB2312">
    <w:altName w:val="仿宋"/>
    <w:panose1 w:val="0201060903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Arial">
    <w:panose1 w:val="020B0604020202020204"/>
    <w:charset w:val="00"/>
    <w:family w:val="swiss"/>
    <w:pitch w:val="default"/>
    <w:sig w:usb0="E0002AFF" w:usb1="C0007843" w:usb2="00000009" w:usb3="00000000" w:csb0="400001FF" w:csb1="FFFF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5"/>
      </w:rPr>
    </w:pPr>
    <w:r>
      <w:rPr>
        <w:rStyle w:val="5"/>
      </w:rPr>
      <w:fldChar w:fldCharType="begin"/>
    </w:r>
    <w:r>
      <w:rPr>
        <w:rStyle w:val="5"/>
      </w:rPr>
      <w:instrText xml:space="preserve">PAGE  </w:instrText>
    </w:r>
    <w:r>
      <w:rPr>
        <w:rStyle w:val="5"/>
      </w:rPr>
      <w:fldChar w:fldCharType="separate"/>
    </w:r>
    <w:r>
      <w:rPr>
        <w:rStyle w:val="5"/>
      </w:rPr>
      <w:t>4</w:t>
    </w:r>
    <w:r>
      <w:rPr>
        <w:rStyle w:val="5"/>
      </w:rP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top w:val="none" w:color="auto" w:sz="0" w:space="0"/>
        <w:left w:val="none" w:color="auto" w:sz="0" w:space="0"/>
        <w:bottom w:val="none" w:color="auto" w:sz="0" w:space="0"/>
        <w:right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top w:val="none" w:color="auto" w:sz="0" w:space="0"/>
        <w:left w:val="none" w:color="auto" w:sz="0" w:space="0"/>
        <w:bottom w:val="none" w:color="auto" w:sz="0" w:space="0"/>
        <w:right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top w:val="none" w:color="auto" w:sz="0" w:space="0"/>
        <w:left w:val="none" w:color="auto" w:sz="0" w:space="0"/>
        <w:bottom w:val="none" w:color="auto" w:sz="0" w:space="0"/>
        <w:right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2E0E79"/>
    <w:rsid w:val="00452B75"/>
    <w:rsid w:val="00595694"/>
    <w:rsid w:val="005C7377"/>
    <w:rsid w:val="00622922"/>
    <w:rsid w:val="00631395"/>
    <w:rsid w:val="00645B68"/>
    <w:rsid w:val="00653C37"/>
    <w:rsid w:val="00662FB7"/>
    <w:rsid w:val="007274CF"/>
    <w:rsid w:val="007767E6"/>
    <w:rsid w:val="00814AB5"/>
    <w:rsid w:val="008F7FA4"/>
    <w:rsid w:val="00B73A1C"/>
    <w:rsid w:val="00C7056F"/>
    <w:rsid w:val="00E16B64"/>
    <w:rsid w:val="00E96DCF"/>
    <w:rsid w:val="1A6B6966"/>
    <w:rsid w:val="2A2941B7"/>
    <w:rsid w:val="2E2F4459"/>
    <w:rsid w:val="344B45D2"/>
    <w:rsid w:val="422B04EC"/>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99"/>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7"/>
    <w:qFormat/>
    <w:uiPriority w:val="99"/>
    <w:pPr>
      <w:tabs>
        <w:tab w:val="center" w:pos="4153"/>
        <w:tab w:val="right" w:pos="8306"/>
      </w:tabs>
      <w:snapToGrid w:val="0"/>
      <w:jc w:val="left"/>
    </w:pPr>
    <w:rPr>
      <w:sz w:val="18"/>
      <w:szCs w:val="18"/>
    </w:rPr>
  </w:style>
  <w:style w:type="paragraph" w:styleId="3">
    <w:name w:val="header"/>
    <w:basedOn w:val="1"/>
    <w:link w:val="8"/>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5">
    <w:name w:val="page number"/>
    <w:basedOn w:val="4"/>
    <w:qFormat/>
    <w:uiPriority w:val="99"/>
    <w:rPr>
      <w:rFonts w:cs="Times New Roman"/>
    </w:rPr>
  </w:style>
  <w:style w:type="character" w:customStyle="1" w:styleId="7">
    <w:name w:val="Footer Char"/>
    <w:basedOn w:val="4"/>
    <w:link w:val="2"/>
    <w:semiHidden/>
    <w:qFormat/>
    <w:locked/>
    <w:uiPriority w:val="99"/>
    <w:rPr>
      <w:rFonts w:cs="Times New Roman"/>
      <w:sz w:val="18"/>
      <w:szCs w:val="18"/>
    </w:rPr>
  </w:style>
  <w:style w:type="character" w:customStyle="1" w:styleId="8">
    <w:name w:val="Header Char"/>
    <w:basedOn w:val="4"/>
    <w:link w:val="3"/>
    <w:semiHidden/>
    <w:qFormat/>
    <w:locked/>
    <w:uiPriority w:val="99"/>
    <w:rPr>
      <w:rFonts w:cs="Times New Roman"/>
      <w:sz w:val="18"/>
      <w:szCs w:val="18"/>
    </w:rPr>
  </w:style>
  <w:style w:type="paragraph" w:customStyle="1" w:styleId="9">
    <w:name w:val="默认段落字体 Para Char Char Char Char Char Char Char"/>
    <w:basedOn w:val="1"/>
    <w:qFormat/>
    <w:uiPriority w:val="99"/>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8</Pages>
  <Words>586</Words>
  <Characters>3344</Characters>
  <Lines>0</Lines>
  <Paragraphs>0</Paragraphs>
  <TotalTime>0</TotalTime>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2020-01-07T03:05:10Z</cp:lastPrinted>
  <dcterms:modified xsi:type="dcterms:W3CDTF">2020-01-07T03:05:19Z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