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sz w:val="36"/>
          <w:szCs w:val="36"/>
        </w:rPr>
      </w:pPr>
      <w:r>
        <w:rPr>
          <w:rFonts w:hint="eastAsia" w:ascii="宋体" w:hAnsi="宋体" w:cs="黑体"/>
          <w:b/>
          <w:bCs/>
          <w:sz w:val="36"/>
          <w:szCs w:val="36"/>
        </w:rPr>
        <w:t>南二环西延亮化</w:t>
      </w:r>
      <w:r>
        <w:rPr>
          <w:rFonts w:hint="eastAsia" w:ascii="宋体" w:hAnsi="宋体"/>
          <w:b/>
          <w:bCs/>
          <w:sz w:val="36"/>
          <w:szCs w:val="36"/>
        </w:rPr>
        <w:t>项目绩效评价报告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w:t>
      </w:r>
      <w:r>
        <w:rPr>
          <w:rFonts w:ascii="仿宋_GB2312" w:eastAsia="仿宋_GB2312"/>
          <w:sz w:val="32"/>
          <w:szCs w:val="32"/>
        </w:rPr>
        <w:t>[2019]65</w:t>
      </w:r>
      <w:r>
        <w:rPr>
          <w:rFonts w:hint="eastAsia" w:ascii="仿宋_GB2312" w:eastAsia="仿宋_GB2312"/>
          <w:sz w:val="32"/>
          <w:szCs w:val="32"/>
        </w:rPr>
        <w:t>号），遵循“科学性、规范性、客观性和公正性”的原则，对南二环西延亮化项目实施了绩效评价，形成本评价报告。</w:t>
      </w:r>
    </w:p>
    <w:p>
      <w:pPr>
        <w:adjustRightInd w:val="0"/>
        <w:snapToGrid w:val="0"/>
        <w:spacing w:line="360" w:lineRule="auto"/>
        <w:rPr>
          <w:rFonts w:ascii="黑体" w:eastAsia="黑体"/>
          <w:b/>
          <w:bCs/>
          <w:sz w:val="32"/>
          <w:szCs w:val="36"/>
        </w:rPr>
      </w:pPr>
      <w:r>
        <w:rPr>
          <w:rFonts w:ascii="黑体" w:eastAsia="黑体"/>
          <w:sz w:val="32"/>
          <w:szCs w:val="32"/>
        </w:rPr>
        <w:t xml:space="preserve">    </w:t>
      </w: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outlineLvl w:val="9"/>
        <w:rPr>
          <w:rFonts w:hint="eastAsia" w:ascii="仿宋_GB2312" w:eastAsia="仿宋_GB2312"/>
          <w:sz w:val="32"/>
          <w:szCs w:val="32"/>
        </w:rPr>
      </w:pPr>
      <w:r>
        <w:rPr>
          <w:rFonts w:ascii="仿宋_GB2312" w:eastAsia="仿宋_GB2312"/>
          <w:sz w:val="32"/>
          <w:szCs w:val="32"/>
        </w:rPr>
        <w:t xml:space="preserve"> 1.</w:t>
      </w:r>
      <w:r>
        <w:rPr>
          <w:rFonts w:hint="eastAsia" w:ascii="仿宋_GB2312" w:eastAsia="仿宋_GB2312"/>
          <w:sz w:val="32"/>
          <w:szCs w:val="32"/>
        </w:rPr>
        <w:t>项目实施单位及项目立项等基本情况；</w:t>
      </w:r>
      <w:r>
        <w:rPr>
          <w:rFonts w:hint="eastAsia" w:ascii="仿宋" w:hAnsi="仿宋" w:eastAsia="仿宋" w:cs="仿宋"/>
          <w:sz w:val="32"/>
          <w:szCs w:val="32"/>
        </w:rPr>
        <w:t>实施单位是石家庄市鹿泉区公用事业管理中心，项目立项已列入2019年鹿泉</w:t>
      </w:r>
      <w:r>
        <w:rPr>
          <w:rFonts w:hint="eastAsia" w:ascii="仿宋_GB2312" w:eastAsia="仿宋_GB2312"/>
          <w:sz w:val="32"/>
          <w:szCs w:val="32"/>
        </w:rPr>
        <w:t>区政府投资建设项目计划。</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outlineLvl w:val="9"/>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sz w:val="32"/>
          <w:szCs w:val="32"/>
        </w:rPr>
        <w:t>①南二环西延（凤东街西至山前大</w:t>
      </w:r>
      <w:r>
        <w:rPr>
          <w:rFonts w:hint="eastAsia" w:ascii="仿宋_GB2312" w:eastAsia="仿宋_GB2312"/>
          <w:color w:val="000000" w:themeColor="text1"/>
          <w:sz w:val="32"/>
          <w:szCs w:val="32"/>
          <w14:textFill>
            <w14:solidFill>
              <w14:schemeClr w14:val="tx1"/>
            </w14:solidFill>
          </w14:textFill>
        </w:rPr>
        <w:t>道）、槐安西路（京赞线</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新园街）的灯杆安装灯笼，绿化带洗墙灯。②槐安路（康馨街至龙泉农场）、京赞线（翠屏山路</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御园路）、御园路（迎宾馆路</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京赞线）、国宾路（御园路</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太行山迎宾馆）、翠屏山路（西三环</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京赞线）等</w:t>
      </w:r>
      <w:r>
        <w:rPr>
          <w:rFonts w:ascii="仿宋_GB2312" w:eastAsia="仿宋_GB2312"/>
          <w:color w:val="000000" w:themeColor="text1"/>
          <w:sz w:val="32"/>
          <w:szCs w:val="32"/>
          <w14:textFill>
            <w14:solidFill>
              <w14:schemeClr w14:val="tx1"/>
            </w14:solidFill>
          </w14:textFill>
        </w:rPr>
        <w:t>5</w:t>
      </w:r>
      <w:r>
        <w:rPr>
          <w:rFonts w:hint="eastAsia" w:ascii="仿宋_GB2312" w:eastAsia="仿宋_GB2312"/>
          <w:color w:val="000000" w:themeColor="text1"/>
          <w:sz w:val="32"/>
          <w:szCs w:val="32"/>
          <w14:textFill>
            <w14:solidFill>
              <w14:schemeClr w14:val="tx1"/>
            </w14:solidFill>
          </w14:textFill>
        </w:rPr>
        <w:t>条道路进行绿植灯饰装饰。</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rPr>
          <w:rFonts w:hint="eastAsia" w:ascii="仿宋_GB2312" w:eastAsia="仿宋_GB2312"/>
          <w:sz w:val="32"/>
          <w:szCs w:val="32"/>
        </w:rPr>
      </w:pPr>
      <w:r>
        <w:rPr>
          <w:rFonts w:hint="eastAsia" w:ascii="仿宋_GB2312" w:eastAsia="仿宋_GB2312"/>
          <w:sz w:val="32"/>
          <w:szCs w:val="32"/>
        </w:rPr>
        <w:t>项目资金投入情况</w:t>
      </w:r>
    </w:p>
    <w:p>
      <w:pPr>
        <w:keepNext w:val="0"/>
        <w:keepLines w:val="0"/>
        <w:pageBreakBefore w:val="0"/>
        <w:widowControl w:val="0"/>
        <w:numPr>
          <w:numId w:val="0"/>
        </w:numPr>
        <w:kinsoku/>
        <w:wordWrap/>
        <w:overflowPunct/>
        <w:topLinePunct w:val="0"/>
        <w:autoSpaceDE/>
        <w:autoSpaceDN/>
        <w:bidi w:val="0"/>
        <w:adjustRightInd w:val="0"/>
        <w:snapToGrid w:val="0"/>
        <w:spacing w:line="578" w:lineRule="exact"/>
        <w:ind w:right="0" w:righ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该项目2019年度财政预算安排资金500万元。</w:t>
      </w:r>
    </w:p>
    <w:p>
      <w:pPr>
        <w:keepNext w:val="0"/>
        <w:keepLines w:val="0"/>
        <w:pageBreakBefore w:val="0"/>
        <w:widowControl w:val="0"/>
        <w:numPr>
          <w:numId w:val="0"/>
        </w:numPr>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firstLine="640" w:firstLineChars="200"/>
        <w:jc w:val="both"/>
        <w:textAlignment w:val="auto"/>
        <w:rPr>
          <w:rFonts w:ascii="仿宋_GB2312" w:eastAsia="仿宋_GB2312"/>
          <w:sz w:val="32"/>
          <w:szCs w:val="32"/>
        </w:rPr>
      </w:pPr>
      <w:r>
        <w:rPr>
          <w:rFonts w:hint="eastAsia" w:ascii="仿宋_GB2312" w:eastAsia="仿宋_GB2312"/>
          <w:sz w:val="32"/>
          <w:szCs w:val="32"/>
        </w:rPr>
        <w:t>项目预期绩效总目标，阶段性（当年）的绩效目标和指标；</w:t>
      </w:r>
    </w:p>
    <w:p>
      <w:pPr>
        <w:keepNext w:val="0"/>
        <w:keepLines w:val="0"/>
        <w:pageBreakBefore w:val="0"/>
        <w:widowControl w:val="0"/>
        <w:kinsoku/>
        <w:wordWrap/>
        <w:overflowPunct/>
        <w:topLinePunct w:val="0"/>
        <w:autoSpaceDE/>
        <w:autoSpaceDN/>
        <w:bidi w:val="0"/>
        <w:adjustRightInd w:val="0"/>
        <w:snapToGrid w:val="0"/>
        <w:spacing w:line="578" w:lineRule="exact"/>
        <w:ind w:right="0" w:rightChars="0"/>
        <w:jc w:val="both"/>
        <w:textAlignment w:val="auto"/>
        <w:rPr>
          <w:rFonts w:ascii="仿宋_GB2312" w:eastAsia="仿宋_GB2312"/>
          <w:sz w:val="32"/>
          <w:szCs w:val="32"/>
        </w:rPr>
      </w:pPr>
      <w:r>
        <w:rPr>
          <w:rFonts w:hint="eastAsia" w:ascii="仿宋_GB2312" w:eastAsia="仿宋_GB2312"/>
          <w:color w:val="000000" w:themeColor="text1"/>
          <w:sz w:val="32"/>
          <w:szCs w:val="32"/>
          <w14:textFill>
            <w14:solidFill>
              <w14:schemeClr w14:val="tx1"/>
            </w14:solidFill>
          </w14:textFill>
        </w:rPr>
        <w:t>计划于</w:t>
      </w:r>
      <w:r>
        <w:rPr>
          <w:rFonts w:ascii="仿宋_GB2312" w:eastAsia="仿宋_GB2312"/>
          <w:color w:val="000000" w:themeColor="text1"/>
          <w:sz w:val="32"/>
          <w:szCs w:val="32"/>
          <w14:textFill>
            <w14:solidFill>
              <w14:schemeClr w14:val="tx1"/>
            </w14:solidFill>
          </w14:textFill>
        </w:rPr>
        <w:t>2020</w:t>
      </w:r>
      <w:r>
        <w:rPr>
          <w:rFonts w:hint="eastAsia" w:ascii="仿宋_GB2312" w:eastAsia="仿宋_GB2312"/>
          <w:color w:val="000000" w:themeColor="text1"/>
          <w:sz w:val="32"/>
          <w:szCs w:val="32"/>
          <w14:textFill>
            <w14:solidFill>
              <w14:schemeClr w14:val="tx1"/>
            </w14:solidFill>
          </w14:textFill>
        </w:rPr>
        <w:t>年</w:t>
      </w:r>
      <w:r>
        <w:rPr>
          <w:rFonts w:ascii="仿宋_GB2312" w:eastAsia="仿宋_GB2312"/>
          <w:color w:val="000000" w:themeColor="text1"/>
          <w:sz w:val="32"/>
          <w:szCs w:val="32"/>
          <w14:textFill>
            <w14:solidFill>
              <w14:schemeClr w14:val="tx1"/>
            </w14:solidFill>
          </w14:textFill>
        </w:rPr>
        <w:t>1</w:t>
      </w:r>
      <w:r>
        <w:rPr>
          <w:rFonts w:hint="eastAsia" w:ascii="仿宋_GB2312" w:eastAsia="仿宋_GB2312"/>
          <w:color w:val="000000" w:themeColor="text1"/>
          <w:sz w:val="32"/>
          <w:szCs w:val="32"/>
          <w14:textFill>
            <w14:solidFill>
              <w14:schemeClr w14:val="tx1"/>
            </w14:solidFill>
          </w14:textFill>
        </w:rPr>
        <w:t>月</w:t>
      </w:r>
      <w:r>
        <w:rPr>
          <w:rFonts w:ascii="仿宋_GB2312" w:eastAsia="仿宋_GB2312"/>
          <w:color w:val="000000" w:themeColor="text1"/>
          <w:sz w:val="32"/>
          <w:szCs w:val="32"/>
          <w14:textFill>
            <w14:solidFill>
              <w14:schemeClr w14:val="tx1"/>
            </w14:solidFill>
          </w14:textFill>
        </w:rPr>
        <w:t>8</w:t>
      </w:r>
      <w:r>
        <w:rPr>
          <w:rFonts w:hint="eastAsia" w:ascii="仿宋_GB2312" w:eastAsia="仿宋_GB2312"/>
          <w:color w:val="000000" w:themeColor="text1"/>
          <w:sz w:val="32"/>
          <w:szCs w:val="32"/>
          <w14:textFill>
            <w14:solidFill>
              <w14:schemeClr w14:val="tx1"/>
            </w14:solidFill>
          </w14:textFill>
        </w:rPr>
        <w:t>日进行招标，招标完成后，项目进行施工。</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说明项目评价资料收集、评价过程、评价工作管理组织等情况。</w:t>
      </w:r>
    </w:p>
    <w:p>
      <w:pPr>
        <w:rPr>
          <w:rFonts w:hint="eastAsia" w:ascii="楷体_GB2312" w:hAnsi="楷体_GB2312" w:eastAsia="楷体_GB2312" w:cs="楷体_GB2312"/>
          <w:sz w:val="32"/>
          <w:szCs w:val="32"/>
        </w:rPr>
      </w:pPr>
      <w:r>
        <w:rPr>
          <w:rFonts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hint="eastAsia" w:ascii="楷体_GB2312" w:hAnsi="楷体_GB2312" w:eastAsia="楷体_GB2312" w:cs="楷体_GB2312"/>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rPr>
          <w:rFonts w:ascii="仿宋_GB2312" w:eastAsia="仿宋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sz w:val="32"/>
          <w:szCs w:val="32"/>
        </w:rPr>
      </w:pPr>
      <w:r>
        <w:rPr>
          <w:rFonts w:hint="eastAsia" w:ascii="仿宋_GB2312" w:eastAsia="仿宋_GB2312"/>
          <w:sz w:val="32"/>
          <w:szCs w:val="32"/>
        </w:rPr>
        <w:t>在开展预算绩效评价工作时，针对具体绩效评价对象的特点，设计具体的绩效评价指标体系。除共性指标外，必须设置能够体现项目特点和绩效的个性指标；项目产出指标与项目效果指标设置数量在</w:t>
      </w:r>
      <w:r>
        <w:rPr>
          <w:rFonts w:ascii="仿宋_GB2312" w:eastAsia="仿宋_GB2312"/>
          <w:sz w:val="32"/>
          <w:szCs w:val="32"/>
        </w:rPr>
        <w:t>8</w:t>
      </w:r>
      <w:r>
        <w:rPr>
          <w:rFonts w:hint="eastAsia" w:ascii="仿宋_GB2312" w:eastAsia="仿宋_GB2312"/>
          <w:sz w:val="32"/>
          <w:szCs w:val="32"/>
        </w:rPr>
        <w:t>个（含）以上，分值权重占总体的</w:t>
      </w:r>
      <w:r>
        <w:rPr>
          <w:rFonts w:ascii="仿宋_GB2312" w:eastAsia="仿宋_GB2312"/>
          <w:sz w:val="32"/>
          <w:szCs w:val="32"/>
        </w:rPr>
        <w:t>65%</w:t>
      </w:r>
      <w:r>
        <w:rPr>
          <w:rFonts w:hint="eastAsia" w:ascii="仿宋_GB2312" w:eastAsia="仿宋_GB2312"/>
          <w:sz w:val="32"/>
          <w:szCs w:val="32"/>
        </w:rPr>
        <w:t>以上。</w:t>
      </w:r>
    </w:p>
    <w:p>
      <w:pPr>
        <w:rPr>
          <w:rFonts w:ascii="黑体" w:hAnsi="黑体" w:eastAsia="黑体" w:cs="黑体"/>
          <w:b/>
          <w:bCs/>
          <w:sz w:val="32"/>
          <w:szCs w:val="32"/>
        </w:rPr>
      </w:pPr>
      <w:r>
        <w:rPr>
          <w:rFonts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ascii="楷体_GB2312" w:hAnsi="楷体_GB2312" w:eastAsia="楷体_GB2312" w:cs="楷体_GB2312"/>
          <w:sz w:val="32"/>
          <w:szCs w:val="32"/>
        </w:rPr>
        <w:t xml:space="preserve">   </w:t>
      </w:r>
      <w:r>
        <w:rPr>
          <w:rFonts w:hint="eastAsia" w:ascii="楷体_GB2312" w:hAnsi="楷体_GB2312" w:eastAsia="楷体_GB2312" w:cs="楷体_GB2312"/>
          <w:sz w:val="32"/>
          <w:szCs w:val="32"/>
        </w:rPr>
        <w:t>（一）项目投入</w:t>
      </w:r>
    </w:p>
    <w:p>
      <w:pPr>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项目立项情况分析。对项目立项规范性、绩效目标合理性和绩效指标明确性等情况进行分析后，根据指标体系评分标准计算分值。</w:t>
      </w:r>
    </w:p>
    <w:p>
      <w:pPr>
        <w:ind w:firstLine="640" w:firstLineChars="200"/>
        <w:rPr>
          <w:rFonts w:hint="eastAsia"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资金落实情况分析。</w:t>
      </w:r>
    </w:p>
    <w:p>
      <w:pPr>
        <w:ind w:firstLine="640" w:firstLineChars="200"/>
        <w:rPr>
          <w:rFonts w:ascii="仿宋_GB2312" w:eastAsia="仿宋_GB2312"/>
          <w:sz w:val="32"/>
          <w:szCs w:val="32"/>
        </w:rPr>
      </w:pPr>
      <w:r>
        <w:rPr>
          <w:rFonts w:hint="eastAsia" w:ascii="仿宋_GB2312" w:eastAsia="仿宋_GB2312"/>
          <w:sz w:val="32"/>
          <w:szCs w:val="32"/>
          <w:lang w:eastAsia="zh-CN"/>
        </w:rPr>
        <w:t>该项目</w:t>
      </w:r>
      <w:r>
        <w:rPr>
          <w:rFonts w:hint="eastAsia" w:ascii="仿宋_GB2312" w:eastAsia="仿宋_GB2312"/>
          <w:sz w:val="32"/>
          <w:szCs w:val="32"/>
          <w:lang w:val="en-US" w:eastAsia="zh-CN"/>
        </w:rPr>
        <w:t>2019年度财政未拨付建设资金。</w:t>
      </w:r>
      <w:r>
        <w:rPr>
          <w:rFonts w:hint="eastAsia" w:ascii="仿宋_GB2312" w:eastAsia="仿宋_GB2312"/>
          <w:sz w:val="32"/>
          <w:szCs w:val="32"/>
        </w:rPr>
        <w:t>对资金到位率和到位及时率等情况进行分析后，根据指标体系评分标准计算分值。</w:t>
      </w:r>
    </w:p>
    <w:p>
      <w:pPr>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业务管理情况分析。对管理制度健全性、制度执行有效性和项目质量可控性等情况进行分析后，根据指标体系评分标准计算分值。</w:t>
      </w:r>
    </w:p>
    <w:p>
      <w:pPr>
        <w:ind w:firstLine="640" w:firstLineChars="200"/>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财务管理。对管理制度健全性、资金使用合规性和财务监控有效性等情况进行分析后，根据指标体系评分标准计算分值。</w:t>
      </w:r>
    </w:p>
    <w:p>
      <w:pPr>
        <w:rPr>
          <w:rFonts w:ascii="仿宋_GB2312" w:eastAsia="仿宋_GB2312"/>
          <w:b/>
          <w:bCs/>
          <w:sz w:val="32"/>
          <w:szCs w:val="32"/>
        </w:rPr>
      </w:pPr>
      <w:r>
        <w:rPr>
          <w:rFonts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ascii="仿宋_GB2312" w:eastAsia="仿宋_GB2312"/>
          <w:sz w:val="32"/>
          <w:szCs w:val="32"/>
        </w:rPr>
      </w:pPr>
      <w:r>
        <w:rPr>
          <w:rFonts w:hint="eastAsia" w:ascii="仿宋_GB2312" w:eastAsia="仿宋_GB2312"/>
          <w:sz w:val="32"/>
          <w:szCs w:val="32"/>
        </w:rPr>
        <w:t>对项目的实际完成率、完成及时率、质量达标率、成本节约率等情况进行分析后，根据指标体系评分标准计算分值。</w:t>
      </w:r>
    </w:p>
    <w:p>
      <w:pPr>
        <w:rPr>
          <w:rFonts w:ascii="楷体_GB2312" w:hAnsi="楷体_GB2312" w:eastAsia="楷体_GB2312" w:cs="楷体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对项目的经济效益、社会效益、生态效益、可持续影响和社会公众或服务对象满意度等情况进行分析后，根据指标体系评分标准计算分值。</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根据项目执行情况和项目绩效情况，给出总得分，指标体系设定满分</w:t>
      </w:r>
      <w:r>
        <w:rPr>
          <w:rFonts w:ascii="仿宋_GB2312" w:eastAsia="仿宋_GB2312"/>
          <w:sz w:val="32"/>
          <w:szCs w:val="32"/>
        </w:rPr>
        <w:t>100</w:t>
      </w:r>
      <w:r>
        <w:rPr>
          <w:rFonts w:hint="eastAsia" w:ascii="仿宋_GB2312" w:eastAsia="仿宋_GB2312"/>
          <w:sz w:val="32"/>
          <w:szCs w:val="32"/>
        </w:rPr>
        <w:t>分，得出综合评价结论和项目综合绩效评价等级。项目综合绩效评价分为</w:t>
      </w:r>
      <w:r>
        <w:rPr>
          <w:rFonts w:ascii="仿宋_GB2312" w:eastAsia="仿宋_GB2312"/>
          <w:sz w:val="32"/>
          <w:szCs w:val="32"/>
        </w:rPr>
        <w:t>4</w:t>
      </w:r>
      <w:r>
        <w:rPr>
          <w:rFonts w:hint="eastAsia" w:ascii="仿宋_GB2312" w:eastAsia="仿宋_GB2312"/>
          <w:sz w:val="32"/>
          <w:szCs w:val="32"/>
        </w:rPr>
        <w:t>个等级：得分</w:t>
      </w:r>
      <w:r>
        <w:rPr>
          <w:rFonts w:ascii="Arial" w:hAnsi="Arial" w:eastAsia="仿宋_GB2312" w:cs="Arial"/>
          <w:sz w:val="32"/>
          <w:szCs w:val="32"/>
        </w:rPr>
        <w:t>≥</w:t>
      </w:r>
      <w:r>
        <w:rPr>
          <w:rFonts w:ascii="仿宋_GB2312" w:eastAsia="仿宋_GB2312"/>
          <w:sz w:val="32"/>
          <w:szCs w:val="32"/>
        </w:rPr>
        <w:t>85</w:t>
      </w:r>
      <w:r>
        <w:rPr>
          <w:rFonts w:hint="eastAsia" w:ascii="仿宋_GB2312" w:eastAsia="仿宋_GB2312"/>
          <w:sz w:val="32"/>
          <w:szCs w:val="32"/>
        </w:rPr>
        <w:t>分为优秀；</w:t>
      </w:r>
      <w:r>
        <w:rPr>
          <w:rFonts w:ascii="仿宋_GB2312" w:eastAsia="仿宋_GB2312"/>
          <w:sz w:val="32"/>
          <w:szCs w:val="32"/>
        </w:rPr>
        <w:t>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ascii="仿宋_GB2312" w:eastAsia="仿宋_GB2312"/>
          <w:sz w:val="32"/>
          <w:szCs w:val="32"/>
        </w:rPr>
        <w:t>85</w:t>
      </w:r>
      <w:r>
        <w:rPr>
          <w:rFonts w:hint="eastAsia" w:ascii="仿宋_GB2312" w:eastAsia="仿宋_GB2312"/>
          <w:sz w:val="32"/>
          <w:szCs w:val="32"/>
        </w:rPr>
        <w:t>分为良好；</w:t>
      </w:r>
      <w:r>
        <w:rPr>
          <w:rFonts w:ascii="仿宋_GB2312" w:eastAsia="仿宋_GB2312"/>
          <w:sz w:val="32"/>
          <w:szCs w:val="32"/>
        </w:rPr>
        <w:t>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ascii="仿宋_GB2312" w:eastAsia="仿宋_GB2312"/>
          <w:sz w:val="32"/>
          <w:szCs w:val="32"/>
        </w:rPr>
        <w:t>75</w:t>
      </w:r>
      <w:r>
        <w:rPr>
          <w:rFonts w:hint="eastAsia" w:ascii="仿宋_GB2312" w:eastAsia="仿宋_GB2312"/>
          <w:sz w:val="32"/>
          <w:szCs w:val="32"/>
        </w:rPr>
        <w:t>分为一般；得分</w:t>
      </w:r>
      <w:r>
        <w:rPr>
          <w:rFonts w:hint="eastAsia" w:ascii="仿宋_GB2312" w:hAnsi="仿宋_GB2312" w:eastAsia="仿宋_GB2312"/>
          <w:sz w:val="32"/>
          <w:szCs w:val="32"/>
        </w:rPr>
        <w:t>＜</w:t>
      </w:r>
      <w:r>
        <w:rPr>
          <w:rFonts w:ascii="仿宋_GB2312" w:eastAsia="仿宋_GB2312"/>
          <w:sz w:val="32"/>
          <w:szCs w:val="32"/>
        </w:rPr>
        <w:t>60</w:t>
      </w:r>
      <w:r>
        <w:rPr>
          <w:rFonts w:hint="eastAsia" w:ascii="仿宋_GB2312" w:eastAsia="仿宋_GB2312"/>
          <w:sz w:val="32"/>
          <w:szCs w:val="32"/>
        </w:rPr>
        <w:t>分为较差。</w:t>
      </w:r>
    </w:p>
    <w:p>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rPr>
      </w:pPr>
      <w:r>
        <w:rPr>
          <w:rFonts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rPr>
          <w:rFonts w:hint="eastAsia" w:ascii="楷体_GB2312" w:hAnsi="楷体_GB2312" w:eastAsia="楷体_GB2312"/>
          <w:sz w:val="32"/>
          <w:szCs w:val="32"/>
          <w:lang w:eastAsia="zh-CN"/>
        </w:rPr>
      </w:pPr>
      <w:r>
        <w:rPr>
          <w:rFonts w:hint="eastAsia" w:ascii="楷体_GB2312" w:hAnsi="楷体_GB2312" w:eastAsia="楷体_GB2312"/>
          <w:sz w:val="32"/>
          <w:szCs w:val="32"/>
          <w:lang w:eastAsia="zh-CN"/>
        </w:rPr>
        <w:t>无</w:t>
      </w:r>
    </w:p>
    <w:p>
      <w:pPr>
        <w:rPr>
          <w:rFonts w:hint="eastAsia" w:ascii="楷体_GB2312" w:hAnsi="楷体_GB2312" w:eastAsia="楷体_GB2312"/>
          <w:sz w:val="32"/>
          <w:szCs w:val="32"/>
        </w:rPr>
      </w:pPr>
      <w:r>
        <w:rPr>
          <w:rFonts w:ascii="楷体_GB2312" w:hAnsi="楷体_GB2312" w:eastAsia="楷体_GB2312"/>
          <w:sz w:val="32"/>
          <w:szCs w:val="32"/>
        </w:rPr>
        <w:t xml:space="preserve">   </w:t>
      </w:r>
      <w:r>
        <w:rPr>
          <w:rFonts w:hint="eastAsia" w:ascii="楷体_GB2312" w:hAnsi="楷体_GB2312" w:eastAsia="楷体_GB2312"/>
          <w:sz w:val="32"/>
          <w:szCs w:val="32"/>
        </w:rPr>
        <w:t>（二）针对问题提出具体的改进措施或建议</w:t>
      </w:r>
    </w:p>
    <w:p>
      <w:pPr>
        <w:rPr>
          <w:rFonts w:hint="eastAsia" w:ascii="楷体_GB2312" w:hAnsi="楷体_GB2312" w:eastAsia="楷体_GB2312"/>
          <w:sz w:val="32"/>
          <w:szCs w:val="32"/>
          <w:lang w:eastAsia="zh-CN"/>
        </w:rPr>
      </w:pPr>
      <w:r>
        <w:rPr>
          <w:rFonts w:hint="eastAsia" w:ascii="楷体_GB2312" w:hAnsi="楷体_GB2312" w:eastAsia="楷体_GB2312"/>
          <w:sz w:val="32"/>
          <w:szCs w:val="32"/>
          <w:lang w:eastAsia="zh-CN"/>
        </w:rPr>
        <w:t>无</w:t>
      </w:r>
    </w:p>
    <w:p>
      <w:pPr>
        <w:numPr>
          <w:ilvl w:val="0"/>
          <w:numId w:val="2"/>
        </w:numPr>
        <w:adjustRightInd w:val="0"/>
        <w:snapToGrid w:val="0"/>
        <w:spacing w:line="360" w:lineRule="auto"/>
        <w:ind w:firstLine="640" w:firstLineChars="200"/>
        <w:rPr>
          <w:rFonts w:hint="eastAsia" w:ascii="黑体" w:eastAsia="黑体"/>
          <w:sz w:val="32"/>
          <w:szCs w:val="32"/>
        </w:rPr>
      </w:pPr>
      <w:r>
        <w:rPr>
          <w:rFonts w:hint="eastAsia" w:ascii="黑体" w:eastAsia="黑体"/>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组长：</w:t>
      </w:r>
      <w:r>
        <w:rPr>
          <w:rFonts w:hint="eastAsia" w:ascii="仿宋" w:hAnsi="仿宋" w:eastAsia="仿宋" w:cs="仿宋"/>
          <w:sz w:val="32"/>
          <w:szCs w:val="32"/>
          <w:lang w:eastAsia="zh-CN"/>
        </w:rPr>
        <w:t>邱保良</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副组长：</w:t>
      </w:r>
      <w:r>
        <w:rPr>
          <w:rFonts w:hint="eastAsia" w:ascii="仿宋" w:hAnsi="仿宋" w:eastAsia="仿宋" w:cs="仿宋"/>
          <w:sz w:val="32"/>
          <w:szCs w:val="32"/>
          <w:lang w:eastAsia="zh-CN"/>
        </w:rPr>
        <w:t>曹斌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成员</w:t>
      </w:r>
      <w:r>
        <w:rPr>
          <w:rFonts w:hint="eastAsia" w:ascii="仿宋" w:hAnsi="仿宋" w:eastAsia="仿宋" w:cs="仿宋"/>
          <w:sz w:val="32"/>
          <w:szCs w:val="32"/>
          <w:lang w:eastAsia="zh-CN"/>
        </w:rPr>
        <w:t>：贡素馨、米建欣、赵利强、崔潇文、张仁和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numPr>
          <w:numId w:val="0"/>
        </w:numPr>
        <w:adjustRightInd w:val="0"/>
        <w:snapToGrid w:val="0"/>
        <w:spacing w:line="360" w:lineRule="auto"/>
        <w:rPr>
          <w:rFonts w:hint="eastAsia" w:ascii="黑体" w:eastAsia="黑体"/>
          <w:sz w:val="32"/>
          <w:szCs w:val="32"/>
        </w:rPr>
      </w:pPr>
    </w:p>
    <w:p>
      <w:pPr>
        <w:rPr>
          <w:rFonts w:ascii="仿宋_GB2312"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rPr>
          <w:rFonts w:hint="eastAsia"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附件：项目支出绩效评价共性指标体系框架</w:t>
      </w:r>
    </w:p>
    <w:p>
      <w:pPr>
        <w:adjustRightInd w:val="0"/>
        <w:spacing w:line="360" w:lineRule="auto"/>
        <w:rPr>
          <w:rFonts w:ascii="仿宋_GB2312" w:hAnsi="宋体" w:eastAsia="仿宋_GB2312"/>
          <w:sz w:val="32"/>
          <w:szCs w:val="32"/>
        </w:rPr>
      </w:pPr>
    </w:p>
    <w:p>
      <w:pPr>
        <w:adjustRightInd w:val="0"/>
        <w:spacing w:line="360" w:lineRule="auto"/>
        <w:rPr>
          <w:rFonts w:ascii="仿宋_GB2312" w:hAnsi="宋体" w:eastAsia="仿宋_GB2312"/>
          <w:sz w:val="32"/>
          <w:szCs w:val="32"/>
        </w:rPr>
      </w:pPr>
      <w:r>
        <w:rPr>
          <w:rFonts w:hint="eastAsia" w:ascii="黑体" w:hAnsi="黑体" w:eastAsia="黑体" w:cs="黑体"/>
          <w:sz w:val="32"/>
          <w:szCs w:val="32"/>
        </w:rPr>
        <w:t>附件</w:t>
      </w:r>
    </w:p>
    <w:p>
      <w:pPr>
        <w:adjustRightInd w:val="0"/>
        <w:spacing w:line="360" w:lineRule="auto"/>
        <w:rPr>
          <w:rFonts w:ascii="仿宋_GB2312" w:hAnsi="宋体" w:eastAsia="仿宋_GB2312"/>
          <w:sz w:val="32"/>
          <w:szCs w:val="32"/>
        </w:rPr>
      </w:pPr>
    </w:p>
    <w:p>
      <w:pPr>
        <w:adjustRightInd w:val="0"/>
        <w:spacing w:line="360" w:lineRule="auto"/>
        <w:ind w:firstLine="643" w:firstLineChars="200"/>
        <w:rPr>
          <w:rFonts w:ascii="宋体"/>
          <w:b/>
          <w:color w:val="000000"/>
          <w:sz w:val="32"/>
          <w:shd w:val="clear" w:color="auto" w:fill="FFFFFF"/>
        </w:rPr>
      </w:pPr>
      <w:r>
        <w:rPr>
          <w:rFonts w:ascii="宋体" w:hAnsi="宋体"/>
          <w:b/>
          <w:color w:val="000000"/>
          <w:sz w:val="32"/>
          <w:shd w:val="clear" w:color="auto" w:fill="FFFFFF"/>
        </w:rPr>
        <w:t xml:space="preserve">      </w:t>
      </w:r>
      <w:r>
        <w:rPr>
          <w:rFonts w:hint="eastAsia" w:ascii="宋体" w:hAnsi="宋体"/>
          <w:b/>
          <w:color w:val="000000"/>
          <w:sz w:val="32"/>
          <w:shd w:val="clear" w:color="auto" w:fill="FFFFFF"/>
        </w:rPr>
        <w:t>项目支出绩效评价共性指标体系框架</w:t>
      </w:r>
    </w:p>
    <w:tbl>
      <w:tblPr>
        <w:tblStyle w:val="6"/>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hint="eastAsia"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hint="eastAsia"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指标说明</w:t>
            </w:r>
          </w:p>
        </w:tc>
      </w:tr>
      <w:tr>
        <w:tblPrEx>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投</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③事前是否已经过必要的可行性研究、专家论证、风险评估、集体决策等。</w:t>
            </w:r>
          </w:p>
        </w:tc>
      </w:tr>
      <w:tr>
        <w:tblPrEx>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④项目预期产出效益和效果是否符合正常的业绩水平。</w:t>
            </w:r>
          </w:p>
        </w:tc>
      </w:tr>
      <w:tr>
        <w:tblPrEx>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④是否与预算确定的项目投资额或资金量相匹配。</w:t>
            </w:r>
          </w:p>
        </w:tc>
      </w:tr>
      <w:tr>
        <w:tblPrEx>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资金到位率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（实际到位资金</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计划投入资金）×</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计划投入资金：一定时期（本年度或项目期）内计划投入到具体项目的资金。</w:t>
            </w:r>
          </w:p>
        </w:tc>
      </w:tr>
      <w:tr>
        <w:tblPrEx>
          <w:tblLayout w:type="fixed"/>
          <w:tblCellMar>
            <w:top w:w="0" w:type="dxa"/>
            <w:left w:w="108" w:type="dxa"/>
            <w:bottom w:w="0" w:type="dxa"/>
            <w:right w:w="108" w:type="dxa"/>
          </w:tblCellMar>
        </w:tblPrEx>
        <w:trPr>
          <w:trHeight w:val="238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到位及时率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（及时到位资金</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应到位资金）×</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应到位资金：按照合同或项目进度要求截至规定时点应落实到具体项目的资金。</w:t>
            </w:r>
          </w:p>
        </w:tc>
      </w:tr>
      <w:tr>
        <w:tblPrEx>
          <w:tblLayout w:type="fixed"/>
          <w:tblCellMar>
            <w:top w:w="0" w:type="dxa"/>
            <w:left w:w="108" w:type="dxa"/>
            <w:bottom w:w="0" w:type="dxa"/>
            <w:right w:w="108" w:type="dxa"/>
          </w:tblCellMar>
        </w:tblPrEx>
        <w:trPr>
          <w:trHeight w:val="180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过</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程</w:t>
            </w:r>
          </w:p>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②业务管理制度是否合法、合规、完整。</w:t>
            </w:r>
          </w:p>
        </w:tc>
      </w:tr>
      <w:tr>
        <w:tblPrEx>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④项目实施的人员条件、场地设备、信息支撑等是否落实到位。</w:t>
            </w:r>
          </w:p>
        </w:tc>
      </w:tr>
      <w:tr>
        <w:tblPrEx>
          <w:tblLayout w:type="fixed"/>
          <w:tblCellMar>
            <w:top w:w="0" w:type="dxa"/>
            <w:left w:w="108" w:type="dxa"/>
            <w:bottom w:w="0" w:type="dxa"/>
            <w:right w:w="108" w:type="dxa"/>
          </w:tblCellMar>
        </w:tblPrEx>
        <w:trPr>
          <w:trHeight w:val="192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项目实施单位是否为达到项目质量要求而采取了必需的措施</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②是否采取了相应的项目质量检查、验收等必需的控制措施或手段。</w:t>
            </w:r>
          </w:p>
        </w:tc>
      </w:tr>
      <w:tr>
        <w:tblPrEx>
          <w:tblLayout w:type="fixed"/>
          <w:tblCellMar>
            <w:top w:w="0" w:type="dxa"/>
            <w:left w:w="108" w:type="dxa"/>
            <w:bottom w:w="0" w:type="dxa"/>
            <w:right w:w="108" w:type="dxa"/>
          </w:tblCellMar>
        </w:tblPrEx>
        <w:trPr>
          <w:trHeight w:val="176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②项目资金管理办法是否符合相关财务会计制度的规定。</w:t>
            </w:r>
          </w:p>
        </w:tc>
      </w:tr>
      <w:tr>
        <w:tblPrEx>
          <w:tblLayout w:type="fixed"/>
          <w:tblCellMar>
            <w:top w:w="0" w:type="dxa"/>
            <w:left w:w="108" w:type="dxa"/>
            <w:bottom w:w="0" w:type="dxa"/>
            <w:right w:w="108" w:type="dxa"/>
          </w:tblCellMar>
        </w:tblPrEx>
        <w:trPr>
          <w:trHeight w:val="130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⑤是否存在截留、挤占、挪用、虚列支出等情况。</w:t>
            </w:r>
          </w:p>
        </w:tc>
      </w:tr>
      <w:tr>
        <w:tblPrEx>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②是否采取了相应的财务检查等必要的监控措施或手段。</w:t>
            </w:r>
          </w:p>
        </w:tc>
      </w:tr>
      <w:tr>
        <w:tblPrEx>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产</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实际完成率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（实际产出数</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计划产出数）×</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tblPrEx>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完成及时率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计划完成时间：按照项目实施计划或相关规定完成该项目所需的时间。</w:t>
            </w:r>
          </w:p>
        </w:tc>
      </w:tr>
      <w:tr>
        <w:tblPrEx>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质量达标率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（质量达标产出数</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实际产出数）×</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tblPrEx>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成本节约率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计划成本：项目实施单位为完成工作目标计划安排的支出，一般以项目预算为参考。</w:t>
            </w:r>
          </w:p>
        </w:tc>
      </w:tr>
      <w:tr>
        <w:tblPrEx>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效</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p>
    <w:p/>
    <w:sectPr>
      <w:headerReference r:id="rId5" w:type="first"/>
      <w:footerReference r:id="rId8" w:type="first"/>
      <w:headerReference r:id="rId3" w:type="default"/>
      <w:footerReference r:id="rId6" w:type="default"/>
      <w:headerReference r:id="rId4" w:type="even"/>
      <w:footerReference r:id="rId7"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华文楷体">
    <w:altName w:val="宋体"/>
    <w:panose1 w:val="00000000000000000000"/>
    <w:charset w:val="86"/>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rPr>
        <w:rStyle w:val="5"/>
      </w:rPr>
      <w:fldChar w:fldCharType="begin"/>
    </w:r>
    <w:r>
      <w:rPr>
        <w:rStyle w:val="5"/>
      </w:rPr>
      <w:instrText xml:space="preserve">PAGE  </w:instrText>
    </w:r>
    <w:r>
      <w:rPr>
        <w:rStyle w:val="5"/>
      </w:rPr>
      <w:fldChar w:fldCharType="separate"/>
    </w:r>
    <w:r>
      <w:rPr>
        <w:rStyle w:val="5"/>
      </w:rPr>
      <w:t>4</w:t>
    </w:r>
    <w:r>
      <w:rPr>
        <w:rStyle w:val="5"/>
      </w:rP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3F308"/>
    <w:multiLevelType w:val="singleLevel"/>
    <w:tmpl w:val="5E13F308"/>
    <w:lvl w:ilvl="0" w:tentative="0">
      <w:start w:val="3"/>
      <w:numFmt w:val="decimal"/>
      <w:suff w:val="nothing"/>
      <w:lvlText w:val="%1."/>
      <w:lvlJc w:val="left"/>
    </w:lvl>
  </w:abstractNum>
  <w:abstractNum w:abstractNumId="1">
    <w:nsid w:val="5E13F63B"/>
    <w:multiLevelType w:val="singleLevel"/>
    <w:tmpl w:val="5E13F63B"/>
    <w:lvl w:ilvl="0" w:tentative="0">
      <w:start w:val="6"/>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2050F9"/>
    <w:rsid w:val="002A0508"/>
    <w:rsid w:val="00742BDC"/>
    <w:rsid w:val="007E6903"/>
    <w:rsid w:val="00843011"/>
    <w:rsid w:val="009031B9"/>
    <w:rsid w:val="265D4366"/>
    <w:rsid w:val="2A2941B7"/>
    <w:rsid w:val="3FCE447F"/>
    <w:rsid w:val="62697FA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99"/>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iPriority w:val="99"/>
    <w:pPr>
      <w:tabs>
        <w:tab w:val="center" w:pos="4153"/>
        <w:tab w:val="right" w:pos="8306"/>
      </w:tabs>
      <w:snapToGrid w:val="0"/>
      <w:jc w:val="left"/>
    </w:pPr>
    <w:rPr>
      <w:sz w:val="18"/>
      <w:szCs w:val="18"/>
    </w:rPr>
  </w:style>
  <w:style w:type="paragraph" w:styleId="3">
    <w:name w:val="header"/>
    <w:basedOn w:val="1"/>
    <w:link w:val="8"/>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99"/>
    <w:rPr>
      <w:rFonts w:cs="Times New Roman"/>
    </w:rPr>
  </w:style>
  <w:style w:type="character" w:customStyle="1" w:styleId="7">
    <w:name w:val="Footer Char"/>
    <w:basedOn w:val="4"/>
    <w:link w:val="2"/>
    <w:semiHidden/>
    <w:uiPriority w:val="99"/>
    <w:rPr>
      <w:sz w:val="18"/>
      <w:szCs w:val="18"/>
    </w:rPr>
  </w:style>
  <w:style w:type="character" w:customStyle="1" w:styleId="8">
    <w:name w:val="Header Char"/>
    <w:basedOn w:val="4"/>
    <w:link w:val="3"/>
    <w:semiHidden/>
    <w:qFormat/>
    <w:uiPriority w:val="99"/>
    <w:rPr>
      <w:sz w:val="18"/>
      <w:szCs w:val="18"/>
    </w:rPr>
  </w:style>
  <w:style w:type="paragraph" w:customStyle="1" w:styleId="9">
    <w:name w:val="默认段落字体 Para Char Char Char Char Char Char Char"/>
    <w:basedOn w:val="1"/>
    <w:uiPriority w:val="99"/>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8</Pages>
  <Words>567</Words>
  <Characters>3237</Characters>
  <Lines>0</Lines>
  <Paragraphs>0</Paragraphs>
  <TotalTime>0</TotalTime>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2020-01-07T02:55:48Z</cp:lastPrinted>
  <dcterms:modified xsi:type="dcterms:W3CDTF">2020-01-07T03:08:39Z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