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tabs>
          <w:tab w:val="left" w:pos="1662"/>
        </w:tabs>
        <w:kinsoku/>
        <w:wordWrap/>
        <w:overflowPunct/>
        <w:topLinePunct w:val="0"/>
        <w:autoSpaceDE/>
        <w:autoSpaceDN/>
        <w:bidi w:val="0"/>
        <w:adjustRightInd w:val="0"/>
        <w:spacing w:line="560" w:lineRule="exact"/>
        <w:textAlignment w:val="auto"/>
        <w:outlineLvl w:val="9"/>
        <w:rPr>
          <w:rFonts w:asciiTheme="majorEastAsia" w:hAnsiTheme="majorEastAsia" w:eastAsiaTheme="majorEastAsia" w:cstheme="majorEastAsia"/>
          <w:b/>
          <w:bCs/>
          <w:sz w:val="36"/>
          <w:szCs w:val="36"/>
        </w:rPr>
      </w:pPr>
      <w:r>
        <w:rPr>
          <w:rFonts w:hint="eastAsia" w:ascii="黑体" w:hAnsi="黑体" w:eastAsia="黑体" w:cs="黑体"/>
          <w:sz w:val="32"/>
          <w:szCs w:val="32"/>
        </w:rPr>
        <w:tab/>
      </w:r>
      <w:r>
        <w:rPr>
          <w:rFonts w:hint="eastAsia" w:asciiTheme="majorEastAsia" w:hAnsiTheme="majorEastAsia" w:eastAsiaTheme="majorEastAsia" w:cstheme="majorEastAsia"/>
          <w:b/>
          <w:bCs/>
          <w:sz w:val="36"/>
          <w:szCs w:val="36"/>
        </w:rPr>
        <w:t>石家庄市鹿泉区公用事业管理中心</w:t>
      </w:r>
    </w:p>
    <w:p>
      <w:pPr>
        <w:keepNext w:val="0"/>
        <w:keepLines w:val="0"/>
        <w:pageBreakBefore w:val="0"/>
        <w:widowControl w:val="0"/>
        <w:kinsoku/>
        <w:wordWrap/>
        <w:overflowPunct/>
        <w:topLinePunct w:val="0"/>
        <w:autoSpaceDE/>
        <w:autoSpaceDN/>
        <w:bidi w:val="0"/>
        <w:spacing w:line="560" w:lineRule="exact"/>
        <w:jc w:val="center"/>
        <w:textAlignment w:val="auto"/>
        <w:outlineLvl w:val="9"/>
        <w:rPr>
          <w:rFonts w:asciiTheme="majorEastAsia" w:hAnsiTheme="majorEastAsia" w:eastAsiaTheme="majorEastAsia" w:cstheme="majorEastAsia"/>
          <w:b/>
          <w:bCs/>
          <w:sz w:val="36"/>
          <w:szCs w:val="36"/>
        </w:rPr>
      </w:pPr>
      <w:r>
        <w:rPr>
          <w:rFonts w:hint="eastAsia" w:asciiTheme="majorEastAsia" w:hAnsiTheme="majorEastAsia" w:eastAsiaTheme="majorEastAsia" w:cstheme="majorEastAsia"/>
          <w:b/>
          <w:bCs/>
          <w:sz w:val="36"/>
          <w:szCs w:val="36"/>
        </w:rPr>
        <w:t>南太平河综合整治工程一期项目绩效评价报告</w:t>
      </w:r>
    </w:p>
    <w:p>
      <w:pPr>
        <w:keepNext w:val="0"/>
        <w:keepLines w:val="0"/>
        <w:pageBreakBefore w:val="0"/>
        <w:widowControl w:val="0"/>
        <w:kinsoku/>
        <w:wordWrap/>
        <w:overflowPunct/>
        <w:topLinePunct w:val="0"/>
        <w:autoSpaceDE/>
        <w:autoSpaceDN/>
        <w:bidi w:val="0"/>
        <w:spacing w:line="560" w:lineRule="exact"/>
        <w:textAlignment w:val="auto"/>
        <w:outlineLvl w:val="9"/>
        <w:rPr>
          <w:rFonts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根据《石家庄市鹿泉区区级部门预算绩效管理办法》（鹿财字[2019]65号），遵循“科学性、规范性、客观性和公正性”的原则，对南太平河综合整治工程一期项目实施了绩效评价，形成本评价报告。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outlineLvl w:val="9"/>
        <w:rPr>
          <w:rFonts w:ascii="仿宋" w:hAnsi="仿宋" w:eastAsia="仿宋" w:cs="仿宋"/>
          <w:b/>
          <w:bCs/>
          <w:sz w:val="32"/>
          <w:szCs w:val="36"/>
        </w:rPr>
      </w:pPr>
      <w:r>
        <w:rPr>
          <w:rFonts w:hint="eastAsia" w:ascii="仿宋" w:hAnsi="仿宋" w:eastAsia="仿宋" w:cs="仿宋"/>
          <w:sz w:val="32"/>
          <w:szCs w:val="32"/>
        </w:rPr>
        <w:t xml:space="preserve">  </w:t>
      </w:r>
      <w:r>
        <w:rPr>
          <w:rFonts w:hint="eastAsia" w:ascii="仿宋" w:hAnsi="仿宋" w:eastAsia="仿宋" w:cs="仿宋"/>
          <w:b/>
          <w:bCs/>
          <w:sz w:val="32"/>
          <w:szCs w:val="32"/>
        </w:rPr>
        <w:t xml:space="preserve">  一、项目</w:t>
      </w:r>
      <w:r>
        <w:rPr>
          <w:rFonts w:hint="eastAsia" w:ascii="仿宋" w:hAnsi="仿宋" w:eastAsia="仿宋" w:cs="仿宋"/>
          <w:b/>
          <w:bCs/>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1.项目实施单位及项目立项等基本情况：实施单位是石家庄市鹿泉区公用事业管理中心，项目立项已列入2019年鹿泉区政府投资建设项目计划。</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2.项目主要实施内容和范围：</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南太平河综合整治工程一期，太平河综合整治工程一期施工范围为：“规划纵一街（子弟中学）——石柏大街”全长约3.6km。</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工程主要实施内容为：</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w:t>
      </w:r>
      <w:r>
        <w:rPr>
          <w:rFonts w:hint="eastAsia" w:ascii="仿宋" w:hAnsi="仿宋" w:eastAsia="仿宋" w:cs="仿宋"/>
          <w:sz w:val="32"/>
          <w:szCs w:val="32"/>
        </w:rPr>
        <w:t xml:space="preserve">景观工程   新建直径90的给水管道安装7131.9米，砌筑水表井和阀门井17座；直径300雨水管道安装371米，收水井41座；路牙石安装5899.8米、碎石垫层14810平方米，透水水泥稳定碎石14810平方米，便道铺装14810平方米；园路花岗岩铺装2202.66平方米；桥面铺装244.57平方米；建设雨水花园两处约为2969平方米；提升改造林荫路游园10573平方米；新建隔离带4206米；廊架一座，花架两座，街边座椅140个等设施。 </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w:t>
      </w:r>
      <w:r>
        <w:rPr>
          <w:rFonts w:hint="eastAsia" w:ascii="仿宋" w:hAnsi="仿宋" w:eastAsia="仿宋" w:cs="仿宋"/>
          <w:sz w:val="32"/>
          <w:szCs w:val="32"/>
        </w:rPr>
        <w:t>道路工程    太平河南、北路现有路面进行铣刨，铺沥青混凝土路面，面积约为53069.75平方米</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w:t>
      </w:r>
      <w:r>
        <w:rPr>
          <w:rFonts w:hint="eastAsia" w:ascii="仿宋" w:hAnsi="仿宋" w:eastAsia="仿宋" w:cs="仿宋"/>
          <w:sz w:val="32"/>
          <w:szCs w:val="32"/>
        </w:rPr>
        <w:t>照明工程    太平河南、北路路灯新装路灯282套，铺设电缆10453米，庭院灯51套；铺设光纤7893米，监控探头50套。</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w:t>
      </w:r>
      <w:r>
        <w:rPr>
          <w:rFonts w:hint="eastAsia" w:ascii="仿宋" w:hAnsi="仿宋" w:eastAsia="仿宋" w:cs="仿宋"/>
          <w:sz w:val="32"/>
          <w:szCs w:val="32"/>
        </w:rPr>
        <w:t>河道工程   拆除旧有浆砌石护底32227.79立方米，渣土外运68484立方米，河底砂垫层12085立方米；钢筋绑扎322.3吨；河底混凝土底板浇筑16113.9立方米；河底园路10509平方米。</w:t>
      </w:r>
    </w:p>
    <w:p>
      <w:pPr>
        <w:keepNext w:val="0"/>
        <w:keepLines w:val="0"/>
        <w:pageBreakBefore w:val="0"/>
        <w:widowControl w:val="0"/>
        <w:kinsoku/>
        <w:wordWrap/>
        <w:overflowPunct/>
        <w:topLinePunct w:val="0"/>
        <w:autoSpaceDE/>
        <w:autoSpaceDN/>
        <w:bidi w:val="0"/>
        <w:adjustRightInd w:val="0"/>
        <w:snapToGrid w:val="0"/>
        <w:spacing w:line="560" w:lineRule="exact"/>
        <w:ind w:left="800"/>
        <w:textAlignment w:val="auto"/>
        <w:outlineLvl w:val="9"/>
        <w:rPr>
          <w:rFonts w:ascii="仿宋" w:hAnsi="仿宋" w:eastAsia="仿宋" w:cs="仿宋"/>
          <w:sz w:val="32"/>
          <w:szCs w:val="32"/>
        </w:rPr>
      </w:pPr>
      <w:r>
        <w:rPr>
          <w:rFonts w:hint="eastAsia" w:ascii="仿宋" w:hAnsi="仿宋" w:eastAsia="仿宋" w:cs="仿宋"/>
          <w:sz w:val="32"/>
          <w:szCs w:val="32"/>
        </w:rPr>
        <w:t>3.项目资金投入情况：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该项目总投资约8373.67万元，该项目资金来源为本级财政资金。2019年度财政预算安排资金5000万元。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b/>
          <w:bCs/>
          <w:sz w:val="32"/>
          <w:szCs w:val="32"/>
        </w:rPr>
      </w:pPr>
      <w:r>
        <w:rPr>
          <w:rFonts w:hint="eastAsia" w:ascii="仿宋" w:hAnsi="仿宋" w:eastAsia="仿宋" w:cs="仿宋"/>
          <w:sz w:val="32"/>
          <w:szCs w:val="32"/>
        </w:rPr>
        <w:t>（二）项目预期绩效目标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项目预期绩效总目标，改变南太平河河道脏乱差的现状，提升河道整体形象，生态修复河道，打造全域旅游系统的人文廊道。</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二、绩效评价工作情况</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（一）绩效评价的组织工作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成立评价小组，由评价小组组织实施对南太平河综合整治工程一期项目立项、资金落实、业务管理、财务管理、项目产出、项目效益等绩效评价指标进行检查评价。</w:t>
      </w:r>
    </w:p>
    <w:p>
      <w:pPr>
        <w:keepNext w:val="0"/>
        <w:keepLines w:val="0"/>
        <w:pageBreakBefore w:val="0"/>
        <w:widowControl w:val="0"/>
        <w:numPr>
          <w:ilvl w:val="0"/>
          <w:numId w:val="1"/>
        </w:numPr>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绩效评价的方法和过程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对工程手续、工程资料及竣工验收等相关资料进行查阅、根据绩效评价指标体系框架进行分项评价。</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（三）建立绩效评价指标体系</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在开展预算绩效评价工作时，对项目立项、资金落实、业务管理、财务管理、项目产出、项目效益等共性绩效评价指标。</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b/>
          <w:bCs/>
          <w:sz w:val="32"/>
          <w:szCs w:val="32"/>
        </w:rPr>
      </w:pPr>
      <w:r>
        <w:rPr>
          <w:rFonts w:hint="eastAsia" w:ascii="仿宋" w:hAnsi="仿宋" w:eastAsia="仿宋" w:cs="仿宋"/>
          <w:b/>
          <w:bCs/>
          <w:sz w:val="32"/>
          <w:szCs w:val="32"/>
        </w:rPr>
        <w:t xml:space="preserve">    三、项目执行及绩效实现情况</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（一）项目投入</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1.项目立项情况分析。</w:t>
      </w:r>
      <w:r>
        <w:rPr>
          <w:rFonts w:hint="eastAsia" w:ascii="仿宋" w:hAnsi="仿宋" w:eastAsia="仿宋" w:cs="仿宋"/>
          <w:color w:val="000000"/>
          <w:sz w:val="32"/>
          <w:szCs w:val="32"/>
          <w:shd w:val="clear" w:color="auto" w:fill="FFFFFF"/>
        </w:rPr>
        <w:t>项目的申请、设立过程符合相关要求；项目所设定的绩效目标依据充分，符合客观实际；依据绩效目标设定的绩效指标清晰、细化、可衡量。通过</w:t>
      </w:r>
      <w:r>
        <w:rPr>
          <w:rFonts w:hint="eastAsia" w:ascii="仿宋" w:hAnsi="仿宋" w:eastAsia="仿宋" w:cs="仿宋"/>
          <w:sz w:val="32"/>
          <w:szCs w:val="32"/>
        </w:rPr>
        <w:t>对项目立项规范性、绩效目标合理性和绩效指标明确性等情况进行分析后，根据指标体系评分标准计算分值为</w:t>
      </w:r>
      <w:r>
        <w:rPr>
          <w:rFonts w:hint="eastAsia" w:ascii="仿宋" w:hAnsi="仿宋" w:eastAsia="仿宋" w:cs="仿宋"/>
          <w:sz w:val="32"/>
          <w:szCs w:val="32"/>
          <w:lang w:val="en-US" w:eastAsia="zh-CN"/>
        </w:rPr>
        <w:t>19</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2.资金落实情况分析。      </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2019年度财政拨付该项目建设资金5000万元，按照合同约定，我中心已全部支付。</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通过对资金到位率和到位及时率等情况进行分析后，根据指标体系评分标准计算分值为1</w:t>
      </w:r>
      <w:r>
        <w:rPr>
          <w:rFonts w:hint="eastAsia" w:ascii="仿宋" w:hAnsi="仿宋" w:eastAsia="仿宋" w:cs="仿宋"/>
          <w:sz w:val="32"/>
          <w:szCs w:val="32"/>
          <w:lang w:val="en-US" w:eastAsia="zh-CN"/>
        </w:rPr>
        <w:t>4</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（二）项目实施过程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1.业务管理情况分析。我管理中心</w:t>
      </w:r>
      <w:r>
        <w:rPr>
          <w:rFonts w:hint="eastAsia" w:ascii="仿宋" w:hAnsi="仿宋" w:eastAsia="仿宋" w:cs="仿宋"/>
          <w:color w:val="000000"/>
          <w:sz w:val="32"/>
          <w:szCs w:val="32"/>
          <w:shd w:val="clear" w:color="auto" w:fill="FFFFFF"/>
        </w:rPr>
        <w:t>业务管理制度健全，项目实施符合国家规范及相关业务管理规定，我管理中心为达到项目质量要求采取安排专门科室负责现场监督管理；按照规定招标选定监理单位，对工程项目实施整个过程进行监管等必需的措施。通过</w:t>
      </w:r>
      <w:r>
        <w:rPr>
          <w:rFonts w:hint="eastAsia" w:ascii="仿宋" w:hAnsi="仿宋" w:eastAsia="仿宋" w:cs="仿宋"/>
          <w:sz w:val="32"/>
          <w:szCs w:val="32"/>
        </w:rPr>
        <w:t>健全的管理制度、有效性执行制度和对项目质量把控等情况进行分析后，根据指标体系评分标准计算分值为</w:t>
      </w:r>
      <w:r>
        <w:rPr>
          <w:rFonts w:hint="eastAsia" w:ascii="仿宋" w:hAnsi="仿宋" w:eastAsia="仿宋" w:cs="仿宋"/>
          <w:sz w:val="32"/>
          <w:szCs w:val="32"/>
          <w:lang w:val="en-US" w:eastAsia="zh-CN"/>
        </w:rPr>
        <w:t>8</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2.财务管理。</w:t>
      </w:r>
      <w:r>
        <w:rPr>
          <w:rFonts w:hint="eastAsia" w:ascii="仿宋" w:hAnsi="仿宋" w:eastAsia="仿宋" w:cs="仿宋"/>
          <w:color w:val="000000"/>
          <w:sz w:val="32"/>
          <w:szCs w:val="32"/>
          <w:shd w:val="clear" w:color="auto" w:fill="FFFFFF"/>
        </w:rPr>
        <w:t>项目实施单位的财务制度健全，项目资金使用符合相关的财务管理制度规定。通过</w:t>
      </w:r>
      <w:r>
        <w:rPr>
          <w:rFonts w:hint="eastAsia" w:ascii="仿宋" w:hAnsi="仿宋" w:eastAsia="仿宋" w:cs="仿宋"/>
          <w:sz w:val="32"/>
          <w:szCs w:val="32"/>
        </w:rPr>
        <w:t>对管理制度健全性、资金使用合规性和财务监控有效性等情况进行分析后，根据指标体系评分标准计算分值为10分。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b/>
          <w:bCs/>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（三）项目产出</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项目预期绩效总目标，该工程工期9个月，总投资2.05亿元。南太平河综合整治工程一期工程2019年10月5日进场开始施工，2020年6月完工。按照合同工期要求工程正在如期进行，已经完成的各项施工内容，均通过中期验收，质量合格。通过对项目的实际完成率、完成及时率、质量达标率、成本节约率等情况进行分析后，根据指标体系评分标准计算分值为2</w:t>
      </w:r>
      <w:r>
        <w:rPr>
          <w:rFonts w:hint="eastAsia" w:ascii="仿宋" w:hAnsi="仿宋" w:eastAsia="仿宋" w:cs="仿宋"/>
          <w:sz w:val="32"/>
          <w:szCs w:val="32"/>
          <w:lang w:val="en-US" w:eastAsia="zh-CN"/>
        </w:rPr>
        <w:t>3</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（四）项目效果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工程实施后改变南太平河河道脏乱差的现状，提升河道整体形象，生态修复河道，打造全域旅游系统的人文廊道。通过对项目的经济效益、社会效益、生态效益、可持续影响和社会公众或服务对象满意度等情况进行分析后，根据指标体系评分标准计算分值为1</w:t>
      </w:r>
      <w:r>
        <w:rPr>
          <w:rFonts w:hint="eastAsia" w:ascii="仿宋" w:hAnsi="仿宋" w:eastAsia="仿宋" w:cs="仿宋"/>
          <w:sz w:val="32"/>
          <w:szCs w:val="32"/>
          <w:lang w:val="en-US" w:eastAsia="zh-CN"/>
        </w:rPr>
        <w:t>6</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四、项目综合评价结论和评价等级</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根据项目执行情况和项目绩效情况，给出总得分</w:t>
      </w:r>
      <w:r>
        <w:rPr>
          <w:rFonts w:hint="eastAsia" w:ascii="仿宋" w:hAnsi="仿宋" w:eastAsia="仿宋" w:cs="仿宋"/>
          <w:sz w:val="32"/>
          <w:szCs w:val="32"/>
          <w:lang w:val="en-US" w:eastAsia="zh-CN"/>
        </w:rPr>
        <w:t>90</w:t>
      </w:r>
      <w:r>
        <w:rPr>
          <w:rFonts w:hint="eastAsia" w:ascii="仿宋" w:hAnsi="仿宋" w:eastAsia="仿宋" w:cs="仿宋"/>
          <w:sz w:val="32"/>
          <w:szCs w:val="32"/>
        </w:rPr>
        <w:t>分，等级为优秀。</w:t>
      </w:r>
      <w:bookmarkStart w:id="0" w:name="_GoBack"/>
      <w:bookmarkEnd w:id="0"/>
    </w:p>
    <w:p>
      <w:pPr>
        <w:keepNext w:val="0"/>
        <w:keepLines w:val="0"/>
        <w:pageBreakBefore w:val="0"/>
        <w:widowControl w:val="0"/>
        <w:kinsoku/>
        <w:wordWrap/>
        <w:overflowPunct/>
        <w:topLinePunct w:val="0"/>
        <w:autoSpaceDE/>
        <w:autoSpaceDN/>
        <w:bidi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五、存在的问题及改进措施</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（一）项目存在的主要问题</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无</w:t>
      </w:r>
    </w:p>
    <w:p>
      <w:pPr>
        <w:keepNext w:val="0"/>
        <w:keepLines w:val="0"/>
        <w:pageBreakBefore w:val="0"/>
        <w:widowControl w:val="0"/>
        <w:kinsoku/>
        <w:wordWrap/>
        <w:overflowPunct/>
        <w:topLinePunct w:val="0"/>
        <w:autoSpaceDE/>
        <w:autoSpaceDN/>
        <w:bidi w:val="0"/>
        <w:spacing w:line="560" w:lineRule="exact"/>
        <w:ind w:left="481" w:firstLine="320" w:firstLineChars="100"/>
        <w:textAlignment w:val="auto"/>
        <w:outlineLvl w:val="9"/>
        <w:rPr>
          <w:rFonts w:ascii="仿宋" w:hAnsi="仿宋" w:eastAsia="仿宋" w:cs="仿宋"/>
          <w:sz w:val="32"/>
          <w:szCs w:val="32"/>
        </w:rPr>
      </w:pPr>
      <w:r>
        <w:rPr>
          <w:rFonts w:hint="eastAsia" w:ascii="仿宋" w:hAnsi="仿宋" w:eastAsia="仿宋" w:cs="仿宋"/>
          <w:sz w:val="32"/>
          <w:szCs w:val="32"/>
        </w:rPr>
        <w:t>(二）针对问题提出具体的改进措施或建议</w:t>
      </w:r>
    </w:p>
    <w:p>
      <w:pPr>
        <w:keepNext w:val="0"/>
        <w:keepLines w:val="0"/>
        <w:pageBreakBefore w:val="0"/>
        <w:widowControl w:val="0"/>
        <w:kinsoku/>
        <w:wordWrap/>
        <w:overflowPunct/>
        <w:topLinePunct w:val="0"/>
        <w:autoSpaceDE/>
        <w:autoSpaceDN/>
        <w:bidi w:val="0"/>
        <w:spacing w:line="560" w:lineRule="exact"/>
        <w:ind w:left="481"/>
        <w:textAlignment w:val="auto"/>
        <w:outlineLvl w:val="9"/>
        <w:rPr>
          <w:rFonts w:ascii="仿宋" w:hAnsi="仿宋" w:eastAsia="仿宋" w:cs="仿宋"/>
          <w:sz w:val="32"/>
          <w:szCs w:val="32"/>
        </w:rPr>
      </w:pPr>
      <w:r>
        <w:rPr>
          <w:rFonts w:hint="eastAsia" w:ascii="仿宋" w:hAnsi="仿宋" w:eastAsia="仿宋" w:cs="仿宋"/>
          <w:sz w:val="32"/>
          <w:szCs w:val="32"/>
        </w:rPr>
        <w:t xml:space="preserve"> 无</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评价工作组人员名单及签字</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评价工作小组人员名单:</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组长：杜树森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副组长：王永丽、张彬、杜彦章、刘猛、封惠贞</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成员：贡素馨、米建欣、赵利强、崔潇文、张仁和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评价工作小组人员签字：</w:t>
      </w:r>
    </w:p>
    <w:p>
      <w:pPr>
        <w:keepNext w:val="0"/>
        <w:keepLines w:val="0"/>
        <w:pageBreakBefore w:val="0"/>
        <w:widowControl w:val="0"/>
        <w:kinsoku/>
        <w:wordWrap/>
        <w:overflowPunct/>
        <w:topLinePunct w:val="0"/>
        <w:autoSpaceDE/>
        <w:autoSpaceDN/>
        <w:bidi w:val="0"/>
        <w:spacing w:line="560" w:lineRule="exact"/>
        <w:textAlignment w:val="auto"/>
        <w:outlineLvl w:val="9"/>
      </w:pPr>
    </w:p>
    <w:sectPr>
      <w:headerReference r:id="rId3" w:type="first"/>
      <w:footerReference r:id="rId6" w:type="first"/>
      <w:footerReference r:id="rId4" w:type="default"/>
      <w:footerReference r:id="rId5" w:type="even"/>
      <w:pgSz w:w="11906" w:h="16838"/>
      <w:pgMar w:top="1361" w:right="1361" w:bottom="1361" w:left="1417" w:header="851" w:footer="992" w:gutter="0"/>
      <w:cols w:space="0" w:num="1"/>
      <w:titlePg/>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0000000000000000000"/>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fldChar w:fldCharType="begin"/>
    </w:r>
    <w:r>
      <w:rPr>
        <w:rStyle w:val="5"/>
      </w:rPr>
      <w:instrText xml:space="preserve">PAGE  </w:instrText>
    </w:r>
    <w:r>
      <w:fldChar w:fldCharType="separate"/>
    </w:r>
    <w:r>
      <w:rPr>
        <w:rStyle w:val="5"/>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D0C9455"/>
    <w:multiLevelType w:val="singleLevel"/>
    <w:tmpl w:val="AD0C9455"/>
    <w:lvl w:ilvl="0" w:tentative="0">
      <w:start w:val="6"/>
      <w:numFmt w:val="chineseCounting"/>
      <w:suff w:val="nothing"/>
      <w:lvlText w:val="%1、"/>
      <w:lvlJc w:val="left"/>
      <w:rPr>
        <w:rFonts w:hint="eastAsia"/>
      </w:rPr>
    </w:lvl>
  </w:abstractNum>
  <w:abstractNum w:abstractNumId="1">
    <w:nsid w:val="311CF18F"/>
    <w:multiLevelType w:val="singleLevel"/>
    <w:tmpl w:val="311CF18F"/>
    <w:lvl w:ilvl="0" w:tentative="0">
      <w:start w:val="2"/>
      <w:numFmt w:val="chineseCounting"/>
      <w:suff w:val="nothing"/>
      <w:lvlText w:val="（%1）"/>
      <w:lvlJc w:val="left"/>
      <w:pPr>
        <w:ind w:left="481" w:firstLine="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characterSpacingControl w:val="doNotCompress"/>
  <w:compat>
    <w:useFELayout/>
    <w:compatSetting w:name="compatibilityMode" w:uri="http://schemas.microsoft.com/office/word" w:val="12"/>
  </w:compat>
  <w:rsids>
    <w:rsidRoot w:val="46DB7A0E"/>
    <w:rsid w:val="00016F2C"/>
    <w:rsid w:val="006B4886"/>
    <w:rsid w:val="009B7F06"/>
    <w:rsid w:val="3A365E5D"/>
    <w:rsid w:val="46DB7A0E"/>
    <w:rsid w:val="605310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5">
    <w:name w:val="page number"/>
    <w:basedOn w:val="4"/>
    <w:qFormat/>
    <w:uiPriority w:val="0"/>
  </w:style>
  <w:style w:type="paragraph" w:customStyle="1" w:styleId="7">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316</Words>
  <Characters>1805</Characters>
  <Lines>15</Lines>
  <Paragraphs>4</Paragraphs>
  <TotalTime>0</TotalTime>
  <ScaleCrop>false</ScaleCrop>
  <LinksUpToDate>false</LinksUpToDate>
  <CharactersWithSpaces>2117</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2020-01-05T05:23:00Z</dcterms:created>
  <dc:creator>快乐一生</dc:creator>
  <cp:lastModifiedBy>Administrator</cp:lastModifiedBy>
  <dcterms:modified xsi:type="dcterms:W3CDTF">2020-01-07T02:13:44Z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