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sz w:val="36"/>
          <w:szCs w:val="36"/>
        </w:rPr>
      </w:pPr>
      <w:r>
        <w:rPr>
          <w:rFonts w:hint="eastAsia" w:ascii="宋体" w:hAnsi="宋体" w:cs="黑体"/>
          <w:b/>
          <w:bCs/>
          <w:sz w:val="36"/>
          <w:szCs w:val="36"/>
        </w:rPr>
        <w:t>省旅发会亮化</w:t>
      </w:r>
      <w:r>
        <w:rPr>
          <w:rFonts w:hint="eastAsia" w:ascii="宋体" w:hAnsi="宋体"/>
          <w:b/>
          <w:bCs/>
          <w:sz w:val="36"/>
          <w:szCs w:val="36"/>
        </w:rPr>
        <w:t>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w:t>
      </w:r>
      <w:r>
        <w:rPr>
          <w:rFonts w:ascii="仿宋_GB2312" w:eastAsia="仿宋_GB2312"/>
          <w:sz w:val="32"/>
          <w:szCs w:val="32"/>
        </w:rPr>
        <w:t>[2019]65</w:t>
      </w:r>
      <w:r>
        <w:rPr>
          <w:rFonts w:hint="eastAsia" w:ascii="仿宋_GB2312" w:eastAsia="仿宋_GB2312"/>
          <w:sz w:val="32"/>
          <w:szCs w:val="32"/>
        </w:rPr>
        <w:t>号），遵循“科学性、规范性、客观性和公正性”的原则，对</w:t>
      </w:r>
      <w:r>
        <w:rPr>
          <w:rFonts w:hint="eastAsia" w:ascii="仿宋_GB2312" w:hAnsi="宋体" w:eastAsia="仿宋_GB2312" w:cs="黑体"/>
          <w:bCs/>
          <w:sz w:val="32"/>
          <w:szCs w:val="32"/>
        </w:rPr>
        <w:t>省旅发会亮化</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w:t>
      </w:r>
      <w:r>
        <w:rPr>
          <w:rFonts w:hint="eastAsia" w:ascii="仿宋_GB2312" w:eastAsia="仿宋_GB2312"/>
          <w:sz w:val="32"/>
          <w:szCs w:val="32"/>
        </w:rPr>
        <w:t>项目实施单位及项目立项等基本情况；实施单位是石家庄市鹿泉区公用事业管理中心，项目立项已列入2019年鹿泉区政府</w:t>
      </w:r>
      <w:r>
        <w:rPr>
          <w:rFonts w:hint="eastAsia" w:ascii="仿宋_GB2312" w:eastAsia="仿宋_GB2312"/>
          <w:sz w:val="32"/>
          <w:szCs w:val="32"/>
        </w:rPr>
        <w:t>投资建设项目计划。</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2.项目主要实施内容和范围；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对鹿城一号4栋</w:t>
      </w:r>
      <w:bookmarkStart w:id="0" w:name="_GoBack"/>
      <w:bookmarkEnd w:id="0"/>
      <w:r>
        <w:rPr>
          <w:rFonts w:hint="eastAsia" w:ascii="仿宋_GB2312" w:eastAsia="仿宋_GB2312"/>
          <w:sz w:val="32"/>
          <w:szCs w:val="32"/>
        </w:rPr>
        <w:t>楼体、环保宿舍3栋楼体、三街宿舍楼、财政局宿舍等9栋楼体进行亮化。</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3.</w:t>
      </w:r>
      <w:r>
        <w:rPr>
          <w:rFonts w:hint="eastAsia" w:ascii="仿宋_GB2312" w:eastAsia="仿宋_GB2312"/>
          <w:sz w:val="32"/>
          <w:szCs w:val="32"/>
        </w:rPr>
        <w:t>项目资金投入情况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该项目总投资约</w:t>
      </w:r>
      <w:r>
        <w:rPr>
          <w:rFonts w:hint="eastAsia" w:ascii="仿宋_GB2312" w:eastAsia="仿宋_GB2312"/>
          <w:sz w:val="32"/>
          <w:szCs w:val="32"/>
          <w:lang w:val="en-US" w:eastAsia="zh-CN"/>
        </w:rPr>
        <w:t>68.1万元，项目资金来源为本级财政资金，2019年度财政调整安排资金54.54万元。</w:t>
      </w:r>
    </w:p>
    <w:p>
      <w:pPr>
        <w:adjustRightInd w:val="0"/>
        <w:snapToGrid w:val="0"/>
        <w:spacing w:line="360" w:lineRule="auto"/>
        <w:ind w:firstLine="640" w:firstLineChars="200"/>
        <w:rPr>
          <w:rFonts w:ascii="楷体_GB2312" w:hAnsi="楷体_GB2312" w:eastAsia="楷体_GB2312" w:cs="楷体_GB2312"/>
          <w:b/>
          <w:bCs/>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（二）项目预期绩效目标</w:t>
      </w:r>
    </w:p>
    <w:p>
      <w:pPr>
        <w:adjustRightInd w:val="0"/>
        <w:snapToGrid w:val="0"/>
        <w:spacing w:line="360" w:lineRule="auto"/>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项目预期绩效总目标，阶段性（当年）的绩效目标和指标；</w:t>
      </w:r>
    </w:p>
    <w:p>
      <w:pPr>
        <w:adjustRightInd w:val="0"/>
        <w:snapToGrid w:val="0"/>
        <w:spacing w:line="360" w:lineRule="auto"/>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完成鹿城一号</w:t>
      </w:r>
      <w:r>
        <w:rPr>
          <w:rFonts w:ascii="仿宋_GB2312" w:eastAsia="仿宋_GB2312"/>
          <w:color w:val="000000" w:themeColor="text1"/>
          <w:sz w:val="32"/>
          <w:szCs w:val="32"/>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栋、环保宿舍</w:t>
      </w:r>
      <w:r>
        <w:rPr>
          <w:rFonts w:ascii="仿宋_GB2312" w:eastAsia="仿宋_GB2312"/>
          <w:color w:val="000000" w:themeColor="text1"/>
          <w:sz w:val="32"/>
          <w:szCs w:val="32"/>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栋、三街宿舍楼、财政局宿舍等</w:t>
      </w:r>
      <w:r>
        <w:rPr>
          <w:rFonts w:ascii="仿宋_GB2312" w:eastAsia="仿宋_GB2312"/>
          <w:color w:val="000000" w:themeColor="text1"/>
          <w:sz w:val="32"/>
          <w:szCs w:val="32"/>
          <w14:textFill>
            <w14:solidFill>
              <w14:schemeClr w14:val="tx1"/>
            </w14:solidFill>
          </w14:textFill>
        </w:rPr>
        <w:t>9</w:t>
      </w:r>
      <w:r>
        <w:rPr>
          <w:rFonts w:hint="eastAsia" w:ascii="仿宋_GB2312" w:eastAsia="仿宋_GB2312"/>
          <w:color w:val="000000" w:themeColor="text1"/>
          <w:sz w:val="32"/>
          <w:szCs w:val="32"/>
          <w14:textFill>
            <w14:solidFill>
              <w14:schemeClr w14:val="tx1"/>
            </w14:solidFill>
          </w14:textFill>
        </w:rPr>
        <w:t>栋楼亮化。</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2019</w:t>
      </w:r>
      <w:r>
        <w:rPr>
          <w:rFonts w:hint="eastAsia" w:ascii="仿宋_GB2312" w:eastAsia="仿宋_GB2312"/>
          <w:sz w:val="32"/>
          <w:szCs w:val="32"/>
        </w:rPr>
        <w:t>年全部完成。</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说明项目评价资料收集、评价过程、评价工作管理组织等情况。</w:t>
      </w:r>
    </w:p>
    <w:p>
      <w:pPr>
        <w:rPr>
          <w:rFonts w:hint="eastAsia" w:ascii="楷体_GB2312" w:hAnsi="楷体_GB2312" w:eastAsia="楷体_GB2312" w:cs="楷体_GB2312"/>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楷体_GB2312" w:hAnsi="楷体_GB2312" w:eastAsia="楷体_GB2312" w:cs="楷体_GB2312"/>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rPr>
          <w:rFonts w:ascii="仿宋_GB2312" w:eastAsia="仿宋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在开展预算绩效评价工作时，针对具体绩效评价对象的特点，设计具体的绩效评价指标体系。除共性指标外，必须设置能够体现项目特点和绩效的个性指标；项目产出指标与项目效果指标设置数量在</w:t>
      </w:r>
      <w:r>
        <w:rPr>
          <w:rFonts w:ascii="仿宋_GB2312" w:eastAsia="仿宋_GB2312"/>
          <w:sz w:val="32"/>
          <w:szCs w:val="32"/>
        </w:rPr>
        <w:t>8</w:t>
      </w:r>
      <w:r>
        <w:rPr>
          <w:rFonts w:hint="eastAsia" w:ascii="仿宋_GB2312" w:eastAsia="仿宋_GB2312"/>
          <w:sz w:val="32"/>
          <w:szCs w:val="32"/>
        </w:rPr>
        <w:t>个（含）以上，分值权重占总体的</w:t>
      </w:r>
      <w:r>
        <w:rPr>
          <w:rFonts w:ascii="仿宋_GB2312" w:eastAsia="仿宋_GB2312"/>
          <w:sz w:val="32"/>
          <w:szCs w:val="32"/>
        </w:rPr>
        <w:t>65%</w:t>
      </w:r>
      <w:r>
        <w:rPr>
          <w:rFonts w:hint="eastAsia" w:ascii="仿宋_GB2312" w:eastAsia="仿宋_GB2312"/>
          <w:sz w:val="32"/>
          <w:szCs w:val="32"/>
        </w:rPr>
        <w:t>以上。</w:t>
      </w:r>
    </w:p>
    <w:p>
      <w:pPr>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ascii="楷体_GB2312" w:hAnsi="楷体_GB2312" w:eastAsia="楷体_GB2312" w:cs="楷体_GB2312"/>
          <w:sz w:val="32"/>
          <w:szCs w:val="32"/>
        </w:rPr>
        <w:t xml:space="preserve">   </w:t>
      </w:r>
      <w:r>
        <w:rPr>
          <w:rFonts w:hint="eastAsia" w:ascii="楷体_GB2312" w:hAnsi="楷体_GB2312" w:eastAsia="楷体_GB2312" w:cs="楷体_GB2312"/>
          <w:sz w:val="32"/>
          <w:szCs w:val="32"/>
        </w:rPr>
        <w:t>（一）项目投入</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项目立项情况分析。对项目立项规范性、绩效目标合理性和绩效指标明确性等情况进行分析后，根据指标体系评分标准计算分值。</w:t>
      </w:r>
    </w:p>
    <w:p>
      <w:pPr>
        <w:ind w:firstLine="640" w:firstLineChars="200"/>
        <w:rPr>
          <w:rFonts w:hint="eastAsia"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资金落实情况分析。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2019年度财政拨付该项目建设资金54.54万元，按照合同约定我中心已全部支付。</w:t>
      </w:r>
    </w:p>
    <w:p>
      <w:pPr>
        <w:ind w:firstLine="640" w:firstLineChars="200"/>
        <w:rPr>
          <w:rFonts w:ascii="仿宋_GB2312" w:eastAsia="仿宋_GB2312"/>
          <w:sz w:val="32"/>
          <w:szCs w:val="32"/>
        </w:rPr>
      </w:pPr>
      <w:r>
        <w:rPr>
          <w:rFonts w:hint="eastAsia" w:ascii="仿宋_GB2312" w:eastAsia="仿宋_GB2312"/>
          <w:sz w:val="32"/>
          <w:szCs w:val="32"/>
        </w:rPr>
        <w:t>对资金到位率和到位及时率等情况进行分析后，根据指标体系评分标准计算分值。</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业务管理情况分析。对管理制度健全性、制度执行有效性和项目质量可控性等情况进行分析后，根据指标体系评分标准计算分值。</w:t>
      </w:r>
    </w:p>
    <w:p>
      <w:pPr>
        <w:ind w:firstLine="640" w:firstLineChars="200"/>
        <w:rPr>
          <w:rFonts w:ascii="仿宋_GB2312" w:eastAsia="仿宋_GB2312"/>
          <w:sz w:val="32"/>
          <w:szCs w:val="32"/>
        </w:rPr>
      </w:pPr>
      <w:r>
        <w:rPr>
          <w:rFonts w:hint="eastAsia" w:ascii="仿宋_GB2312" w:eastAsia="仿宋_GB2312"/>
          <w:color w:val="000000" w:themeColor="text1"/>
          <w:sz w:val="32"/>
          <w:szCs w:val="32"/>
          <w14:textFill>
            <w14:solidFill>
              <w14:schemeClr w14:val="tx1"/>
            </w14:solidFill>
          </w14:textFill>
        </w:rPr>
        <w:t>制定了管理制度，管理制度健全；项目实施中严格按照管理制度，制度能够有效执行；项目质量由施工单位自检、监理单位抽检，项目质量可控。</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财务管理。对管理制度健全性、资金使用合规性和财务监控有效性等情况进行分析后，根据指标体系评分标准计算分值。</w:t>
      </w:r>
    </w:p>
    <w:p>
      <w:pPr>
        <w:rPr>
          <w:rFonts w:ascii="仿宋_GB2312" w:eastAsia="仿宋_GB2312"/>
          <w:b/>
          <w:bCs/>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ascii="仿宋_GB2312" w:eastAsia="仿宋_GB2312"/>
          <w:sz w:val="32"/>
          <w:szCs w:val="32"/>
        </w:rPr>
      </w:pPr>
      <w:r>
        <w:rPr>
          <w:rFonts w:hint="eastAsia" w:ascii="仿宋_GB2312" w:eastAsia="仿宋_GB2312"/>
          <w:sz w:val="32"/>
          <w:szCs w:val="32"/>
        </w:rPr>
        <w:t>对项目的实际完成率、完成及时率、质量达标率、成本节约率等情况进行分析后，根据指标体系评分标准计算分值。</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对项目的实际完成率、完成及时率、质量达标率、成本节约率等情况进行分析后，根据指标体系评分标准计算分值。</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项目实际完成率</w:t>
      </w:r>
      <w:r>
        <w:rPr>
          <w:rFonts w:ascii="仿宋_GB2312" w:eastAsia="仿宋_GB2312"/>
          <w:color w:val="000000" w:themeColor="text1"/>
          <w:sz w:val="32"/>
          <w:szCs w:val="32"/>
          <w14:textFill>
            <w14:solidFill>
              <w14:schemeClr w14:val="tx1"/>
            </w14:solidFill>
          </w14:textFill>
        </w:rPr>
        <w:t>100%</w:t>
      </w:r>
      <w:r>
        <w:rPr>
          <w:rFonts w:hint="eastAsia" w:ascii="仿宋_GB2312" w:eastAsia="仿宋_GB2312"/>
          <w:color w:val="000000" w:themeColor="text1"/>
          <w:sz w:val="32"/>
          <w:szCs w:val="32"/>
          <w14:textFill>
            <w14:solidFill>
              <w14:schemeClr w14:val="tx1"/>
            </w14:solidFill>
          </w14:textFill>
        </w:rPr>
        <w:t>。</w:t>
      </w:r>
    </w:p>
    <w:p>
      <w:pPr>
        <w:ind w:firstLine="640" w:firstLineChars="200"/>
        <w:rPr>
          <w:rFonts w:ascii="仿宋_GB2312" w:eastAsia="仿宋_GB2312"/>
          <w:sz w:val="32"/>
          <w:szCs w:val="32"/>
        </w:rPr>
      </w:pPr>
      <w:r>
        <w:rPr>
          <w:rFonts w:hint="eastAsia" w:ascii="仿宋_GB2312" w:eastAsia="仿宋_GB2312"/>
          <w:color w:val="000000" w:themeColor="text1"/>
          <w:sz w:val="32"/>
          <w:szCs w:val="32"/>
          <w14:textFill>
            <w14:solidFill>
              <w14:schemeClr w14:val="tx1"/>
            </w14:solidFill>
          </w14:textFill>
        </w:rPr>
        <w:t>完成及时率</w:t>
      </w:r>
    </w:p>
    <w:p>
      <w:pPr>
        <w:rPr>
          <w:rFonts w:ascii="楷体_GB2312" w:hAnsi="楷体_GB2312" w:eastAsia="楷体_GB2312" w:cs="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对项目的经济效益、社会效益、生态效益、可持续影响和社会公众或服务对象满意度等情况进行分析后，根据指标体系评分标准计算分值。</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经济效益：产生间接经济效益。项目完成后，可以吸引更多的外地游客，到我区进行旅游、观光，拉动经济增长。</w:t>
      </w:r>
    </w:p>
    <w:p>
      <w:pPr>
        <w:ind w:firstLine="640" w:firstLineChars="200"/>
        <w:rPr>
          <w:rFonts w:ascii="仿宋_GB2312" w:eastAsia="仿宋_GB2312"/>
          <w:sz w:val="32"/>
          <w:szCs w:val="32"/>
        </w:rPr>
      </w:pPr>
      <w:r>
        <w:rPr>
          <w:rFonts w:hint="eastAsia" w:ascii="仿宋_GB2312" w:eastAsia="仿宋_GB2312"/>
          <w:color w:val="000000" w:themeColor="text1"/>
          <w:sz w:val="32"/>
          <w:szCs w:val="32"/>
          <w14:textFill>
            <w14:solidFill>
              <w14:schemeClr w14:val="tx1"/>
            </w14:solidFill>
          </w14:textFill>
        </w:rPr>
        <w:t>服务对象满意度情况：满意度≥</w:t>
      </w:r>
      <w:r>
        <w:rPr>
          <w:rFonts w:ascii="仿宋_GB2312" w:eastAsia="仿宋_GB2312"/>
          <w:color w:val="000000" w:themeColor="text1"/>
          <w:sz w:val="32"/>
          <w:szCs w:val="32"/>
          <w14:textFill>
            <w14:solidFill>
              <w14:schemeClr w14:val="tx1"/>
            </w14:solidFill>
          </w14:textFill>
        </w:rPr>
        <w:t>90%</w:t>
      </w:r>
      <w:r>
        <w:rPr>
          <w:rFonts w:hint="eastAsia" w:ascii="仿宋_GB2312" w:eastAsia="仿宋_GB2312"/>
          <w:color w:val="000000" w:themeColor="text1"/>
          <w:sz w:val="32"/>
          <w:szCs w:val="32"/>
          <w14:textFill>
            <w14:solidFill>
              <w14:schemeClr w14:val="tx1"/>
            </w14:solidFill>
          </w14:textFill>
        </w:rPr>
        <w:t>。</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根据项目执行情况和项目绩效情况，给出总得分，指标体系设定满分</w:t>
      </w:r>
      <w:r>
        <w:rPr>
          <w:rFonts w:ascii="仿宋_GB2312" w:eastAsia="仿宋_GB2312"/>
          <w:sz w:val="32"/>
          <w:szCs w:val="32"/>
        </w:rPr>
        <w:t>100</w:t>
      </w:r>
      <w:r>
        <w:rPr>
          <w:rFonts w:hint="eastAsia" w:ascii="仿宋_GB2312" w:eastAsia="仿宋_GB2312"/>
          <w:sz w:val="32"/>
          <w:szCs w:val="32"/>
        </w:rPr>
        <w:t>分，得出综合评价结论和项目综合绩效评价等级。项目综合绩效评价分为</w:t>
      </w:r>
      <w:r>
        <w:rPr>
          <w:rFonts w:ascii="仿宋_GB2312" w:eastAsia="仿宋_GB2312"/>
          <w:sz w:val="32"/>
          <w:szCs w:val="32"/>
        </w:rPr>
        <w:t>4</w:t>
      </w:r>
      <w:r>
        <w:rPr>
          <w:rFonts w:hint="eastAsia" w:ascii="仿宋_GB2312" w:eastAsia="仿宋_GB2312"/>
          <w:sz w:val="32"/>
          <w:szCs w:val="32"/>
        </w:rPr>
        <w:t>个等级：得分</w:t>
      </w:r>
      <w:r>
        <w:rPr>
          <w:rFonts w:ascii="Arial" w:hAnsi="Arial" w:eastAsia="仿宋_GB2312" w:cs="Arial"/>
          <w:sz w:val="32"/>
          <w:szCs w:val="32"/>
        </w:rPr>
        <w:t>≥</w:t>
      </w:r>
      <w:r>
        <w:rPr>
          <w:rFonts w:ascii="仿宋_GB2312" w:eastAsia="仿宋_GB2312"/>
          <w:sz w:val="32"/>
          <w:szCs w:val="32"/>
        </w:rPr>
        <w:t>85</w:t>
      </w:r>
      <w:r>
        <w:rPr>
          <w:rFonts w:hint="eastAsia" w:ascii="仿宋_GB2312" w:eastAsia="仿宋_GB2312"/>
          <w:sz w:val="32"/>
          <w:szCs w:val="32"/>
        </w:rPr>
        <w:t>分为优秀；</w:t>
      </w:r>
      <w:r>
        <w:rPr>
          <w:rFonts w:ascii="仿宋_GB2312" w:eastAsia="仿宋_GB2312"/>
          <w:sz w:val="32"/>
          <w:szCs w:val="32"/>
        </w:rPr>
        <w:t>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ascii="仿宋_GB2312" w:eastAsia="仿宋_GB2312"/>
          <w:sz w:val="32"/>
          <w:szCs w:val="32"/>
        </w:rPr>
        <w:t>85</w:t>
      </w:r>
      <w:r>
        <w:rPr>
          <w:rFonts w:hint="eastAsia" w:ascii="仿宋_GB2312" w:eastAsia="仿宋_GB2312"/>
          <w:sz w:val="32"/>
          <w:szCs w:val="32"/>
        </w:rPr>
        <w:t>分为良好；</w:t>
      </w:r>
      <w:r>
        <w:rPr>
          <w:rFonts w:ascii="仿宋_GB2312" w:eastAsia="仿宋_GB2312"/>
          <w:sz w:val="32"/>
          <w:szCs w:val="32"/>
        </w:rPr>
        <w:t>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ascii="仿宋_GB2312" w:eastAsia="仿宋_GB2312"/>
          <w:sz w:val="32"/>
          <w:szCs w:val="32"/>
        </w:rPr>
        <w:t>75</w:t>
      </w:r>
      <w:r>
        <w:rPr>
          <w:rFonts w:hint="eastAsia" w:ascii="仿宋_GB2312" w:eastAsia="仿宋_GB2312"/>
          <w:sz w:val="32"/>
          <w:szCs w:val="32"/>
        </w:rPr>
        <w:t>分为一般；得分</w:t>
      </w:r>
      <w:r>
        <w:rPr>
          <w:rFonts w:hint="eastAsia" w:ascii="仿宋_GB2312" w:hAnsi="仿宋_GB2312" w:eastAsia="仿宋_GB2312"/>
          <w:sz w:val="32"/>
          <w:szCs w:val="32"/>
        </w:rPr>
        <w:t>＜</w:t>
      </w:r>
      <w:r>
        <w:rPr>
          <w:rFonts w:ascii="仿宋_GB2312" w:eastAsia="仿宋_GB2312"/>
          <w:sz w:val="32"/>
          <w:szCs w:val="32"/>
        </w:rPr>
        <w:t>60</w:t>
      </w:r>
      <w:r>
        <w:rPr>
          <w:rFonts w:hint="eastAsia" w:ascii="仿宋_GB2312" w:eastAsia="仿宋_GB2312"/>
          <w:sz w:val="32"/>
          <w:szCs w:val="32"/>
        </w:rPr>
        <w:t>分为较差。</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楷体_GB2312" w:hAnsi="楷体_GB2312" w:eastAsia="楷体_GB2312"/>
          <w:sz w:val="32"/>
          <w:szCs w:val="32"/>
        </w:rPr>
      </w:pPr>
      <w:r>
        <w:rPr>
          <w:rFonts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ascii="楷体_GB2312" w:hAnsi="楷体_GB2312" w:eastAsia="楷体_GB2312"/>
          <w:sz w:val="32"/>
          <w:szCs w:val="32"/>
        </w:rPr>
      </w:pPr>
      <w:r>
        <w:rPr>
          <w:rFonts w:ascii="楷体_GB2312" w:hAnsi="楷体_GB2312" w:eastAsia="楷体_GB2312"/>
          <w:sz w:val="32"/>
          <w:szCs w:val="32"/>
        </w:rPr>
        <w:t xml:space="preserve">   </w:t>
      </w:r>
      <w:r>
        <w:rPr>
          <w:rFonts w:hint="eastAsia" w:ascii="楷体_GB2312" w:hAnsi="楷体_GB2312" w:eastAsia="楷体_GB2312"/>
          <w:sz w:val="32"/>
          <w:szCs w:val="32"/>
        </w:rPr>
        <w:t>（二）针对问题提出具体的改进措施或建议</w:t>
      </w:r>
    </w:p>
    <w:p>
      <w:pPr>
        <w:numPr>
          <w:ilvl w:val="0"/>
          <w:numId w:val="1"/>
        </w:num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组长：</w:t>
      </w:r>
      <w:r>
        <w:rPr>
          <w:rFonts w:hint="eastAsia" w:ascii="仿宋" w:hAnsi="仿宋" w:eastAsia="仿宋" w:cs="仿宋"/>
          <w:sz w:val="32"/>
          <w:szCs w:val="32"/>
          <w:lang w:eastAsia="zh-CN"/>
        </w:rPr>
        <w:t>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副组长：</w:t>
      </w:r>
      <w:r>
        <w:rPr>
          <w:rFonts w:hint="eastAsia" w:ascii="仿宋" w:hAnsi="仿宋" w:eastAsia="仿宋" w:cs="仿宋"/>
          <w:sz w:val="32"/>
          <w:szCs w:val="32"/>
          <w:lang w:eastAsia="zh-CN"/>
        </w:rPr>
        <w:t>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成员</w:t>
      </w:r>
      <w:r>
        <w:rPr>
          <w:rFonts w:hint="eastAsia" w:ascii="仿宋" w:hAnsi="仿宋" w:eastAsia="仿宋" w:cs="仿宋"/>
          <w:sz w:val="32"/>
          <w:szCs w:val="32"/>
          <w:lang w:eastAsia="zh-CN"/>
        </w:rPr>
        <w:t>：贡素馨、米建欣、赵利强、崔潇文、张仁和</w:t>
      </w:r>
    </w:p>
    <w:p>
      <w:pPr>
        <w:numPr>
          <w:ilvl w:val="0"/>
          <w:numId w:val="0"/>
        </w:numPr>
        <w:adjustRightInd w:val="0"/>
        <w:snapToGrid w:val="0"/>
        <w:spacing w:line="360" w:lineRule="auto"/>
        <w:rPr>
          <w:rFonts w:ascii="仿宋_GB2312" w:eastAsia="仿宋_GB2312"/>
          <w:sz w:val="32"/>
          <w:szCs w:val="32"/>
        </w:rPr>
      </w:pPr>
      <w:r>
        <w:rPr>
          <w:rFonts w:hint="eastAsia" w:ascii="仿宋" w:hAnsi="仿宋" w:eastAsia="仿宋" w:cs="仿宋"/>
          <w:sz w:val="32"/>
          <w:szCs w:val="32"/>
        </w:rPr>
        <w:t>评价工作小组人员签字：</w:t>
      </w: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hint="eastAsia"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附件：项目支出绩效评价共性指标体系框架</w:t>
      </w:r>
    </w:p>
    <w:p>
      <w:pPr>
        <w:adjustRightInd w:val="0"/>
        <w:spacing w:line="360" w:lineRule="auto"/>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b/>
          <w:color w:val="000000"/>
          <w:sz w:val="32"/>
          <w:shd w:val="clear" w:color="auto" w:fill="FFFFFF"/>
        </w:rPr>
      </w:pPr>
      <w:r>
        <w:rPr>
          <w:rFonts w:ascii="宋体" w:hAnsi="宋体"/>
          <w:b/>
          <w:color w:val="000000"/>
          <w:sz w:val="32"/>
          <w:shd w:val="clear" w:color="auto" w:fill="FFFFFF"/>
        </w:rPr>
        <w:t xml:space="preserve">      </w:t>
      </w:r>
      <w:r>
        <w:rPr>
          <w:rFonts w:hint="eastAsia" w:ascii="宋体" w:hAnsi="宋体"/>
          <w:b/>
          <w:color w:val="000000"/>
          <w:sz w:val="32"/>
          <w:shd w:val="clear" w:color="auto" w:fill="FFFFFF"/>
        </w:rPr>
        <w:t>项目支出绩效评价共性指标体系框架</w:t>
      </w:r>
    </w:p>
    <w:tbl>
      <w:tblPr>
        <w:tblStyle w:val="6"/>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指标说明</w:t>
            </w:r>
          </w:p>
        </w:tc>
      </w:tr>
      <w:tr>
        <w:tblPrEx>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投</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③事前是否已经过必要的可行性研究、专家论证、风险评估、集体决策等。</w:t>
            </w:r>
          </w:p>
        </w:tc>
      </w:tr>
      <w:tr>
        <w:tblPrEx>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④项目预期产出效益和效果是否符合正常的业绩水平。</w:t>
            </w:r>
          </w:p>
        </w:tc>
      </w:tr>
      <w:tr>
        <w:tblPrEx>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④是否与预算确定的项目投资额或资金量相匹配。</w:t>
            </w:r>
          </w:p>
        </w:tc>
      </w:tr>
      <w:tr>
        <w:tblPrEx>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计划投入资金）×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计划投入资金：一定时期（本年度或项目期）内计划投入到具体项目的资金。</w:t>
            </w:r>
          </w:p>
        </w:tc>
      </w:tr>
      <w:tr>
        <w:tblPrEx>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（及时到位资金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应到位资金）×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应到位资金：按照合同或项目进度要求截至规定时点应落实到具体项目的资金。</w:t>
            </w:r>
          </w:p>
        </w:tc>
      </w:tr>
      <w:tr>
        <w:tblPrEx>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过</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②业务管理制度是否合法、合规、完整。</w:t>
            </w:r>
          </w:p>
        </w:tc>
      </w:tr>
      <w:tr>
        <w:tblPrEx>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④项目实施的人员条件、场地设备、信息支撑等是否落实到位。</w:t>
            </w:r>
          </w:p>
        </w:tc>
      </w:tr>
      <w:tr>
        <w:tblPrEx>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项目实施单位是否为达到项目质量要求而采取了必需的措施</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②是否采取了相应的项目质量检查、验收等必需的控制措施或手段。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②项目资金管理办法是否符合相关财务会计制度的规定。</w:t>
            </w:r>
          </w:p>
        </w:tc>
      </w:tr>
      <w:tr>
        <w:tblPrEx>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⑤是否存在截留、挤占、挪用、虚列支出等情况。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②是否采取了相应的财务检查等必要的监控措施或手段。</w:t>
            </w:r>
          </w:p>
        </w:tc>
      </w:tr>
      <w:tr>
        <w:tblPrEx>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产</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计划完成时间：按照项目实施计划或相关规定完成该项目所需的时间。</w:t>
            </w:r>
          </w:p>
        </w:tc>
      </w:tr>
      <w:tr>
        <w:tblPrEx>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（质量达标产出数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计划成本：项目实施单位为完成工作目标计划安排的支出，一般以项目预算为参考。</w:t>
            </w:r>
          </w:p>
        </w:tc>
      </w:tr>
      <w:tr>
        <w:tblPrEx>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效</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headerReference r:id="rId5" w:type="first"/>
      <w:footerReference r:id="rId8"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华文楷体">
    <w:altName w:val="宋体"/>
    <w:panose1 w:val="00000000000000000000"/>
    <w:charset w:val="86"/>
    <w:family w:val="auto"/>
    <w:pitch w:val="default"/>
    <w:sig w:usb0="00000000" w:usb1="00000000" w:usb2="00000010" w:usb3="00000000" w:csb0="0004009F" w:csb1="00000000"/>
  </w:font>
  <w:font w:name="新宋体">
    <w:panose1 w:val="02010609030101010101"/>
    <w:charset w:val="86"/>
    <w:family w:val="auto"/>
    <w:pitch w:val="default"/>
    <w:sig w:usb0="00000003" w:usb1="288F0000" w:usb2="00000006" w:usb3="00000000" w:csb0="00040001" w:csb1="00000000"/>
  </w:font>
  <w:font w:name="微软雅黑">
    <w:panose1 w:val="020B0503020204020204"/>
    <w:charset w:val="86"/>
    <w:family w:val="auto"/>
    <w:pitch w:val="default"/>
    <w:sig w:usb0="80000287" w:usb1="280F3C52" w:usb2="00000016" w:usb3="00000000" w:csb0="0004001F" w:csb1="00000000"/>
  </w:font>
  <w:font w:name="叶根友毛笔行书2.0版">
    <w:panose1 w:val="0201060103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Dotum">
    <w:panose1 w:val="020B0600000101010101"/>
    <w:charset w:val="81"/>
    <w:family w:val="auto"/>
    <w:pitch w:val="default"/>
    <w:sig w:usb0="B00002AF" w:usb1="69D77CFB" w:usb2="00000030" w:usb3="00000000" w:csb0="4008009F" w:csb1="DFD70000"/>
  </w:font>
  <w:font w:name="Gungsuh">
    <w:panose1 w:val="02030600000101010101"/>
    <w:charset w:val="81"/>
    <w:family w:val="auto"/>
    <w:pitch w:val="default"/>
    <w:sig w:usb0="B00002AF" w:usb1="69D77CFB" w:usb2="00000030" w:usb3="00000000" w:csb0="4008009F" w:csb1="DFD70000"/>
  </w:font>
  <w:font w:name="Microsoft JhengHei">
    <w:panose1 w:val="020B0604030504040204"/>
    <w:charset w:val="88"/>
    <w:family w:val="auto"/>
    <w:pitch w:val="default"/>
    <w:sig w:usb0="00000087" w:usb1="28AF4000" w:usb2="00000016" w:usb3="00000000" w:csb0="00100009" w:csb1="00000000"/>
  </w:font>
  <w:font w:name="MS Mincho">
    <w:panose1 w:val="02020609040205080304"/>
    <w:charset w:val="80"/>
    <w:family w:val="auto"/>
    <w:pitch w:val="default"/>
    <w:sig w:usb0="E00002FF" w:usb1="6AC7FDFB" w:usb2="00000012" w:usb3="00000000" w:csb0="4002009F" w:csb1="DFD70000"/>
  </w:font>
  <w:font w:name="MS Gothic">
    <w:panose1 w:val="020B0609070205080204"/>
    <w:charset w:val="80"/>
    <w:family w:val="auto"/>
    <w:pitch w:val="default"/>
    <w:sig w:usb0="E00002FF" w:usb1="6AC7FDFB" w:usb2="00000012" w:usb3="00000000" w:csb0="4002009F" w:csb1="DFD70000"/>
  </w:font>
  <w:font w:name="SimSun-ExtB">
    <w:panose1 w:val="02010609060101010101"/>
    <w:charset w:val="86"/>
    <w:family w:val="auto"/>
    <w:pitch w:val="default"/>
    <w:sig w:usb0="00000001" w:usb1="02000000" w:usb2="00000000" w:usb3="00000000" w:csb0="00040001" w:csb1="00000000"/>
  </w:font>
  <w:font w:name="Aparajita">
    <w:panose1 w:val="020B0604020202020204"/>
    <w:charset w:val="00"/>
    <w:family w:val="auto"/>
    <w:pitch w:val="default"/>
    <w:sig w:usb0="00008003" w:usb1="00000000" w:usb2="00000000" w:usb3="00000000" w:csb0="00000001" w:csb1="00000000"/>
  </w:font>
  <w:font w:name="Browallia New">
    <w:panose1 w:val="020B0604020202020204"/>
    <w:charset w:val="00"/>
    <w:family w:val="auto"/>
    <w:pitch w:val="default"/>
    <w:sig w:usb0="81000003" w:usb1="00000000" w:usb2="00000000" w:usb3="00000000" w:csb0="00010001" w:csb1="00000000"/>
  </w:font>
  <w:font w:name="Comic Sans MS">
    <w:panose1 w:val="030F0702030302020204"/>
    <w:charset w:val="00"/>
    <w:family w:val="auto"/>
    <w:pitch w:val="default"/>
    <w:sig w:usb0="00000287" w:usb1="00000000" w:usb2="00000000" w:usb3="00000000" w:csb0="2000009F" w:csb1="00000000"/>
  </w:font>
  <w:font w:name="FrankRuehl">
    <w:panose1 w:val="020E0503060101010101"/>
    <w:charset w:val="00"/>
    <w:family w:val="auto"/>
    <w:pitch w:val="default"/>
    <w:sig w:usb0="00000801" w:usb1="00000000" w:usb2="00000000" w:usb3="00000000" w:csb0="00000020" w:csb1="00200000"/>
  </w:font>
  <w:font w:name="DaunPenh">
    <w:panose1 w:val="01010101010101010101"/>
    <w:charset w:val="00"/>
    <w:family w:val="auto"/>
    <w:pitch w:val="default"/>
    <w:sig w:usb0="00000003" w:usb1="00000000" w:usb2="00010000" w:usb3="00000000" w:csb0="00000001" w:csb1="00000000"/>
  </w:font>
  <w:font w:name="Arabic Typesetting">
    <w:panose1 w:val="03020402040406030203"/>
    <w:charset w:val="00"/>
    <w:family w:val="auto"/>
    <w:pitch w:val="default"/>
    <w:sig w:usb0="A000206F" w:usb1="C0000000" w:usb2="00000008" w:usb3="00000000" w:csb0="200000D3" w:csb1="00000000"/>
  </w:font>
  <w:font w:name="PMingLiU">
    <w:panose1 w:val="02020500000000000000"/>
    <w:charset w:val="88"/>
    <w:family w:val="auto"/>
    <w:pitch w:val="default"/>
    <w:sig w:usb0="A00002FF" w:usb1="28CFFCFA" w:usb2="00000016" w:usb3="00000000" w:csb0="00100001" w:csb1="00000000"/>
  </w:font>
  <w:font w:name="MS UI Gothic">
    <w:panose1 w:val="020B0600070205080204"/>
    <w:charset w:val="80"/>
    <w:family w:val="auto"/>
    <w:pitch w:val="default"/>
    <w:sig w:usb0="E00002FF" w:usb1="6AC7FDFB" w:usb2="00000012" w:usb3="00000000" w:csb0="4002009F" w:csb1="DFD70000"/>
  </w:font>
  <w:font w:name="MingLiU">
    <w:panose1 w:val="02020509000000000000"/>
    <w:charset w:val="88"/>
    <w:family w:val="auto"/>
    <w:pitch w:val="default"/>
    <w:sig w:usb0="A00002FF" w:usb1="28CFFCFA" w:usb2="00000016" w:usb3="00000000" w:csb0="00100001" w:csb1="00000000"/>
  </w:font>
  <w:font w:name="Gulim">
    <w:panose1 w:val="020B0600000101010101"/>
    <w:charset w:val="81"/>
    <w:family w:val="auto"/>
    <w:pitch w:val="default"/>
    <w:sig w:usb0="B00002AF" w:usb1="69D77CFB" w:usb2="00000030" w:usb3="00000000" w:csb0="4008009F" w:csb1="DFD70000"/>
  </w:font>
  <w:font w:name="DotumChe">
    <w:panose1 w:val="020B0609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rPr>
        <w:rStyle w:val="5"/>
      </w:rPr>
      <w:fldChar w:fldCharType="begin"/>
    </w:r>
    <w:r>
      <w:rPr>
        <w:rStyle w:val="5"/>
      </w:rPr>
      <w:instrText xml:space="preserve">PAGE  </w:instrText>
    </w:r>
    <w:r>
      <w:rPr>
        <w:rStyle w:val="5"/>
      </w:rPr>
      <w:fldChar w:fldCharType="separate"/>
    </w:r>
    <w:r>
      <w:rPr>
        <w:rStyle w:val="5"/>
      </w:rPr>
      <w:t>4</w:t>
    </w:r>
    <w:r>
      <w:rPr>
        <w:rStyle w:val="5"/>
      </w:rP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3F781"/>
    <w:multiLevelType w:val="singleLevel"/>
    <w:tmpl w:val="5E13F781"/>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11AEE"/>
    <w:rsid w:val="00114B13"/>
    <w:rsid w:val="00136713"/>
    <w:rsid w:val="00565EC0"/>
    <w:rsid w:val="005663A7"/>
    <w:rsid w:val="007274CF"/>
    <w:rsid w:val="00C71CD1"/>
    <w:rsid w:val="00F44A12"/>
    <w:rsid w:val="08FE1C10"/>
    <w:rsid w:val="0A5007C9"/>
    <w:rsid w:val="2A2941B7"/>
    <w:rsid w:val="2BD023B8"/>
    <w:rsid w:val="7DDB535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99"/>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99"/>
    <w:rPr>
      <w:rFonts w:cs="Times New Roman"/>
    </w:rPr>
  </w:style>
  <w:style w:type="character" w:customStyle="1" w:styleId="7">
    <w:name w:val="Footer Char"/>
    <w:basedOn w:val="4"/>
    <w:link w:val="2"/>
    <w:semiHidden/>
    <w:qFormat/>
    <w:uiPriority w:val="99"/>
    <w:rPr>
      <w:sz w:val="18"/>
      <w:szCs w:val="18"/>
    </w:rPr>
  </w:style>
  <w:style w:type="character" w:customStyle="1" w:styleId="8">
    <w:name w:val="Header Char"/>
    <w:basedOn w:val="4"/>
    <w:link w:val="3"/>
    <w:semiHidden/>
    <w:qFormat/>
    <w:uiPriority w:val="99"/>
    <w:rPr>
      <w:sz w:val="18"/>
      <w:szCs w:val="18"/>
    </w:rPr>
  </w:style>
  <w:style w:type="paragraph" w:customStyle="1" w:styleId="9">
    <w:name w:val="默认段落字体 Para Char Char Char Char Char Char Char"/>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8</Pages>
  <Words>587</Words>
  <Characters>3349</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2020-01-07T03:16:38Z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