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rPr>
      </w:pPr>
      <w:r>
        <w:rPr>
          <w:rFonts w:hint="eastAsia" w:asciiTheme="majorEastAsia" w:hAnsiTheme="majorEastAsia" w:eastAsiaTheme="majorEastAsia" w:cstheme="majorEastAsia"/>
          <w:b/>
          <w:bCs/>
          <w:sz w:val="36"/>
          <w:szCs w:val="36"/>
          <w:lang w:val="en-US" w:eastAsia="zh-CN"/>
        </w:rPr>
        <w:t>2019老旧小区供热改造</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2019老旧小区供热改造</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石家庄市鹿泉区集中供热管理处负责实施了</w:t>
      </w:r>
      <w:r>
        <w:rPr>
          <w:rFonts w:hint="eastAsia" w:ascii="仿宋_GB2312" w:eastAsia="仿宋_GB2312"/>
          <w:sz w:val="32"/>
          <w:szCs w:val="32"/>
          <w:lang w:val="en-US" w:eastAsia="zh-CN"/>
        </w:rPr>
        <w:t>2019年度老旧小区供热改造项目，项目列入了</w:t>
      </w:r>
      <w:r>
        <w:rPr>
          <w:rFonts w:hint="eastAsia" w:ascii="仿宋_GB2312" w:hAnsi="仿宋" w:eastAsia="仿宋_GB2312" w:cs="仿宋"/>
          <w:sz w:val="32"/>
          <w:szCs w:val="32"/>
          <w:lang w:eastAsia="zh-CN"/>
        </w:rPr>
        <w:t>《石家庄市鹿泉区人民政府办公室关于印发</w:t>
      </w:r>
      <w:r>
        <w:rPr>
          <w:rFonts w:hint="eastAsia" w:ascii="仿宋_GB2312" w:hAnsi="仿宋" w:eastAsia="仿宋_GB2312" w:cs="仿宋"/>
          <w:sz w:val="32"/>
          <w:szCs w:val="32"/>
          <w:lang w:val="en-US" w:eastAsia="zh-CN"/>
        </w:rPr>
        <w:t>2019年城市建设投资计划</w:t>
      </w:r>
      <w:r>
        <w:rPr>
          <w:rFonts w:hint="eastAsia" w:ascii="仿宋_GB2312" w:hAnsi="仿宋" w:eastAsia="仿宋_GB2312" w:cs="仿宋"/>
          <w:sz w:val="32"/>
          <w:szCs w:val="32"/>
          <w:lang w:eastAsia="zh-CN"/>
        </w:rPr>
        <w:t>的通知》（鹿政办函</w:t>
      </w:r>
      <w:r>
        <w:rPr>
          <w:rFonts w:hint="eastAsia" w:ascii="仿宋_GB2312" w:hAnsi="仿宋" w:eastAsia="仿宋_GB2312"/>
          <w:sz w:val="32"/>
          <w:lang w:eastAsia="zh-CN"/>
        </w:rPr>
        <w:t>﹝</w:t>
      </w:r>
      <w:r>
        <w:rPr>
          <w:rFonts w:hint="eastAsia" w:ascii="仿宋_GB2312" w:hAnsi="仿宋" w:eastAsia="仿宋_GB2312"/>
          <w:sz w:val="32"/>
          <w:lang w:val="en-US" w:eastAsia="zh-CN"/>
        </w:rPr>
        <w:t>2019</w:t>
      </w:r>
      <w:r>
        <w:rPr>
          <w:rFonts w:hint="eastAsia" w:ascii="仿宋_GB2312" w:hAnsi="仿宋" w:eastAsia="仿宋_GB2312"/>
          <w:sz w:val="32"/>
          <w:lang w:eastAsia="zh-CN"/>
        </w:rPr>
        <w:t>﹞</w:t>
      </w:r>
      <w:r>
        <w:rPr>
          <w:rFonts w:hint="eastAsia" w:ascii="仿宋_GB2312" w:hAnsi="仿宋" w:eastAsia="仿宋_GB2312"/>
          <w:sz w:val="32"/>
          <w:lang w:val="en-US" w:eastAsia="zh-CN"/>
        </w:rPr>
        <w:t>14号</w:t>
      </w:r>
      <w:r>
        <w:rPr>
          <w:rFonts w:hint="eastAsia" w:ascii="仿宋_GB2312" w:hAnsi="仿宋" w:eastAsia="仿宋_GB2312" w:cs="仿宋"/>
          <w:sz w:val="32"/>
          <w:szCs w:val="32"/>
          <w:lang w:eastAsia="zh-CN"/>
        </w:rPr>
        <w:t>）</w:t>
      </w:r>
      <w:r>
        <w:rPr>
          <w:rFonts w:hint="eastAsia" w:ascii="仿宋_GB2312" w:eastAsia="仿宋_GB2312"/>
          <w:sz w:val="32"/>
          <w:szCs w:val="32"/>
          <w:lang w:val="en-US" w:eastAsia="zh-CN"/>
        </w:rPr>
        <w:t>，并按相关政策规定经区行政审批局核准同意后实施。</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 w:hAnsi="仿宋" w:eastAsia="仿宋" w:cs="仿宋"/>
          <w:sz w:val="32"/>
          <w:szCs w:val="32"/>
          <w:lang w:val="en-US" w:eastAsia="zh-CN"/>
        </w:rPr>
        <w:t>我单位按照现行供热技术，</w:t>
      </w:r>
      <w:r>
        <w:rPr>
          <w:rFonts w:hint="eastAsia" w:ascii="仿宋_GB2312" w:eastAsia="仿宋_GB2312"/>
          <w:sz w:val="32"/>
          <w:szCs w:val="32"/>
          <w:lang w:val="en-US" w:eastAsia="zh-CN"/>
        </w:rPr>
        <w:t>2019年对龙海南苑小区和贺庄及福康城关镇三号楼进行了供热改造，主要包括龙海南苑小区现有换热站站内改造安装10MW大温差换热机组2台，安装自动化控制系统3套以及供热管道及附属设备的安装；小区内庭院管网改造，安装 DN100—DN250管道约10700米；（1、2、3）号楼楼道立管改造，安装 DN100 管道约8500米；安装平衡控制装置108套。对福康小区城关镇三号楼的老旧小区供热管道及沿线一次网阀门进行更换，主要采用直埋、地沟敷设方式；对贺庄村供热二次网管道改造沿友谊街、富康路、宁安街采用直埋敷设方式与原有管道接口；对石柏大街西侧（福康小区玉石路至镇宁路）沿线配套的供热主管道6个一次网阀门进行更换安装。</w:t>
      </w:r>
    </w:p>
    <w:p>
      <w:pPr>
        <w:numPr>
          <w:ilvl w:val="0"/>
          <w:numId w:val="1"/>
        </w:numPr>
        <w:adjustRightInd w:val="0"/>
        <w:snapToGrid w:val="0"/>
        <w:spacing w:line="360" w:lineRule="auto"/>
        <w:ind w:left="800" w:leftChars="0" w:firstLine="0" w:firstLineChars="0"/>
        <w:jc w:val="left"/>
        <w:rPr>
          <w:rFonts w:hint="default"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2019年度老旧小区供热改造项目资金采用政府、企业、居民维修基金各负担改造资金的三分之一方式进行，该项目投入约1959.34万元。目前均按项目施工合同约定进行支付。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通过年度老旧小区改造，项目预期绩效目标均已实现，改造后小区用热户户均室温均比改造前提高</w:t>
      </w:r>
      <w:r>
        <w:rPr>
          <w:rFonts w:hint="eastAsia" w:ascii="仿宋_GB2312" w:eastAsia="仿宋_GB2312"/>
          <w:sz w:val="32"/>
          <w:szCs w:val="32"/>
          <w:lang w:val="en-US" w:eastAsia="zh-CN"/>
        </w:rPr>
        <w:t>2度以上，</w:t>
      </w:r>
      <w:r>
        <w:rPr>
          <w:rFonts w:hint="eastAsia" w:ascii="仿宋_GB2312" w:eastAsia="仿宋_GB2312"/>
          <w:sz w:val="32"/>
          <w:szCs w:val="32"/>
          <w:lang w:eastAsia="zh-CN"/>
        </w:rPr>
        <w:t>供热质量明显提高，消除了供热设施跑冒滴漏现象，用热户投诉率明显降低，获得了群众高度认可，实现了民生改造暖民心的预期目标，树立了党委政府为民办实事好事的良好形象。</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
          <w:sz w:val="32"/>
          <w:szCs w:val="32"/>
          <w:lang w:val="en-US" w:eastAsia="zh-CN"/>
        </w:rPr>
      </w:pPr>
      <w:r>
        <w:rPr>
          <w:rFonts w:hint="eastAsia" w:ascii="仿宋_GB2312" w:eastAsia="仿宋_GB2312"/>
          <w:sz w:val="32"/>
          <w:szCs w:val="32"/>
          <w:lang w:val="en-US" w:eastAsia="zh-CN"/>
        </w:rPr>
        <w:t xml:space="preserve">    </w:t>
      </w:r>
      <w:r>
        <w:rPr>
          <w:rFonts w:hint="eastAsia" w:ascii="仿宋" w:hAnsi="仿宋" w:eastAsia="仿宋" w:cs="仿宋"/>
          <w:b w:val="0"/>
          <w:bCs w:val="0"/>
          <w:sz w:val="32"/>
          <w:szCs w:val="32"/>
          <w:lang w:val="en-US" w:eastAsia="zh-CN"/>
        </w:rPr>
        <w:t>成立评价小组，由评价小组组织实施对老旧小区供热改造项目对项目立项、资金落实、业务管理、财务管理、项目产出、项目效益等绩效评价指标进行检查评价。</w:t>
      </w:r>
    </w:p>
    <w:p>
      <w:pPr>
        <w:numPr>
          <w:ilvl w:val="0"/>
          <w:numId w:val="2"/>
        </w:numPr>
        <w:ind w:left="481" w:leftChars="0" w:right="0" w:rightChars="0" w:firstLine="0" w:firstLineChars="0"/>
        <w:jc w:val="both"/>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r>
        <w:rPr>
          <w:rFonts w:hint="eastAsia" w:ascii="楷体_GB2312" w:hAnsi="楷体_GB2312" w:eastAsia="楷体_GB2312" w:cs="楷体_GB2312"/>
          <w:b/>
          <w:bCs/>
          <w:sz w:val="32"/>
          <w:szCs w:val="32"/>
          <w:lang w:val="en-US" w:eastAsia="zh-CN"/>
        </w:rPr>
        <w:t>：</w:t>
      </w:r>
    </w:p>
    <w:p>
      <w:p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评价小组对项目进行了实地查看，采用入户测温、调查问卷等形式方法对绩效指标进行评价。</w:t>
      </w:r>
    </w:p>
    <w:p>
      <w:pPr>
        <w:numPr>
          <w:ilvl w:val="0"/>
          <w:numId w:val="0"/>
        </w:numPr>
        <w:ind w:right="0" w:rightChars="0" w:firstLine="320" w:firstLineChars="10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rPr>
          <w:rFonts w:hint="eastAsia" w:ascii="仿宋_GB2312" w:eastAsia="仿宋_GB2312"/>
          <w:sz w:val="32"/>
          <w:szCs w:val="32"/>
          <w:lang w:val="en-US" w:eastAsia="zh-CN"/>
        </w:rPr>
      </w:pPr>
      <w:r>
        <w:rPr>
          <w:rFonts w:hint="eastAsia" w:ascii="仿宋" w:hAnsi="仿宋" w:eastAsia="仿宋" w:cs="仿宋"/>
          <w:b w:val="0"/>
          <w:bCs w:val="0"/>
          <w:sz w:val="32"/>
          <w:szCs w:val="32"/>
          <w:lang w:val="en-US" w:eastAsia="zh-CN"/>
        </w:rPr>
        <w:t>在开展预算绩效评价工作时，</w:t>
      </w:r>
      <w:r>
        <w:rPr>
          <w:rFonts w:hint="eastAsia" w:ascii="仿宋" w:hAnsi="仿宋" w:eastAsia="仿宋" w:cs="仿宋"/>
          <w:sz w:val="32"/>
          <w:szCs w:val="32"/>
          <w:lang w:val="en-US" w:eastAsia="zh-CN"/>
        </w:rPr>
        <w:t>除</w:t>
      </w:r>
      <w:r>
        <w:rPr>
          <w:rFonts w:hint="eastAsia" w:ascii="仿宋" w:hAnsi="仿宋" w:eastAsia="仿宋" w:cs="仿宋"/>
          <w:b w:val="0"/>
          <w:bCs w:val="0"/>
          <w:sz w:val="32"/>
          <w:szCs w:val="32"/>
          <w:lang w:val="en-US" w:eastAsia="zh-CN"/>
        </w:rPr>
        <w:t>对项目立项、资金落实、业务管理、财务管理、项目产出、项目效益等</w:t>
      </w:r>
      <w:r>
        <w:rPr>
          <w:rFonts w:hint="eastAsia" w:ascii="仿宋" w:hAnsi="仿宋" w:eastAsia="仿宋" w:cs="仿宋"/>
          <w:sz w:val="32"/>
          <w:szCs w:val="32"/>
          <w:lang w:val="en-US" w:eastAsia="zh-CN"/>
        </w:rPr>
        <w:t>共性</w:t>
      </w:r>
      <w:r>
        <w:rPr>
          <w:rFonts w:hint="eastAsia" w:ascii="仿宋" w:hAnsi="仿宋" w:eastAsia="仿宋" w:cs="仿宋"/>
          <w:b w:val="0"/>
          <w:bCs w:val="0"/>
          <w:sz w:val="32"/>
          <w:szCs w:val="32"/>
          <w:lang w:val="en-US" w:eastAsia="zh-CN"/>
        </w:rPr>
        <w:t>绩效评价指标</w:t>
      </w:r>
      <w:r>
        <w:rPr>
          <w:rFonts w:hint="eastAsia" w:ascii="仿宋" w:hAnsi="仿宋" w:eastAsia="仿宋" w:cs="仿宋"/>
          <w:sz w:val="32"/>
          <w:szCs w:val="32"/>
          <w:lang w:val="en-US" w:eastAsia="zh-CN"/>
        </w:rPr>
        <w:t>外，</w:t>
      </w:r>
      <w:r>
        <w:rPr>
          <w:rFonts w:hint="eastAsia" w:ascii="仿宋_GB2312" w:eastAsia="仿宋_GB2312"/>
          <w:sz w:val="32"/>
          <w:szCs w:val="32"/>
          <w:lang w:val="en-US" w:eastAsia="zh-CN"/>
        </w:rPr>
        <w:t>个性指标设置工程完成率、供热室温达标率，热民投诉率等指标。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立项情况分析。（总分25分）</w:t>
      </w:r>
    </w:p>
    <w:p>
      <w:p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该项目立项符合政策规定，绩效目标合理明确，实施后均按工期要求完成了改造目标，改造后小区供热质量明显改善，供热温度显著提升，供热室温达标率99%，热用户投诉率明显降低，节约了能源消耗，</w:t>
      </w:r>
      <w:r>
        <w:rPr>
          <w:rFonts w:hint="eastAsia" w:ascii="仿宋_GB2312" w:eastAsia="仿宋_GB2312"/>
          <w:sz w:val="32"/>
          <w:szCs w:val="32"/>
          <w:lang w:eastAsia="zh-CN"/>
        </w:rPr>
        <w:t>实现了民生改造暖民心的预期目标。</w:t>
      </w:r>
      <w:r>
        <w:rPr>
          <w:rFonts w:hint="eastAsia" w:ascii="仿宋_GB2312" w:eastAsia="仿宋_GB2312"/>
          <w:b w:val="0"/>
          <w:bCs w:val="0"/>
          <w:sz w:val="32"/>
          <w:szCs w:val="32"/>
          <w:lang w:val="en-US" w:eastAsia="zh-CN"/>
        </w:rPr>
        <w:t>根据指标体系评分标准计算分值为24分。</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资金落实情况分析。（总分25分）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2019年完成</w:t>
      </w:r>
      <w:r>
        <w:rPr>
          <w:rFonts w:hint="eastAsia" w:ascii="仿宋_GB2312" w:eastAsia="仿宋_GB2312"/>
          <w:sz w:val="32"/>
          <w:szCs w:val="32"/>
          <w:lang w:val="en-US" w:eastAsia="zh-CN"/>
        </w:rPr>
        <w:t>约1959.34万元</w:t>
      </w:r>
      <w:r>
        <w:rPr>
          <w:rFonts w:hint="eastAsia" w:ascii="仿宋_GB2312" w:eastAsia="仿宋_GB2312"/>
          <w:b w:val="0"/>
          <w:bCs w:val="0"/>
          <w:sz w:val="32"/>
          <w:szCs w:val="32"/>
          <w:lang w:val="en-US" w:eastAsia="zh-CN"/>
        </w:rPr>
        <w:t>，该项目尚未审计，故奖补资金暂未拨付。通过对资金到位率和到位及时率等情况进行分析后，根据指标体系评分标准计算分值为22分。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1.业务管理情况分析（总分20分）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改造项目改造前充分征求民意和社区意见，事前公示改造实施方案，并根据反馈意见及时对改造内容作出科学调整。按照规定程序经区行政审批局核准后实施，所有改造项目均实行公开招投标方式确定施工单位，项目立项、设计、施工、监理合同等手续齐全。项目实施中我单位抽调主要技术骨干成立改造指挥部，协调施工单位、配合小区物业及居委会高标准完成了改造任务。根据指标体系评分标准计算分值为20分。</w:t>
      </w:r>
    </w:p>
    <w:p>
      <w:pPr>
        <w:numPr>
          <w:ilvl w:val="0"/>
          <w:numId w:val="0"/>
        </w:numPr>
        <w:ind w:leftChars="200" w:firstLine="320" w:firstLineChars="1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2、财务管理（总分10分）</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我单位严格执行财经纪律，财务管理制度健全、资金使用合规、财务监控有效。同时按规定在工程结算完成后及时报请区审计局进行审计，确保资金使用合理合法合规。根据指标体系评分标准计算分值为10分。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r>
        <w:rPr>
          <w:rFonts w:hint="eastAsia" w:ascii="仿宋_GB2312" w:eastAsia="仿宋_GB2312"/>
          <w:b w:val="0"/>
          <w:bCs w:val="0"/>
          <w:sz w:val="32"/>
          <w:szCs w:val="32"/>
          <w:lang w:val="en-US" w:eastAsia="zh-CN"/>
        </w:rPr>
        <w:t>（总分10分）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改造项目当年均能按预定目标准时完成，确保了按期供热，项目的实际完成率、完成及时率、质量达标率均在98%以上，根据指标体系评分标准计算分值10分。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r>
        <w:rPr>
          <w:rFonts w:hint="eastAsia" w:ascii="仿宋_GB2312" w:eastAsia="仿宋_GB2312"/>
          <w:b w:val="0"/>
          <w:bCs w:val="0"/>
          <w:sz w:val="32"/>
          <w:szCs w:val="32"/>
          <w:lang w:val="en-US" w:eastAsia="zh-CN"/>
        </w:rPr>
        <w:t>（总分10分）</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通过实施老旧小区改造，项目预期绩效目标均已实现，改造后小区用热户户均室温均比改造前提高</w:t>
      </w:r>
      <w:r>
        <w:rPr>
          <w:rFonts w:hint="eastAsia" w:ascii="仿宋_GB2312" w:eastAsia="仿宋_GB2312"/>
          <w:sz w:val="32"/>
          <w:szCs w:val="32"/>
          <w:lang w:val="en-US" w:eastAsia="zh-CN"/>
        </w:rPr>
        <w:t>2度以上，</w:t>
      </w:r>
      <w:r>
        <w:rPr>
          <w:rFonts w:hint="eastAsia" w:ascii="仿宋_GB2312" w:eastAsia="仿宋_GB2312"/>
          <w:sz w:val="32"/>
          <w:szCs w:val="32"/>
          <w:lang w:eastAsia="zh-CN"/>
        </w:rPr>
        <w:t>供热质量明显提高，消除了供热设施跑冒滴漏现象，用热户投诉率明显降低，获得了群众高度认可，实现了民生改造暖民心的预期目标，树立了党委政府为民办实事好事的良好形象。</w:t>
      </w:r>
      <w:r>
        <w:rPr>
          <w:rFonts w:hint="eastAsia" w:ascii="仿宋_GB2312" w:eastAsia="仿宋_GB2312"/>
          <w:b w:val="0"/>
          <w:bCs w:val="0"/>
          <w:sz w:val="32"/>
          <w:szCs w:val="32"/>
          <w:lang w:val="en-US" w:eastAsia="zh-CN"/>
        </w:rPr>
        <w:t>根据指标体系评分标准计算分值为10分。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根据项目执行情况和项目绩效情况，给出总得分96分，</w:t>
      </w:r>
      <w:r>
        <w:rPr>
          <w:rFonts w:hint="eastAsia" w:ascii="仿宋_GB2312" w:eastAsia="仿宋_GB2312"/>
          <w:sz w:val="32"/>
          <w:szCs w:val="32"/>
          <w:lang w:eastAsia="zh-CN"/>
        </w:rPr>
        <w:t>等级</w:t>
      </w:r>
      <w:r>
        <w:rPr>
          <w:rFonts w:hint="eastAsia" w:ascii="仿宋_GB2312" w:eastAsia="仿宋_GB2312"/>
          <w:sz w:val="32"/>
          <w:szCs w:val="32"/>
        </w:rPr>
        <w:t>为优秀</w:t>
      </w:r>
      <w:r>
        <w:rPr>
          <w:rFonts w:hint="eastAsia" w:ascii="仿宋_GB2312" w:eastAsia="仿宋_GB2312"/>
          <w:sz w:val="32"/>
          <w:szCs w:val="32"/>
          <w:lang w:eastAsia="zh-CN"/>
        </w:rPr>
        <w:t>。</w:t>
      </w:r>
    </w:p>
    <w:tbl>
      <w:tblPr>
        <w:tblStyle w:val="7"/>
        <w:tblW w:w="774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2522"/>
        <w:gridCol w:w="1613"/>
        <w:gridCol w:w="2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分值</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打分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8"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9"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10</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6"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1"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8"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5"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3"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1"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3"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7"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2</w:t>
            </w:r>
          </w:p>
        </w:tc>
      </w:tr>
    </w:tbl>
    <w:p>
      <w:pPr>
        <w:numPr>
          <w:ilvl w:val="0"/>
          <w:numId w:val="0"/>
        </w:numPr>
        <w:rPr>
          <w:rFonts w:hint="eastAsia" w:ascii="仿宋_GB2312" w:eastAsia="仿宋_GB2312"/>
          <w:sz w:val="32"/>
          <w:szCs w:val="32"/>
          <w:lang w:eastAsia="zh-CN"/>
        </w:rPr>
      </w:pP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无</w:t>
      </w:r>
    </w:p>
    <w:p>
      <w:pPr>
        <w:numPr>
          <w:numId w:val="0"/>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评价工作小组人员名单</w:t>
      </w:r>
      <w:r>
        <w:rPr>
          <w:rFonts w:hint="eastAsia" w:ascii="仿宋_GB2312" w:eastAsia="仿宋_GB2312"/>
          <w:sz w:val="32"/>
          <w:szCs w:val="32"/>
          <w:lang w:val="en-US" w:eastAsia="zh-CN"/>
        </w:rPr>
        <w:t>:</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组长：刘宗根</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副组长：东云峰</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成员：张志波、李书君</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评价工作小组人员签字：</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Heiti SC">
    <w:altName w:val="Segoe Print"/>
    <w:panose1 w:val="00000000000000000000"/>
    <w:charset w:val="00"/>
    <w:family w:val="auto"/>
    <w:pitch w:val="default"/>
    <w:sig w:usb0="00000000" w:usb1="00000000" w:usb2="00000000" w:usb3="00000000" w:csb0="00000000" w:csb1="00000000"/>
  </w:font>
  <w:font w:name="AMGDT">
    <w:altName w:val="Vrinda"/>
    <w:panose1 w:val="02000400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Vrinda">
    <w:panose1 w:val="020B0502040204020203"/>
    <w:charset w:val="00"/>
    <w:family w:val="auto"/>
    <w:pitch w:val="default"/>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8958D1"/>
    <w:multiLevelType w:val="singleLevel"/>
    <w:tmpl w:val="AF8958D1"/>
    <w:lvl w:ilvl="0" w:tentative="0">
      <w:start w:val="2"/>
      <w:numFmt w:val="chineseCounting"/>
      <w:suff w:val="nothing"/>
      <w:lvlText w:val="（%1）"/>
      <w:lvlJc w:val="left"/>
      <w:pPr>
        <w:ind w:left="481" w:leftChars="0" w:firstLine="0" w:firstLineChars="0"/>
      </w:pPr>
      <w:rPr>
        <w:rFonts w:hint="eastAsia"/>
      </w:rPr>
    </w:lvl>
  </w:abstractNum>
  <w:abstractNum w:abstractNumId="1">
    <w:nsid w:val="2D719DC5"/>
    <w:multiLevelType w:val="singleLevel"/>
    <w:tmpl w:val="2D719DC5"/>
    <w:lvl w:ilvl="0" w:tentative="0">
      <w:start w:val="2"/>
      <w:numFmt w:val="decimal"/>
      <w:lvlText w:val="%1."/>
      <w:lvlJc w:val="left"/>
      <w:pPr>
        <w:tabs>
          <w:tab w:val="left" w:pos="312"/>
        </w:tabs>
      </w:pPr>
    </w:lvl>
  </w:abstractNum>
  <w:abstractNum w:abstractNumId="2">
    <w:nsid w:val="395D0E5C"/>
    <w:multiLevelType w:val="singleLevel"/>
    <w:tmpl w:val="395D0E5C"/>
    <w:lvl w:ilvl="0" w:tentative="0">
      <w:start w:val="2"/>
      <w:numFmt w:val="decimal"/>
      <w:lvlText w:val="%1."/>
      <w:lvlJc w:val="left"/>
      <w:pPr>
        <w:tabs>
          <w:tab w:val="left" w:pos="312"/>
        </w:tabs>
        <w:ind w:left="800" w:leftChars="0" w:firstLine="0" w:firstLineChars="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872B37"/>
    <w:rsid w:val="1DF91DAF"/>
    <w:rsid w:val="3B65654F"/>
    <w:rsid w:val="4D3C1DB8"/>
    <w:rsid w:val="57872B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2020-01-05T02:05:00Z</dcterms:created>
  <dc:creator>Administrator</dc:creator>
  <cp:lastModifiedBy>Administrator</cp:lastModifiedBy>
  <cp:lastPrinted>2020-01-07T02:32:34Z</cp:lastPrinted>
  <dcterms:modified xsi:type="dcterms:W3CDTF">2020-01-07T02:32:52Z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