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ajorEastAsia" w:hAnsiTheme="majorEastAsia" w:eastAsiaTheme="majorEastAsia" w:cstheme="majorEastAsia"/>
          <w:b/>
          <w:bCs/>
          <w:sz w:val="36"/>
          <w:szCs w:val="36"/>
          <w:lang w:val="en-US" w:eastAsia="zh-CN"/>
        </w:rPr>
      </w:pPr>
      <w:r>
        <w:rPr>
          <w:rFonts w:hint="eastAsia" w:asciiTheme="majorEastAsia" w:hAnsiTheme="majorEastAsia" w:eastAsiaTheme="majorEastAsia" w:cstheme="majorEastAsia"/>
          <w:b/>
          <w:bCs/>
          <w:sz w:val="36"/>
          <w:szCs w:val="36"/>
          <w:lang w:val="en-US" w:eastAsia="zh-CN"/>
        </w:rPr>
        <w:t>供热智能管理平台客户端技术服务及软硬件采购</w:t>
      </w: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spacing w:line="360" w:lineRule="auto"/>
        <w:ind w:left="0" w:leftChars="0" w:right="0" w:rightChars="0" w:firstLine="0" w:firstLineChars="0"/>
        <w:jc w:val="center"/>
        <w:rPr>
          <w:rFonts w:hint="eastAsia" w:ascii="仿宋_GB2312" w:hAnsi="仿宋_GB2312" w:eastAsia="仿宋_GB2312" w:cs="仿宋_GB2312"/>
          <w:b w:val="0"/>
          <w:bCs w:val="0"/>
          <w:sz w:val="32"/>
          <w:szCs w:val="32"/>
          <w:u w:val="none"/>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w:t>
      </w:r>
      <w:r>
        <w:rPr>
          <w:rFonts w:hint="eastAsia" w:ascii="仿宋_GB2312" w:eastAsia="仿宋_GB2312"/>
          <w:sz w:val="32"/>
          <w:szCs w:val="32"/>
          <w:lang w:val="en-US" w:eastAsia="zh-CN"/>
        </w:rPr>
        <w:t>的</w:t>
      </w:r>
      <w:r>
        <w:rPr>
          <w:rFonts w:hint="eastAsia" w:ascii="仿宋_GB2312" w:eastAsia="仿宋_GB2312"/>
          <w:sz w:val="32"/>
          <w:szCs w:val="32"/>
        </w:rPr>
        <w:t>原则，对</w:t>
      </w:r>
      <w:r>
        <w:rPr>
          <w:rFonts w:hint="eastAsia" w:ascii="仿宋_GB2312" w:hAnsi="仿宋_GB2312" w:eastAsia="仿宋_GB2312" w:cs="仿宋_GB2312"/>
          <w:b w:val="0"/>
          <w:bCs w:val="0"/>
          <w:sz w:val="32"/>
          <w:szCs w:val="32"/>
          <w:u w:val="none"/>
          <w:lang w:val="en-US" w:eastAsia="zh-CN"/>
        </w:rPr>
        <w:t>供热智能管理平台客户端技术服务及软硬件采购</w:t>
      </w:r>
    </w:p>
    <w:p>
      <w:pPr>
        <w:adjustRightInd w:val="0"/>
        <w:snapToGrid w:val="0"/>
        <w:spacing w:line="360" w:lineRule="auto"/>
        <w:rPr>
          <w:rFonts w:hint="eastAsia" w:ascii="仿宋_GB2312" w:eastAsia="仿宋_GB2312"/>
          <w:sz w:val="32"/>
          <w:szCs w:val="32"/>
        </w:rPr>
      </w:pP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石家庄市鹿泉区公用事业管理中心为贯彻落实河北省关于加快推进城市供热信息化建设指示精神以及石家庄市供热监管信息平台系统建设实施方案。</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建立了区、企业两级信息化管理平台，实现了省、市、县（区、市）、企业四级联动数据传输、供热运行信息共享。所辖供热区域实现了2%以上的热用户室温上传至管理平台。</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firstLine="960" w:firstLineChars="300"/>
        <w:rPr>
          <w:rFonts w:hint="eastAsia" w:ascii="仿宋_GB2312" w:eastAsia="仿宋_GB2312"/>
          <w:sz w:val="32"/>
          <w:szCs w:val="32"/>
          <w:lang w:val="en-US" w:eastAsia="zh-CN"/>
        </w:rPr>
      </w:pPr>
      <w:r>
        <w:rPr>
          <w:rFonts w:hint="eastAsia" w:ascii="仿宋_GB2312" w:eastAsia="仿宋_GB2312"/>
          <w:sz w:val="32"/>
          <w:szCs w:val="32"/>
          <w:lang w:val="en-US" w:eastAsia="zh-CN"/>
        </w:rPr>
        <w:t>（1）软硬件环境参数配置</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（2）客户端软硬件安装调试</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（3）所属供热企业数据传输链路（VPN）配置</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（4）面向所属供热企业数据传输的中间数据库开发及部署。</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（5）全区供热系统GIS和基础信息录入校核。</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（6）客户端平台与所属企业监控中心数据传输联调。</w:t>
      </w:r>
    </w:p>
    <w:p>
      <w:pPr>
        <w:numPr>
          <w:ilvl w:val="0"/>
          <w:numId w:val="0"/>
        </w:numPr>
        <w:adjustRightInd w:val="0"/>
        <w:snapToGrid w:val="0"/>
        <w:spacing w:line="360" w:lineRule="auto"/>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（7）1650块室温采集器的安装与调试。</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此项目总投资人民币</w:t>
      </w:r>
      <w:r>
        <w:rPr>
          <w:rFonts w:hint="eastAsia" w:ascii="仿宋_GB2312" w:eastAsia="仿宋_GB2312"/>
          <w:sz w:val="32"/>
          <w:szCs w:val="32"/>
          <w:u w:val="none"/>
          <w:lang w:val="en-US" w:eastAsia="zh-CN"/>
        </w:rPr>
        <w:t>439088</w:t>
      </w:r>
      <w:r>
        <w:rPr>
          <w:rFonts w:hint="eastAsia" w:ascii="仿宋_GB2312" w:eastAsia="仿宋_GB2312"/>
          <w:sz w:val="32"/>
          <w:szCs w:val="32"/>
          <w:u w:val="none"/>
          <w:lang w:val="en-US" w:eastAsia="zh-CN"/>
        </w:rPr>
        <w:t>元</w:t>
      </w:r>
      <w:r>
        <w:rPr>
          <w:rFonts w:hint="eastAsia" w:ascii="仿宋_GB2312" w:eastAsia="仿宋_GB2312"/>
          <w:sz w:val="32"/>
          <w:szCs w:val="32"/>
          <w:lang w:val="en-US" w:eastAsia="zh-CN"/>
        </w:rPr>
        <w:t>（人民币大写：肆拾叁万玖仟零捌拾捌元整），鹿泉区财政已支付人民币</w:t>
      </w:r>
      <w:r>
        <w:rPr>
          <w:rFonts w:hint="eastAsia" w:ascii="仿宋_GB2312" w:eastAsia="仿宋_GB2312"/>
          <w:sz w:val="32"/>
          <w:szCs w:val="32"/>
          <w:u w:val="none"/>
          <w:lang w:val="en-US" w:eastAsia="zh-CN"/>
        </w:rPr>
        <w:t>200000</w:t>
      </w:r>
      <w:r>
        <w:rPr>
          <w:rFonts w:hint="eastAsia" w:ascii="仿宋_GB2312" w:eastAsia="仿宋_GB2312"/>
          <w:sz w:val="32"/>
          <w:szCs w:val="32"/>
          <w:lang w:val="en-US" w:eastAsia="zh-CN"/>
        </w:rPr>
        <w:t>元（贰拾万元整），项目未支付资金</w:t>
      </w:r>
      <w:r>
        <w:rPr>
          <w:rFonts w:hint="eastAsia" w:ascii="仿宋_GB2312" w:eastAsia="仿宋_GB2312"/>
          <w:sz w:val="32"/>
          <w:szCs w:val="32"/>
          <w:u w:val="none"/>
          <w:lang w:val="en-US" w:eastAsia="zh-CN"/>
        </w:rPr>
        <w:t>239088元</w:t>
      </w:r>
      <w:r>
        <w:rPr>
          <w:rFonts w:hint="eastAsia" w:ascii="仿宋_GB2312" w:eastAsia="仿宋_GB2312"/>
          <w:sz w:val="32"/>
          <w:szCs w:val="32"/>
          <w:lang w:val="en-US" w:eastAsia="zh-CN"/>
        </w:rPr>
        <w:t>（贰拾叁万玖仟零捌拾捌元整），来源于鹿泉区2020年度财政计划。</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贯彻省政府关于保障人民群众温暖过冬系列决策部署的重要工作。促进资源优化配置、降低能耗、减少污染物排放、提升供热保障能力、企业管理和服务水平。</w:t>
      </w:r>
    </w:p>
    <w:p>
      <w:pPr>
        <w:adjustRightInd w:val="0"/>
        <w:snapToGrid w:val="0"/>
        <w:spacing w:line="360" w:lineRule="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公用事业管理中心全面落实《河北省住房和城乡建设厅关于加快推进全省供热信息化的实施意见》和《石家庄市供热监管信息平台系统建设实施方案》，针对此项目召开专题会议，结合河北省、石家庄市政府有关部门印发的关于供热监管信息平台系统建设实施方案并成立评价工作组，指定了专人对此项目负责。</w:t>
      </w:r>
    </w:p>
    <w:p>
      <w:pPr>
        <w:numPr>
          <w:ilvl w:val="0"/>
          <w:numId w:val="0"/>
        </w:numPr>
        <w:ind w:right="0" w:rightChars="0" w:firstLine="320" w:firstLineChars="10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right="0" w:rightChars="0" w:firstLine="640"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评价工作组针对该项目组织各供热企业开展了专题会议，并对区平台进行现场观摩学习，对区平台的七大模块功能的实用性进行讨论，听取了各企业对此项目的评价。并对项目支出绩效评价共性指标体系和综合绩效进行量化评价打分。</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hAnsi="仿宋_GB2312" w:eastAsia="仿宋_GB2312" w:cs="仿宋_GB2312"/>
          <w:b w:val="0"/>
          <w:bCs w:val="0"/>
          <w:sz w:val="32"/>
          <w:szCs w:val="32"/>
          <w:lang w:val="en-US" w:eastAsia="zh-CN"/>
        </w:rPr>
        <w:t>在开展预算绩效评价工作时，除共性指标外，供热监管信息平台系统</w:t>
      </w:r>
      <w:r>
        <w:rPr>
          <w:rFonts w:hint="eastAsia" w:ascii="仿宋_GB2312" w:eastAsia="仿宋_GB2312"/>
          <w:sz w:val="32"/>
          <w:szCs w:val="32"/>
          <w:lang w:val="en-US" w:eastAsia="zh-CN"/>
        </w:rPr>
        <w:t>实现了所属区域换热站运行和居民室温状况的实时监测，各区域供热效果和供热企业服务质量的量化评价，供热管网和设施完好状况的智能分析及各个企业投诉处置和供热系统安全运行状况的实时监测。</w:t>
      </w:r>
    </w:p>
    <w:p>
      <w:pPr>
        <w:numPr>
          <w:ilvl w:val="0"/>
          <w:numId w:val="0"/>
        </w:numPr>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三、项目执行及绩效实现情况</w:t>
      </w:r>
    </w:p>
    <w:p>
      <w:pPr>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评价工作组人员对项目投入、项目实施过程、项目产出、项目效果四个等级进行量化评分，项目支出绩效评价共性指标体系的指标解释和指标说明详见附件，指标体系设定满分</w:t>
      </w:r>
      <w:r>
        <w:rPr>
          <w:rFonts w:hint="eastAsia" w:ascii="仿宋_GB2312" w:eastAsia="仿宋_GB2312"/>
          <w:sz w:val="32"/>
          <w:szCs w:val="32"/>
          <w:u w:val="single"/>
          <w:lang w:val="en-US" w:eastAsia="zh-CN"/>
        </w:rPr>
        <w:t>100</w:t>
      </w:r>
      <w:r>
        <w:rPr>
          <w:rFonts w:hint="eastAsia" w:ascii="仿宋_GB2312" w:eastAsia="仿宋_GB2312"/>
          <w:sz w:val="32"/>
          <w:szCs w:val="32"/>
          <w:lang w:val="en-US" w:eastAsia="zh-CN"/>
        </w:rPr>
        <w:t>分，经过评价工作组的量化打分最终项目得分</w:t>
      </w:r>
      <w:r>
        <w:rPr>
          <w:rFonts w:hint="eastAsia" w:ascii="仿宋_GB2312" w:eastAsia="仿宋_GB2312"/>
          <w:sz w:val="32"/>
          <w:szCs w:val="32"/>
          <w:u w:val="single"/>
          <w:lang w:val="en-US" w:eastAsia="zh-CN"/>
        </w:rPr>
        <w:t>94</w:t>
      </w:r>
      <w:r>
        <w:rPr>
          <w:rFonts w:hint="eastAsia" w:ascii="仿宋_GB2312" w:eastAsia="仿宋_GB2312"/>
          <w:sz w:val="32"/>
          <w:szCs w:val="32"/>
          <w:lang w:val="en-US" w:eastAsia="zh-CN"/>
        </w:rPr>
        <w:t>分。</w:t>
      </w:r>
    </w:p>
    <w:tbl>
      <w:tblPr>
        <w:tblStyle w:val="7"/>
        <w:tblW w:w="774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2522"/>
        <w:gridCol w:w="1613"/>
        <w:gridCol w:w="20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分值</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val="en-US" w:eastAsia="zh-CN"/>
              </w:rPr>
            </w:pPr>
            <w:r>
              <w:rPr>
                <w:rFonts w:hint="eastAsia" w:ascii="楷体_GB2312" w:hAnsi="楷体_GB2312" w:eastAsia="楷体_GB2312"/>
                <w:b/>
                <w:i w:val="0"/>
                <w:snapToGrid/>
                <w:color w:val="000000"/>
                <w:sz w:val="24"/>
                <w:szCs w:val="28"/>
                <w:u w:val="none"/>
                <w:shd w:val="clear" w:color="auto" w:fill="FFFFFF"/>
                <w:lang w:val="en-US" w:eastAsia="zh-CN"/>
              </w:rPr>
              <w:t>打分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0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7</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18"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9"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6"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1"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8"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35"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3"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8</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1"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3"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4</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jc w:val="center"/>
              <w:textAlignment w:val="auto"/>
              <w:rPr>
                <w:rFonts w:hint="eastAsia" w:ascii="仿宋_GB2312" w:hAnsi="仿宋_GB2312" w:eastAsia="仿宋_GB2312" w:cs="仿宋_GB2312"/>
                <w:snapToGrid/>
                <w:sz w:val="26"/>
                <w:szCs w:val="26"/>
                <w:lang w:val="en-US" w:eastAsia="zh-CN"/>
              </w:rPr>
            </w:pPr>
            <w:r>
              <w:rPr>
                <w:rFonts w:hint="eastAsia" w:ascii="仿宋_GB2312" w:hAnsi="仿宋_GB2312" w:eastAsia="仿宋_GB2312" w:cs="仿宋_GB2312"/>
                <w:snapToGrid/>
                <w:sz w:val="26"/>
                <w:szCs w:val="26"/>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7"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eastAsia"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7" w:hRule="atLeast"/>
        </w:trPr>
        <w:tc>
          <w:tcPr>
            <w:tcW w:w="742" w:type="dxa"/>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eastAsia" w:eastAsia="宋体"/>
                <w:sz w:val="22"/>
                <w:lang w:eastAsia="zh-CN"/>
              </w:rPr>
            </w:pPr>
            <w:r>
              <w:rPr>
                <w:rFonts w:hint="eastAsia"/>
                <w:sz w:val="22"/>
                <w:lang w:eastAsia="zh-CN"/>
              </w:rPr>
              <w:t>合计</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252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1613"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100</w:t>
            </w:r>
          </w:p>
        </w:tc>
        <w:tc>
          <w:tcPr>
            <w:tcW w:w="208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仿宋_GB2312" w:hAnsi="仿宋_GB2312" w:eastAsia="仿宋_GB2312" w:cs="仿宋_GB2312"/>
                <w:b w:val="0"/>
                <w:i w:val="0"/>
                <w:snapToGrid/>
                <w:color w:val="000000"/>
                <w:sz w:val="26"/>
                <w:szCs w:val="26"/>
                <w:u w:val="none"/>
                <w:shd w:val="clear" w:color="auto" w:fill="FFFFFF"/>
                <w:lang w:val="en-US" w:eastAsia="zh-CN"/>
              </w:rPr>
            </w:pPr>
            <w:r>
              <w:rPr>
                <w:rFonts w:hint="eastAsia" w:ascii="仿宋_GB2312" w:hAnsi="仿宋_GB2312" w:eastAsia="仿宋_GB2312" w:cs="仿宋_GB2312"/>
                <w:b w:val="0"/>
                <w:i w:val="0"/>
                <w:snapToGrid/>
                <w:color w:val="000000"/>
                <w:sz w:val="26"/>
                <w:szCs w:val="26"/>
                <w:u w:val="none"/>
                <w:shd w:val="clear" w:color="auto" w:fill="FFFFFF"/>
                <w:lang w:val="en-US" w:eastAsia="zh-CN"/>
              </w:rPr>
              <w:t>94</w:t>
            </w:r>
          </w:p>
        </w:tc>
      </w:tr>
    </w:tbl>
    <w:p>
      <w:pPr>
        <w:numPr>
          <w:ilvl w:val="0"/>
          <w:numId w:val="0"/>
        </w:numPr>
        <w:rPr>
          <w:rFonts w:hint="eastAsia" w:ascii="黑体" w:hAnsi="黑体" w:eastAsia="黑体"/>
          <w:b w:val="0"/>
          <w:bCs w:val="0"/>
          <w:sz w:val="32"/>
          <w:szCs w:val="32"/>
          <w:lang w:val="en-US" w:eastAsia="zh-CN"/>
        </w:rPr>
      </w:pPr>
      <w:r>
        <w:rPr>
          <w:rFonts w:hint="eastAsia" w:ascii="黑体" w:hAnsi="黑体" w:eastAsia="黑体" w:cs="黑体"/>
          <w:b w:val="0"/>
          <w:bCs w:val="0"/>
          <w:sz w:val="32"/>
          <w:szCs w:val="32"/>
          <w:lang w:val="en-US" w:eastAsia="zh-CN"/>
        </w:rPr>
        <w:t>四、</w:t>
      </w: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p>
    <w:p>
      <w:pPr>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经过评价工作组根据对四个等级的情况评价打分，最终得分</w:t>
      </w:r>
      <w:r>
        <w:rPr>
          <w:rFonts w:hint="eastAsia" w:ascii="仿宋_GB2312" w:eastAsia="仿宋_GB2312"/>
          <w:sz w:val="32"/>
          <w:szCs w:val="32"/>
          <w:u w:val="single"/>
          <w:lang w:val="en-US" w:eastAsia="zh-CN"/>
        </w:rPr>
        <w:t>94</w:t>
      </w:r>
      <w:r>
        <w:rPr>
          <w:rFonts w:hint="eastAsia" w:ascii="仿宋_GB2312" w:eastAsia="仿宋_GB2312"/>
          <w:sz w:val="32"/>
          <w:szCs w:val="32"/>
          <w:lang w:val="en-US" w:eastAsia="zh-CN"/>
        </w:rPr>
        <w:t>分，此项目综合绩效评价为优秀。</w:t>
      </w:r>
    </w:p>
    <w:p>
      <w:pPr>
        <w:numPr>
          <w:ilvl w:val="0"/>
          <w:numId w:val="0"/>
        </w:numPr>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1.供热智能管理平台中楼栋（入口）、用热户基础数据不够完善。</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2.因室温采集器的安装位置的原因，采集到上位机平台的温度比实际室温要低。</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firstLine="64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建议供热智慧管理平台的厂家逐步完善楼栋（入口）与热用户信息，对室温采集器的上传温度进行修正。</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黑体" w:eastAsia="黑体"/>
          <w:b w:val="0"/>
          <w:bCs w:val="0"/>
          <w:sz w:val="32"/>
          <w:szCs w:val="32"/>
          <w:lang w:val="en-US" w:eastAsia="zh-CN"/>
        </w:rPr>
        <w:t>六、</w:t>
      </w:r>
      <w:r>
        <w:rPr>
          <w:rFonts w:hint="eastAsia" w:ascii="黑体" w:eastAsia="黑体"/>
          <w:b w:val="0"/>
          <w:bCs w:val="0"/>
          <w:sz w:val="32"/>
          <w:szCs w:val="32"/>
        </w:rPr>
        <w:t>评价工作组人员名单及签字</w:t>
      </w:r>
      <w:r>
        <w:rPr>
          <w:rFonts w:hint="eastAsia" w:ascii="黑体" w:eastAsia="黑体"/>
          <w:b w:val="0"/>
          <w:bCs w:val="0"/>
          <w:sz w:val="32"/>
          <w:szCs w:val="32"/>
          <w:lang w:eastAsia="zh-CN"/>
        </w:rPr>
        <w:t>：</w:t>
      </w:r>
    </w:p>
    <w:tbl>
      <w:tblPr>
        <w:tblStyle w:val="8"/>
        <w:tblW w:w="88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487"/>
        <w:gridCol w:w="2975"/>
        <w:gridCol w:w="2164"/>
        <w:gridCol w:w="1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0" w:type="dxa"/>
            <w:vAlign w:val="center"/>
          </w:tcPr>
          <w:p>
            <w:pPr>
              <w:numPr>
                <w:ilvl w:val="0"/>
                <w:numId w:val="0"/>
              </w:numPr>
              <w:adjustRightInd w:val="0"/>
              <w:snapToGrid w:val="0"/>
              <w:spacing w:line="360" w:lineRule="auto"/>
              <w:jc w:val="center"/>
              <w:rPr>
                <w:rFonts w:hint="default" w:ascii="仿宋_GB2312" w:eastAsia="仿宋_GB2312"/>
                <w:sz w:val="21"/>
                <w:szCs w:val="21"/>
                <w:vertAlign w:val="baseline"/>
                <w:lang w:val="en-US" w:eastAsia="zh-CN"/>
              </w:rPr>
            </w:pP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975"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工作单位</w:t>
            </w:r>
          </w:p>
        </w:tc>
        <w:tc>
          <w:tcPr>
            <w:tcW w:w="2164"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c>
          <w:tcPr>
            <w:tcW w:w="1086"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1" w:hRule="atLeast"/>
        </w:trPr>
        <w:tc>
          <w:tcPr>
            <w:tcW w:w="1180"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组长</w:t>
            </w: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杜树森</w:t>
            </w:r>
          </w:p>
        </w:tc>
        <w:tc>
          <w:tcPr>
            <w:tcW w:w="2975"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24"/>
                <w:szCs w:val="24"/>
                <w:vertAlign w:val="baseline"/>
                <w:lang w:val="en-US" w:eastAsia="zh-CN"/>
              </w:rPr>
              <w:t>鹿泉区公用事业管理中心</w:t>
            </w:r>
          </w:p>
        </w:tc>
        <w:tc>
          <w:tcPr>
            <w:tcW w:w="2164"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主任</w:t>
            </w:r>
          </w:p>
        </w:tc>
        <w:tc>
          <w:tcPr>
            <w:tcW w:w="1086"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1180"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副组长</w:t>
            </w: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王晓丽</w:t>
            </w:r>
          </w:p>
        </w:tc>
        <w:tc>
          <w:tcPr>
            <w:tcW w:w="2975"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24"/>
                <w:szCs w:val="24"/>
                <w:vertAlign w:val="baseline"/>
                <w:lang w:val="en-US" w:eastAsia="zh-CN"/>
              </w:rPr>
              <w:t>鹿泉区公用事业管理中心</w:t>
            </w:r>
          </w:p>
        </w:tc>
        <w:tc>
          <w:tcPr>
            <w:tcW w:w="2164"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副主任</w:t>
            </w:r>
          </w:p>
        </w:tc>
        <w:tc>
          <w:tcPr>
            <w:tcW w:w="1086"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5" w:hRule="atLeast"/>
        </w:trPr>
        <w:tc>
          <w:tcPr>
            <w:tcW w:w="1180"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组员</w:t>
            </w: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赵英霞</w:t>
            </w:r>
          </w:p>
        </w:tc>
        <w:tc>
          <w:tcPr>
            <w:tcW w:w="2975"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24"/>
                <w:szCs w:val="24"/>
                <w:vertAlign w:val="baseline"/>
                <w:lang w:val="en-US" w:eastAsia="zh-CN"/>
              </w:rPr>
              <w:t>鹿泉区公用事业管理中心</w:t>
            </w:r>
          </w:p>
        </w:tc>
        <w:tc>
          <w:tcPr>
            <w:tcW w:w="2164" w:type="dxa"/>
            <w:vAlign w:val="center"/>
          </w:tcPr>
          <w:p>
            <w:pPr>
              <w:numPr>
                <w:ilvl w:val="0"/>
                <w:numId w:val="0"/>
              </w:numPr>
              <w:adjustRightInd w:val="0"/>
              <w:snapToGrid w:val="0"/>
              <w:spacing w:line="360" w:lineRule="auto"/>
              <w:jc w:val="center"/>
              <w:rPr>
                <w:rFonts w:hint="default" w:ascii="仿宋_GB2312" w:eastAsia="仿宋_GB2312"/>
                <w:color w:val="0D0D0D" w:themeColor="text1" w:themeTint="F2"/>
                <w:sz w:val="32"/>
                <w:szCs w:val="32"/>
                <w:vertAlign w:val="baseline"/>
                <w:lang w:val="en-US" w:eastAsia="zh-CN"/>
                <w14:textFill>
                  <w14:solidFill>
                    <w14:schemeClr w14:val="tx1">
                      <w14:lumMod w14:val="95000"/>
                      <w14:lumOff w14:val="5000"/>
                    </w14:schemeClr>
                  </w14:solidFill>
                </w14:textFill>
              </w:rPr>
            </w:pPr>
            <w:r>
              <w:rPr>
                <w:rFonts w:hint="eastAsia" w:ascii="仿宋_GB2312" w:eastAsia="仿宋_GB2312"/>
                <w:sz w:val="32"/>
                <w:szCs w:val="32"/>
                <w:vertAlign w:val="baseline"/>
                <w:lang w:val="en-US" w:eastAsia="zh-CN"/>
              </w:rPr>
              <w:t>供热办主任</w:t>
            </w:r>
          </w:p>
        </w:tc>
        <w:tc>
          <w:tcPr>
            <w:tcW w:w="1086" w:type="dxa"/>
            <w:vAlign w:val="center"/>
          </w:tcPr>
          <w:p>
            <w:pPr>
              <w:numPr>
                <w:ilvl w:val="0"/>
                <w:numId w:val="0"/>
              </w:numPr>
              <w:adjustRightInd w:val="0"/>
              <w:snapToGrid w:val="0"/>
              <w:spacing w:line="360" w:lineRule="auto"/>
              <w:jc w:val="center"/>
              <w:rPr>
                <w:rFonts w:hint="eastAsia" w:ascii="仿宋_GB2312" w:eastAsia="仿宋_GB2312"/>
                <w:color w:val="0D0D0D" w:themeColor="text1" w:themeTint="F2"/>
                <w:sz w:val="32"/>
                <w:szCs w:val="32"/>
                <w:vertAlign w:val="baseline"/>
                <w:lang w:val="en-US" w:eastAsia="zh-CN"/>
                <w14:textFill>
                  <w14:solidFill>
                    <w14:schemeClr w14:val="tx1">
                      <w14:lumMod w14:val="95000"/>
                      <w14:lumOff w14:val="5000"/>
                    </w14:schemeClr>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0"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组员</w:t>
            </w: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刘宗根</w:t>
            </w:r>
          </w:p>
        </w:tc>
        <w:tc>
          <w:tcPr>
            <w:tcW w:w="2975"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24"/>
                <w:szCs w:val="24"/>
                <w:vertAlign w:val="baseline"/>
                <w:lang w:val="en-US" w:eastAsia="zh-CN"/>
              </w:rPr>
              <w:t>鹿泉区供热服务中心</w:t>
            </w:r>
          </w:p>
        </w:tc>
        <w:tc>
          <w:tcPr>
            <w:tcW w:w="2164"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经理</w:t>
            </w:r>
          </w:p>
        </w:tc>
        <w:tc>
          <w:tcPr>
            <w:tcW w:w="1086"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80"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组员</w:t>
            </w:r>
          </w:p>
        </w:tc>
        <w:tc>
          <w:tcPr>
            <w:tcW w:w="1487"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周建全</w:t>
            </w:r>
          </w:p>
        </w:tc>
        <w:tc>
          <w:tcPr>
            <w:tcW w:w="2975"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24"/>
                <w:szCs w:val="24"/>
                <w:vertAlign w:val="baseline"/>
                <w:lang w:val="en-US" w:eastAsia="zh-CN"/>
              </w:rPr>
              <w:t>鹿泉区供热信息平台</w:t>
            </w:r>
          </w:p>
        </w:tc>
        <w:tc>
          <w:tcPr>
            <w:tcW w:w="2164" w:type="dxa"/>
            <w:vAlign w:val="center"/>
          </w:tcPr>
          <w:p>
            <w:pPr>
              <w:numPr>
                <w:ilvl w:val="0"/>
                <w:numId w:val="0"/>
              </w:numPr>
              <w:adjustRightInd w:val="0"/>
              <w:snapToGrid w:val="0"/>
              <w:spacing w:line="360" w:lineRule="auto"/>
              <w:jc w:val="center"/>
              <w:rPr>
                <w:rFonts w:hint="default"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主任</w:t>
            </w:r>
          </w:p>
        </w:tc>
        <w:tc>
          <w:tcPr>
            <w:tcW w:w="1086" w:type="dxa"/>
            <w:vAlign w:val="center"/>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p>
        </w:tc>
      </w:tr>
    </w:tbl>
    <w:p>
      <w:pPr>
        <w:numPr>
          <w:ilvl w:val="0"/>
          <w:numId w:val="0"/>
        </w:numPr>
        <w:adjustRightInd w:val="0"/>
        <w:snapToGrid w:val="0"/>
        <w:spacing w:line="360" w:lineRule="auto"/>
        <w:rPr>
          <w:rFonts w:hint="eastAsia" w:ascii="仿宋_GB2312" w:eastAsia="仿宋_GB2312"/>
          <w:sz w:val="32"/>
          <w:szCs w:val="32"/>
          <w:lang w:val="en-US" w:eastAsia="zh-CN"/>
        </w:rPr>
      </w:pP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1280" w:firstLineChars="4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1280" w:firstLineChars="4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firstLine="1280" w:firstLineChars="400"/>
        <w:jc w:val="both"/>
        <w:textAlignment w:val="auto"/>
        <w:outlineLvl w:val="9"/>
        <w:rPr>
          <w:rFonts w:hint="eastAsia" w:ascii="仿宋_GB2312" w:hAnsi="宋体" w:eastAsia="仿宋_GB2312"/>
          <w:sz w:val="32"/>
          <w:szCs w:val="32"/>
          <w:lang w:val="en-US" w:eastAsia="zh-CN"/>
        </w:rPr>
      </w:pPr>
      <w:bookmarkStart w:id="0" w:name="_GoBack"/>
      <w:bookmarkEnd w:id="0"/>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33FAB6"/>
    <w:multiLevelType w:val="singleLevel"/>
    <w:tmpl w:val="8C33FAB6"/>
    <w:lvl w:ilvl="0" w:tentative="0">
      <w:start w:val="2"/>
      <w:numFmt w:val="decimal"/>
      <w:lvlText w:val="%1."/>
      <w:lvlJc w:val="left"/>
      <w:pPr>
        <w:tabs>
          <w:tab w:val="left" w:pos="312"/>
        </w:tabs>
        <w:ind w:left="80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5BB7CF9"/>
    <w:rsid w:val="0C61373D"/>
    <w:rsid w:val="20D31118"/>
    <w:rsid w:val="2A2941B7"/>
    <w:rsid w:val="31A51903"/>
    <w:rsid w:val="39DD4DFF"/>
    <w:rsid w:val="3A1709AF"/>
    <w:rsid w:val="3BF77A84"/>
    <w:rsid w:val="3C232C18"/>
    <w:rsid w:val="46513ABA"/>
    <w:rsid w:val="4F165A47"/>
    <w:rsid w:val="532B6DC8"/>
    <w:rsid w:val="55F13F8F"/>
    <w:rsid w:val="5C3C71E6"/>
    <w:rsid w:val="5DFA24C9"/>
    <w:rsid w:val="5E6638AD"/>
    <w:rsid w:val="61E67C1F"/>
    <w:rsid w:val="744D0CE1"/>
    <w:rsid w:val="79FB0BD7"/>
    <w:rsid w:val="7BBB0CEE"/>
    <w:rsid w:val="7BDD0802"/>
    <w:rsid w:val="7E9B05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2020-01-07T02:33:49Z</cp:lastPrinted>
  <dcterms:modified xsi:type="dcterms:W3CDTF">2020-01-07T02:34:11Z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