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val="en-US" w:eastAsia="zh-CN"/>
        </w:rPr>
        <w:t>2018年春节道路</w:t>
      </w:r>
      <w:r>
        <w:rPr>
          <w:rFonts w:hint="eastAsia" w:ascii="宋体"/>
          <w:b/>
          <w:bCs/>
          <w:sz w:val="36"/>
          <w:szCs w:val="32"/>
          <w:lang w:eastAsia="zh-CN"/>
        </w:rPr>
        <w:t>悬挂灯笼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翠屏山路等路段悬挂灯笼项目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项目名称;石家庄市鹿泉区2018年春节道路悬挂灯笼。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项目实施单位：石家庄市鹿泉区交通运输局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工程地点：石家庄市鹿泉区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资金来源:鹿泉区财政拨付，投资总金额为258480元，2019年财政列入预算资金258480元，实际到位资金为258480元，已全部支出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。项目种类为一次性项目。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018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春节安装绸布绸布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灯笼500套、南二环西延68套、十里画廊160套，望佛路两侧路树安装串灯3000套、307国道安装拱圈亮化10处、完工</w:t>
      </w:r>
      <w:r>
        <w:rPr>
          <w:rFonts w:hint="eastAsia" w:ascii="仿宋" w:hAnsi="仿宋" w:eastAsia="仿宋" w:cs="仿宋"/>
          <w:sz w:val="32"/>
          <w:szCs w:val="32"/>
        </w:rPr>
        <w:t>正常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运行。</w:t>
      </w:r>
      <w:r>
        <w:rPr>
          <w:rFonts w:hint="eastAsia" w:ascii="仿宋" w:hAnsi="仿宋" w:eastAsia="仿宋" w:cs="仿宋"/>
          <w:sz w:val="32"/>
          <w:szCs w:val="32"/>
        </w:rPr>
        <w:t>方便市民夜间出行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增加祥和氛围</w:t>
      </w:r>
      <w:r>
        <w:rPr>
          <w:rFonts w:hint="eastAsia" w:ascii="仿宋" w:hAnsi="仿宋" w:eastAsia="仿宋" w:cs="仿宋"/>
          <w:sz w:val="32"/>
          <w:szCs w:val="32"/>
        </w:rPr>
        <w:t>，美化、亮化城市。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按照财政部《财政支出绩效评价管理暂行办法》和《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河北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省财政支出绩效评价实施意见》通过我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组织成立项目绩效评价工作小组队项目的预算、项目任务书和绩效指标完成情况进行小结自评，经项目组成员充分讨论后形成绩效自评小结报告。</w:t>
      </w:r>
    </w:p>
    <w:tbl>
      <w:tblPr>
        <w:tblStyle w:val="5"/>
        <w:tblW w:w="9478" w:type="dxa"/>
        <w:tblInd w:w="46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737"/>
        <w:gridCol w:w="2099"/>
        <w:gridCol w:w="3108"/>
        <w:gridCol w:w="2510"/>
        <w:gridCol w:w="2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45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b/>
                <w:bCs/>
                <w:kern w:val="0"/>
                <w:sz w:val="24"/>
              </w:rPr>
              <w:t>评价人员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姓  名</w:t>
            </w:r>
          </w:p>
        </w:tc>
        <w:tc>
          <w:tcPr>
            <w:tcW w:w="20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职务/职称</w:t>
            </w:r>
          </w:p>
        </w:tc>
        <w:tc>
          <w:tcPr>
            <w:tcW w:w="31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单   位</w:t>
            </w:r>
          </w:p>
        </w:tc>
        <w:tc>
          <w:tcPr>
            <w:tcW w:w="25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签 字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numPr>
                <w:ilvl w:val="0"/>
                <w:numId w:val="0"/>
              </w:numPr>
              <w:spacing w:before="100" w:beforeAutospacing="1" w:after="100" w:afterAutospacing="1" w:line="440" w:lineRule="atLeast"/>
              <w:ind w:leftChars="0"/>
              <w:jc w:val="both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曹东亮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numPr>
                <w:ilvl w:val="0"/>
                <w:numId w:val="0"/>
              </w:numPr>
              <w:spacing w:before="100" w:beforeAutospacing="1" w:after="100" w:afterAutospacing="1" w:line="440" w:lineRule="atLeast"/>
              <w:ind w:leftChars="0"/>
              <w:jc w:val="both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主任</w:t>
            </w: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numPr>
                <w:ilvl w:val="0"/>
                <w:numId w:val="0"/>
              </w:numPr>
              <w:spacing w:before="100" w:beforeAutospacing="1" w:after="100" w:afterAutospacing="1" w:line="440" w:lineRule="atLeast"/>
              <w:ind w:leftChars="0"/>
              <w:jc w:val="both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鹿泉区交通运输局</w:t>
            </w: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numPr>
                <w:ilvl w:val="0"/>
                <w:numId w:val="0"/>
              </w:numPr>
              <w:spacing w:before="100" w:beforeAutospacing="1" w:after="100" w:afterAutospacing="1" w:line="440" w:lineRule="atLeast"/>
              <w:ind w:leftChars="0"/>
              <w:jc w:val="both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张建军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numPr>
                <w:ilvl w:val="0"/>
                <w:numId w:val="0"/>
              </w:numPr>
              <w:spacing w:before="100" w:beforeAutospacing="1" w:after="100" w:afterAutospacing="1" w:line="440" w:lineRule="atLeast"/>
              <w:ind w:leftChars="0"/>
              <w:jc w:val="both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副主任</w:t>
            </w: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numPr>
                <w:ilvl w:val="0"/>
                <w:numId w:val="0"/>
              </w:numPr>
              <w:spacing w:before="100" w:beforeAutospacing="1" w:after="100" w:afterAutospacing="1" w:line="440" w:lineRule="atLeast"/>
              <w:ind w:leftChars="0"/>
              <w:jc w:val="both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鹿泉区交通运输局</w:t>
            </w: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numPr>
                <w:ilvl w:val="0"/>
                <w:numId w:val="0"/>
              </w:numPr>
              <w:spacing w:before="100" w:beforeAutospacing="1" w:after="100" w:afterAutospacing="1" w:line="440" w:lineRule="atLeast"/>
              <w:ind w:leftChars="0"/>
              <w:jc w:val="both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刘勇虎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numPr>
                <w:ilvl w:val="0"/>
                <w:numId w:val="0"/>
              </w:numPr>
              <w:spacing w:before="100" w:beforeAutospacing="1" w:after="100" w:afterAutospacing="1" w:line="440" w:lineRule="atLeast"/>
              <w:ind w:leftChars="0"/>
              <w:jc w:val="both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副主任</w:t>
            </w: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numPr>
                <w:ilvl w:val="0"/>
                <w:numId w:val="0"/>
              </w:numPr>
              <w:spacing w:before="100" w:beforeAutospacing="1" w:after="100" w:afterAutospacing="1" w:line="440" w:lineRule="atLeast"/>
              <w:ind w:leftChars="0"/>
              <w:jc w:val="both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鹿泉区交通运输局</w:t>
            </w: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45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评价工作组组长（签字）：</w:t>
            </w:r>
          </w:p>
          <w:p>
            <w:pPr>
              <w:widowControl/>
              <w:spacing w:before="100" w:beforeAutospacing="1" w:after="100" w:afterAutospacing="1" w:line="440" w:lineRule="atLeas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 </w:t>
            </w:r>
          </w:p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 </w:t>
            </w:r>
          </w:p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项目单位负责人（签字并盖章）：</w:t>
            </w:r>
          </w:p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20</w:t>
            </w:r>
            <w:r>
              <w:rPr>
                <w:rFonts w:ascii="宋体" w:hAnsi="宋体" w:cs="宋体"/>
                <w:kern w:val="0"/>
                <w:sz w:val="24"/>
              </w:rPr>
              <w:t>年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1</w:t>
            </w:r>
            <w:r>
              <w:rPr>
                <w:rFonts w:ascii="宋体" w:hAnsi="宋体" w:cs="宋体"/>
                <w:kern w:val="0"/>
                <w:sz w:val="24"/>
              </w:rPr>
              <w:t>月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6</w:t>
            </w:r>
            <w:r>
              <w:rPr>
                <w:rFonts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</w:tbl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评价指标包括两大类，一类是定量指标，一类是定性指标。定量指标包括共性指标和个性指标。定性指标指无法通过数量计算分析评价内容，而采取对评价对象进行客观描述和分析来反映评价结果的指标。定性指标是通过各项定性因素的分析判断，对定量指标结果进行全面的校验、修正和完善，形成项目绩效定量与定性评价相结合的综合评价结论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共性指标主要评价财政支出项目的共性方面，它是每个评价对象都必须采用的指标。包括项目管理、财务管理和目标完成度三大项指标构成。个性指标是评价财政支出的产出效益，按照该项目分为四类指标，每一类指标又由若干个明细指标构成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9478" w:type="dxa"/>
        <w:tblInd w:w="23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93"/>
        <w:gridCol w:w="997"/>
        <w:gridCol w:w="1431"/>
        <w:gridCol w:w="889"/>
        <w:gridCol w:w="1917"/>
        <w:gridCol w:w="868"/>
        <w:gridCol w:w="1859"/>
        <w:gridCol w:w="2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478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  <w:t>绩效评价指标评分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tcBorders>
              <w:top w:val="nil"/>
              <w:left w:val="single" w:color="auto" w:sz="8" w:space="0"/>
              <w:bottom w:val="single" w:color="auto" w:sz="36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997" w:type="dxa"/>
            <w:tcBorders>
              <w:top w:val="single" w:color="auto" w:sz="8" w:space="0"/>
              <w:left w:val="nil"/>
              <w:bottom w:val="single" w:color="auto" w:sz="36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14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8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191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三级指标</w:t>
            </w:r>
          </w:p>
        </w:tc>
        <w:tc>
          <w:tcPr>
            <w:tcW w:w="86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18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得分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项目决策</w:t>
            </w:r>
          </w:p>
        </w:tc>
        <w:tc>
          <w:tcPr>
            <w:tcW w:w="99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项目目标</w:t>
            </w:r>
          </w:p>
        </w:tc>
        <w:tc>
          <w:tcPr>
            <w:tcW w:w="8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目标内容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决策过程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决策依据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决策程序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资金分配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分配办法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分配结果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项目管理</w:t>
            </w:r>
          </w:p>
        </w:tc>
        <w:tc>
          <w:tcPr>
            <w:tcW w:w="99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资金到位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到位率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到位时效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资金管理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资金使用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财务管理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组织实施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组织机构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管理制度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项目绩效</w:t>
            </w:r>
          </w:p>
        </w:tc>
        <w:tc>
          <w:tcPr>
            <w:tcW w:w="99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55</w:t>
            </w: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项目产出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产出数量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产出质量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产出时效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产出成本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项目效益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经济效益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社会效益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环境效益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可持续影响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服务对象满意度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14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总分</w:t>
            </w:r>
          </w:p>
        </w:tc>
        <w:tc>
          <w:tcPr>
            <w:tcW w:w="9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8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48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评价等次</w:t>
            </w:r>
          </w:p>
        </w:tc>
        <w:tc>
          <w:tcPr>
            <w:tcW w:w="464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优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</w:tbl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3"/>
        <w:jc w:val="left"/>
        <w:rPr>
          <w:rFonts w:ascii="微软雅黑" w:hAnsi="微软雅黑" w:eastAsia="微软雅黑" w:cs="宋体"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宋体"/>
          <w:b/>
          <w:bCs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  <w:t>1.项目组织情况分析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42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按照《中华人民共和国招标投标法》委托有资质的招标代理机构承担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项目施工招标代理工作；并按规定完成招标公示公告后按程序与中标单位签订《施工合同》；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3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2.项目管理情况分析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一是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建设采用招投标制、合同管理制和工程监理制，过程管理规范。确保工程建设标准符合施工验收标准的要求，在保证质量、安全的前提下，按照预定工期开展项目建设工作。二是在项目实施过程中，严格执行公示公告制度。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三是财务管理规范，专款专用。</w:t>
      </w:r>
    </w:p>
    <w:p>
      <w:pP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（二）项目实施过程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绩效管理、整章建制为项目管理提供了制度保证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局</w:t>
      </w:r>
      <w:r>
        <w:rPr>
          <w:rFonts w:hint="eastAsia" w:ascii="仿宋" w:hAnsi="仿宋" w:eastAsia="仿宋" w:cs="仿宋"/>
          <w:sz w:val="32"/>
          <w:szCs w:val="32"/>
        </w:rPr>
        <w:t>制定了《201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年度各部门目标管理考核细则方案 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《绩效考核方案》等系列管理制度，为确保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路灯及</w:t>
      </w:r>
      <w:r>
        <w:rPr>
          <w:rFonts w:hint="eastAsia" w:ascii="仿宋" w:hAnsi="仿宋" w:eastAsia="仿宋" w:cs="仿宋"/>
          <w:sz w:val="32"/>
          <w:szCs w:val="32"/>
        </w:rPr>
        <w:t>亮化设施完好率、亮灯率提供了制度保证。对一年的目标任务进行细化、量化，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由局考核督查科负责</w:t>
      </w:r>
      <w:r>
        <w:rPr>
          <w:rFonts w:hint="eastAsia" w:ascii="仿宋" w:hAnsi="仿宋" w:eastAsia="仿宋" w:cs="仿宋"/>
          <w:sz w:val="32"/>
          <w:szCs w:val="32"/>
        </w:rPr>
        <w:t>，每月自查的基础上，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考核督查科</w:t>
      </w:r>
      <w:r>
        <w:rPr>
          <w:rFonts w:hint="eastAsia" w:ascii="仿宋" w:hAnsi="仿宋" w:eastAsia="仿宋" w:cs="仿宋"/>
          <w:sz w:val="32"/>
          <w:szCs w:val="32"/>
        </w:rPr>
        <w:t>采取不定期的查、看、督等方式对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路灯管理</w:t>
      </w:r>
      <w:r>
        <w:rPr>
          <w:rFonts w:hint="eastAsia" w:ascii="仿宋" w:hAnsi="仿宋" w:eastAsia="仿宋" w:cs="仿宋"/>
          <w:sz w:val="32"/>
          <w:szCs w:val="32"/>
        </w:rPr>
        <w:t>工作进行全面考核和综合打分，并以此作为年终目标考核评优评先的重要依据。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4C5157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各项目严格执行合同制，在确保工程质量的前提下，按工程进度实行拨付，工程实际拨付金额未超出预算。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（三）项目产出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项目按照施工图设计，根据合同约定组织施工人员进场开工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安装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。同时实行不定期督查制度，确保项目实施进度有效推进。项目质量严格按照设计内容、验收标准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，产品必须有合格证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进行建设，质量达到验收合格要求方同意竣工验收。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（四）项目效果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公共亮化工程的实施方便了市民夜间出行，得到了绝大多数市民的赞扬。每到夜晚，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十里画廊</w:t>
      </w:r>
      <w:r>
        <w:rPr>
          <w:rFonts w:hint="eastAsia" w:ascii="仿宋" w:hAnsi="仿宋" w:eastAsia="仿宋" w:cs="仿宋"/>
          <w:sz w:val="32"/>
          <w:szCs w:val="32"/>
        </w:rPr>
        <w:t>广场灯火通明，市民载歌载舞，喜笑颜开，美化、亮化了城市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媒体对此进行了大量的报道，市民满意率为100%。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公共亮化工程的实施方便了市民夜间出行，得到了绝大多数市民的赞扬。每到夜晚，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十里画廊</w:t>
      </w:r>
      <w:r>
        <w:rPr>
          <w:rFonts w:hint="eastAsia" w:ascii="仿宋" w:hAnsi="仿宋" w:eastAsia="仿宋" w:cs="仿宋"/>
          <w:sz w:val="32"/>
          <w:szCs w:val="32"/>
        </w:rPr>
        <w:t>广场灯火通明，市民载歌载舞，喜笑颜开，媒体对此进行了大量的报道，市民满意率为100%。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根据考核评分细则，考评组认为，亮化设施维护运行项目从整体上看做到了财政资金管理规范、项目管理到位、政策执行有力，有效发挥了财政资金的使用效率，综合考评得分等级为“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优</w:t>
      </w:r>
      <w:r>
        <w:rPr>
          <w:rFonts w:hint="eastAsia" w:ascii="仿宋" w:hAnsi="仿宋" w:eastAsia="仿宋" w:cs="仿宋"/>
          <w:sz w:val="32"/>
          <w:szCs w:val="32"/>
        </w:rPr>
        <w:t>”。该项目的实施，保障了公共亮化设施的正常运行，美化、亮化了城市，方便了市民夜间出行及夜间道路安全。在此基础上，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部分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村民对于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亮化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创建工作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爱护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意识不强，支持率和配合力度有待宣传、教育、提高。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建议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加强资金目标设置的指导，完善绩效自评工作。建设财政部门对各单位绩效评价小组人员给予适当培训，积极开展事前、事中、事后评价，使绩效自评工作常态化，以自评促管理提升、促绩效目标实现，改变自评工作滞后和不规范的局面。2.加强项目工作监督检查指导工作，积极协调解决乡镇政府项目管理能力薄弱等问题，对相关项目负责人员加强培训再教育，确保项目工作有效实施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104E275F"/>
    <w:rsid w:val="159A0BD7"/>
    <w:rsid w:val="1E2058D5"/>
    <w:rsid w:val="2A2941B7"/>
    <w:rsid w:val="300C46AF"/>
    <w:rsid w:val="33491077"/>
    <w:rsid w:val="36000A75"/>
    <w:rsid w:val="362533BB"/>
    <w:rsid w:val="41891641"/>
    <w:rsid w:val="42574AC0"/>
    <w:rsid w:val="42CA46F1"/>
    <w:rsid w:val="57B82CAA"/>
    <w:rsid w:val="5B577B32"/>
    <w:rsid w:val="5D262961"/>
    <w:rsid w:val="61783081"/>
    <w:rsid w:val="6C423CF4"/>
    <w:rsid w:val="6C653F37"/>
    <w:rsid w:val="73C11453"/>
    <w:rsid w:val="75FF7F19"/>
    <w:rsid w:val="762E66D1"/>
    <w:rsid w:val="76492295"/>
    <w:rsid w:val="765502F9"/>
    <w:rsid w:val="78C23E7E"/>
    <w:rsid w:val="7BC15EE6"/>
    <w:rsid w:val="7E15247A"/>
    <w:rsid w:val="7FC94A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Office_11.1.0.9330_F1E327BC-269C-435d-A152-05C5408002CA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山水黑脸书生~</cp:lastModifiedBy>
  <cp:lastPrinted>2020-01-06T03:34:00Z</cp:lastPrinted>
  <dcterms:modified xsi:type="dcterms:W3CDTF">2020-01-06T05:38:32Z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