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right="0" w:rightChars="0"/>
        <w:jc w:val="both"/>
        <w:textAlignment w:val="auto"/>
        <w:outlineLvl w:val="9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right="0" w:rightChars="0" w:firstLine="0" w:firstLineChars="0"/>
        <w:jc w:val="center"/>
        <w:textAlignment w:val="auto"/>
        <w:rPr>
          <w:rFonts w:hint="eastAsia" w:ascii="宋体" w:hAnsi="宋体" w:eastAsia="宋体" w:cs="宋体"/>
          <w:b/>
          <w:bCs/>
          <w:sz w:val="36"/>
          <w:szCs w:val="36"/>
          <w:lang w:eastAsia="zh-CN"/>
        </w:rPr>
      </w:pPr>
      <w:r>
        <w:rPr>
          <w:rFonts w:hint="eastAsia" w:ascii="宋体" w:hAnsi="宋体" w:eastAsia="宋体" w:cs="宋体"/>
          <w:b/>
          <w:bCs/>
          <w:sz w:val="36"/>
          <w:szCs w:val="36"/>
          <w:lang w:eastAsia="zh-CN"/>
        </w:rPr>
        <w:t>京赞线南二环西延、中山路口大型立体花坛绿雕工程</w:t>
      </w:r>
    </w:p>
    <w:p>
      <w:pPr>
        <w:spacing w:line="360" w:lineRule="auto"/>
        <w:ind w:left="0" w:leftChars="0" w:right="0" w:rightChars="0" w:firstLine="0" w:firstLineChars="0"/>
        <w:jc w:val="center"/>
        <w:rPr>
          <w:rFonts w:hint="eastAsia" w:ascii="华文楷体" w:eastAsia="华文楷体"/>
          <w:sz w:val="32"/>
          <w:szCs w:val="32"/>
          <w:lang w:eastAsia="zh-CN"/>
        </w:rPr>
      </w:pPr>
      <w:r>
        <w:rPr>
          <w:rFonts w:hint="eastAsia" w:ascii="宋体"/>
          <w:b/>
          <w:bCs/>
          <w:sz w:val="36"/>
          <w:szCs w:val="32"/>
          <w:lang w:eastAsia="zh-CN"/>
        </w:rPr>
        <w:t>项目</w:t>
      </w:r>
      <w:r>
        <w:rPr>
          <w:rFonts w:hint="eastAsia" w:ascii="宋体"/>
          <w:b/>
          <w:bCs/>
          <w:sz w:val="36"/>
          <w:szCs w:val="32"/>
        </w:rPr>
        <w:t>绩效评价报告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根据《</w:t>
      </w:r>
      <w:r>
        <w:rPr>
          <w:rFonts w:hint="eastAsia" w:ascii="仿宋_GB2312" w:eastAsia="仿宋_GB2312"/>
          <w:sz w:val="32"/>
          <w:szCs w:val="32"/>
          <w:lang w:eastAsia="zh-CN"/>
        </w:rPr>
        <w:t>石家庄市鹿泉区区级部门预算绩效管理办法</w:t>
      </w:r>
      <w:r>
        <w:rPr>
          <w:rFonts w:hint="eastAsia" w:ascii="仿宋_GB2312" w:eastAsia="仿宋_GB2312"/>
          <w:sz w:val="32"/>
          <w:szCs w:val="32"/>
        </w:rPr>
        <w:t>》</w:t>
      </w:r>
      <w:r>
        <w:rPr>
          <w:rFonts w:hint="eastAsia" w:ascii="仿宋_GB2312" w:eastAsia="仿宋_GB2312"/>
          <w:sz w:val="32"/>
          <w:szCs w:val="32"/>
          <w:lang w:eastAsia="zh-CN"/>
        </w:rPr>
        <w:t>（</w:t>
      </w:r>
      <w:r>
        <w:rPr>
          <w:rFonts w:hint="eastAsia" w:ascii="仿宋_GB2312" w:eastAsia="仿宋_GB2312"/>
          <w:sz w:val="32"/>
          <w:szCs w:val="32"/>
          <w:highlight w:val="none"/>
          <w:lang w:eastAsia="zh-CN"/>
        </w:rPr>
        <w:t>鹿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财字[2019]65号）</w:t>
      </w:r>
      <w:r>
        <w:rPr>
          <w:rFonts w:hint="eastAsia" w:ascii="仿宋_GB2312" w:eastAsia="仿宋_GB2312"/>
          <w:sz w:val="32"/>
          <w:szCs w:val="32"/>
        </w:rPr>
        <w:t>，遵循“科学性、规范性、客观性和公正性”的原则，对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京赞线南二环西延、中山路口大型立体花坛绿雕工程</w:t>
      </w:r>
      <w:r>
        <w:rPr>
          <w:rFonts w:hint="eastAsia" w:ascii="仿宋_GB2312" w:eastAsia="仿宋_GB2312"/>
          <w:sz w:val="32"/>
          <w:szCs w:val="32"/>
          <w:lang w:eastAsia="zh-CN"/>
        </w:rPr>
        <w:t>项目</w:t>
      </w:r>
      <w:r>
        <w:rPr>
          <w:rFonts w:hint="eastAsia" w:ascii="仿宋_GB2312" w:eastAsia="仿宋_GB2312"/>
          <w:sz w:val="32"/>
          <w:szCs w:val="32"/>
        </w:rPr>
        <w:t>实施了</w:t>
      </w:r>
      <w:r>
        <w:rPr>
          <w:rFonts w:hint="eastAsia" w:ascii="仿宋_GB2312" w:eastAsia="仿宋_GB2312"/>
          <w:sz w:val="32"/>
          <w:szCs w:val="32"/>
          <w:lang w:eastAsia="zh-CN"/>
        </w:rPr>
        <w:t>绩效</w:t>
      </w:r>
      <w:r>
        <w:rPr>
          <w:rFonts w:hint="eastAsia" w:ascii="仿宋_GB2312" w:eastAsia="仿宋_GB2312"/>
          <w:sz w:val="32"/>
          <w:szCs w:val="32"/>
        </w:rPr>
        <w:t>评价，形成本评价报告。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textAlignment w:val="auto"/>
        <w:rPr>
          <w:rFonts w:hint="eastAsia" w:ascii="黑体" w:eastAsia="黑体"/>
          <w:b/>
          <w:bCs/>
          <w:sz w:val="32"/>
          <w:szCs w:val="36"/>
        </w:rPr>
      </w:pPr>
      <w:r>
        <w:rPr>
          <w:rFonts w:hint="eastAsia" w:ascii="黑体" w:eastAsia="黑体"/>
          <w:sz w:val="32"/>
          <w:szCs w:val="32"/>
          <w:lang w:val="en-US" w:eastAsia="zh-CN"/>
        </w:rPr>
        <w:t xml:space="preserve">    </w:t>
      </w:r>
      <w:r>
        <w:rPr>
          <w:rFonts w:hint="eastAsia" w:ascii="黑体" w:eastAsia="黑体"/>
          <w:b w:val="0"/>
          <w:bCs w:val="0"/>
          <w:sz w:val="32"/>
          <w:szCs w:val="32"/>
        </w:rPr>
        <w:t>一、</w:t>
      </w:r>
      <w:r>
        <w:rPr>
          <w:rFonts w:hint="eastAsia" w:ascii="黑体" w:eastAsia="黑体"/>
          <w:b w:val="0"/>
          <w:bCs w:val="0"/>
          <w:sz w:val="32"/>
          <w:szCs w:val="32"/>
          <w:lang w:eastAsia="zh-CN"/>
        </w:rPr>
        <w:t>项目</w:t>
      </w:r>
      <w:r>
        <w:rPr>
          <w:rFonts w:hint="eastAsia" w:ascii="黑体" w:eastAsia="黑体"/>
          <w:b w:val="0"/>
          <w:bCs w:val="0"/>
          <w:sz w:val="32"/>
          <w:szCs w:val="36"/>
        </w:rPr>
        <w:t>基本情况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（一）项目概况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eastAsia" w:ascii="仿宋_GB2312" w:eastAsia="仿宋_GB2312"/>
          <w:color w:val="0314ED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eastAsia="仿宋_GB2312"/>
          <w:sz w:val="32"/>
          <w:szCs w:val="32"/>
        </w:rPr>
        <w:t>1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.</w:t>
      </w:r>
      <w:r>
        <w:rPr>
          <w:rFonts w:hint="eastAsia" w:ascii="仿宋_GB2312" w:eastAsia="仿宋_GB2312"/>
          <w:sz w:val="32"/>
          <w:szCs w:val="32"/>
          <w:lang w:eastAsia="zh-CN"/>
        </w:rPr>
        <w:t>项目实施单位：</w:t>
      </w:r>
      <w:r>
        <w:rPr>
          <w:rFonts w:hint="eastAsia" w:ascii="仿宋_GB2312" w:eastAsia="仿宋_GB2312"/>
          <w:color w:val="auto"/>
          <w:sz w:val="32"/>
          <w:szCs w:val="32"/>
          <w:lang w:eastAsia="zh-CN"/>
        </w:rPr>
        <w:t>石家庄市鹿泉区公路绿化管理中心；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color w:val="auto"/>
          <w:sz w:val="32"/>
          <w:szCs w:val="32"/>
          <w:lang w:val="en-US" w:eastAsia="zh-CN"/>
        </w:rPr>
        <w:t xml:space="preserve"> 2.项目主要实施内容：在</w:t>
      </w: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lang w:eastAsia="zh-CN"/>
        </w:rPr>
        <w:t>京赞线南二环西延、中山路口建造大型立体花坛绿雕其中包括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6"/>
          <w:lang w:val="en-US" w:eastAsia="zh-CN"/>
        </w:rPr>
        <w:t>大型玫瑰花立体绿雕一座、立体花架3套；在中山路口摆放立体花架1套；花坛主要摆放串红、矮牵牛、万寿菊等色彩艳丽的时令花卉，共计8000盆</w:t>
      </w:r>
      <w:r>
        <w:rPr>
          <w:rFonts w:hint="eastAsia" w:ascii="仿宋_GB2312" w:eastAsia="仿宋_GB2312"/>
          <w:color w:val="auto"/>
          <w:sz w:val="32"/>
          <w:szCs w:val="32"/>
          <w:lang w:eastAsia="zh-CN"/>
        </w:rPr>
        <w:t>；</w:t>
      </w:r>
      <w:r>
        <w:rPr>
          <w:rFonts w:hint="eastAsia" w:ascii="仿宋_GB2312" w:eastAsia="仿宋_GB2312"/>
          <w:color w:val="auto"/>
          <w:sz w:val="32"/>
          <w:szCs w:val="32"/>
          <w:lang w:val="en-US" w:eastAsia="zh-CN"/>
        </w:rPr>
        <w:t>范围：</w:t>
      </w: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lang w:eastAsia="zh-CN"/>
        </w:rPr>
        <w:t>京赞线南二环西延、中山路口；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3.项目资金投入情况（资金数量</w:t>
      </w:r>
      <w:r>
        <w:rPr>
          <w:rFonts w:hint="eastAsia" w:ascii="仿宋_GB2312" w:eastAsia="仿宋_GB2312"/>
          <w:color w:val="auto"/>
          <w:sz w:val="32"/>
          <w:szCs w:val="32"/>
          <w:lang w:val="en-US" w:eastAsia="zh-CN"/>
        </w:rPr>
        <w:t>：16.35万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，资金来源渠道</w:t>
      </w:r>
      <w:r>
        <w:rPr>
          <w:rFonts w:hint="eastAsia" w:ascii="仿宋_GB2312" w:eastAsia="仿宋_GB2312"/>
          <w:color w:val="auto"/>
          <w:sz w:val="32"/>
          <w:szCs w:val="32"/>
          <w:lang w:val="en-US" w:eastAsia="zh-CN"/>
        </w:rPr>
        <w:t>：财政拨款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）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（二）项目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  <w:t>预期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绩效目标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确保</w:t>
      </w:r>
      <w:r>
        <w:rPr>
          <w:rFonts w:hint="eastAsia" w:ascii="仿宋_GB2312" w:hAnsi="仿宋_GB2312" w:eastAsia="仿宋_GB2312" w:cs="仿宋_GB2312"/>
          <w:sz w:val="32"/>
          <w:szCs w:val="32"/>
        </w:rPr>
        <w:t>2018年石家庄市第二届旅发大会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期间京赞线道路两侧主要节点景观效果。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二、绩效评价工作情况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left="0" w:leftChars="0" w:right="0" w:rightChars="0" w:firstLine="0" w:firstLineChars="0"/>
        <w:jc w:val="both"/>
        <w:textAlignment w:val="auto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（一）绩效评价的组织工作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78" w:lineRule="exact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 我单位高度重视</w:t>
      </w:r>
      <w:r>
        <w:rPr>
          <w:rFonts w:hint="eastAsia" w:ascii="仿宋_GB2312" w:eastAsia="仿宋_GB2312"/>
          <w:sz w:val="32"/>
          <w:szCs w:val="32"/>
          <w:lang w:eastAsia="zh-CN"/>
        </w:rPr>
        <w:t>项目绩效评价工作，成立了由主任为组长的项目绩效自评领导小组，进一步加强项目绩效自评工作的组织和领导，确保绩效自评工作顺利进行。领导小组针对各项目设立自评小组，统一部署各项目绩效自评工作，安排项目实施、运行、财务等相关人员，落实项目实施、运行及资金使用情况，及时报送绩效自评相关资料。由自评小组汇总汇报，项目绩效自评领导小组依据汇报材料开展评价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left="0" w:leftChars="0" w:right="0" w:rightChars="0" w:firstLine="0" w:firstLineChars="0"/>
        <w:jc w:val="both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（二）绩效评价的方法和过程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为开展好本次项目自评工作，根据相关文件要求，我单位按以下四个步骤开展绩效评价：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成立公路绿化养护资金项目自评小组；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自评小组负责收集预算资料、财务资料、设计资料、合同资料等项目相关资料。根据收集材料，组织召开项目座谈会，最终形成项目绩效评价材料；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开展绩效评价，形成自评报告初稿，根据收集的项目资料，自评小组汇报项目绩效自评领导小组，对本项目进行评价；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 w:val="0"/>
          <w:color w:val="auto"/>
          <w:sz w:val="32"/>
          <w:szCs w:val="36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（4）征求相关部门意见，形成自评报告。绩效自评初稿形成后，项目自评小组与项目负责人员进行沟通，听取意见建议，避免出现遗漏，同时，通过随机采访和调查问卷的方式，对该项目沿线社会群众满意度进行调查，并在其基础上进行完善并形成绩效自评报告终稿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78" w:lineRule="exact"/>
        <w:ind w:leftChars="0" w:right="0" w:rightChars="0"/>
        <w:jc w:val="both"/>
        <w:textAlignment w:val="auto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（三）建立绩效评价指标体系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jc w:val="both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根据要求，我单位在开展本项目预算绩效评价工作过程中，针对评价对象特点，设计以下评价指标体系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。</w:t>
      </w:r>
    </w:p>
    <w:tbl>
      <w:tblPr>
        <w:tblStyle w:val="5"/>
        <w:tblW w:w="925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62"/>
        <w:gridCol w:w="1262"/>
        <w:gridCol w:w="3142"/>
        <w:gridCol w:w="2737"/>
        <w:gridCol w:w="84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hint="default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指标</w:t>
            </w:r>
          </w:p>
        </w:tc>
        <w:tc>
          <w:tcPr>
            <w:tcW w:w="126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分值</w:t>
            </w:r>
          </w:p>
        </w:tc>
        <w:tc>
          <w:tcPr>
            <w:tcW w:w="314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指标解释</w:t>
            </w:r>
          </w:p>
        </w:tc>
        <w:tc>
          <w:tcPr>
            <w:tcW w:w="273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评价标准</w:t>
            </w:r>
          </w:p>
        </w:tc>
        <w:tc>
          <w:tcPr>
            <w:tcW w:w="848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得分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项目决策</w:t>
            </w:r>
          </w:p>
        </w:tc>
        <w:tc>
          <w:tcPr>
            <w:tcW w:w="126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auto"/>
              <w:rPr>
                <w:rFonts w:hint="default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16</w:t>
            </w:r>
          </w:p>
        </w:tc>
        <w:tc>
          <w:tcPr>
            <w:tcW w:w="314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left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项目目标是否明确，项目是否符合经济社会发展规划和单位年度工作计划</w:t>
            </w:r>
          </w:p>
        </w:tc>
        <w:tc>
          <w:tcPr>
            <w:tcW w:w="273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left"/>
              <w:textAlignment w:val="auto"/>
              <w:rPr>
                <w:rFonts w:hint="default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目标明确、目标细化、目标量化各2分，项目符合经济社会发展规划和单位年度工作计划各5分</w:t>
            </w:r>
          </w:p>
        </w:tc>
        <w:tc>
          <w:tcPr>
            <w:tcW w:w="848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资金到位</w:t>
            </w:r>
          </w:p>
        </w:tc>
        <w:tc>
          <w:tcPr>
            <w:tcW w:w="126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auto"/>
              <w:rPr>
                <w:rFonts w:hint="default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10</w:t>
            </w:r>
          </w:p>
        </w:tc>
        <w:tc>
          <w:tcPr>
            <w:tcW w:w="314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left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资金到位率和到位时效</w:t>
            </w:r>
          </w:p>
        </w:tc>
        <w:tc>
          <w:tcPr>
            <w:tcW w:w="273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left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根据资金到位率及实效评分</w:t>
            </w:r>
          </w:p>
        </w:tc>
        <w:tc>
          <w:tcPr>
            <w:tcW w:w="848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资金管理</w:t>
            </w:r>
          </w:p>
        </w:tc>
        <w:tc>
          <w:tcPr>
            <w:tcW w:w="126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auto"/>
              <w:rPr>
                <w:rFonts w:hint="default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12</w:t>
            </w:r>
          </w:p>
        </w:tc>
        <w:tc>
          <w:tcPr>
            <w:tcW w:w="314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left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资金管理、费用支出制度健全，是否严格执行制度</w:t>
            </w:r>
          </w:p>
        </w:tc>
        <w:tc>
          <w:tcPr>
            <w:tcW w:w="273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left"/>
              <w:textAlignment w:val="auto"/>
              <w:rPr>
                <w:rFonts w:hint="default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制度健全、支出规范6分，严格执行制度，核算规范6分</w:t>
            </w:r>
          </w:p>
        </w:tc>
        <w:tc>
          <w:tcPr>
            <w:tcW w:w="848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组织实施</w:t>
            </w:r>
          </w:p>
        </w:tc>
        <w:tc>
          <w:tcPr>
            <w:tcW w:w="126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auto"/>
              <w:rPr>
                <w:rFonts w:hint="default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12</w:t>
            </w:r>
          </w:p>
        </w:tc>
        <w:tc>
          <w:tcPr>
            <w:tcW w:w="314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left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机构健全、分工明确，严格执行相关制度</w:t>
            </w:r>
          </w:p>
        </w:tc>
        <w:tc>
          <w:tcPr>
            <w:tcW w:w="273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left"/>
              <w:textAlignment w:val="auto"/>
              <w:rPr>
                <w:rFonts w:hint="default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机构健全3分，分工明确3分，严格执行制度6分</w:t>
            </w:r>
          </w:p>
        </w:tc>
        <w:tc>
          <w:tcPr>
            <w:tcW w:w="848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项目产出</w:t>
            </w:r>
          </w:p>
        </w:tc>
        <w:tc>
          <w:tcPr>
            <w:tcW w:w="126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auto"/>
              <w:rPr>
                <w:rFonts w:hint="default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20</w:t>
            </w:r>
          </w:p>
        </w:tc>
        <w:tc>
          <w:tcPr>
            <w:tcW w:w="314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left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产出数量、质量、时效、成本</w:t>
            </w:r>
          </w:p>
        </w:tc>
        <w:tc>
          <w:tcPr>
            <w:tcW w:w="273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left"/>
              <w:textAlignment w:val="auto"/>
              <w:rPr>
                <w:rFonts w:hint="default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各占5分</w:t>
            </w:r>
          </w:p>
        </w:tc>
        <w:tc>
          <w:tcPr>
            <w:tcW w:w="848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项目效果</w:t>
            </w:r>
          </w:p>
        </w:tc>
        <w:tc>
          <w:tcPr>
            <w:tcW w:w="126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auto"/>
              <w:rPr>
                <w:rFonts w:hint="default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10</w:t>
            </w:r>
          </w:p>
        </w:tc>
        <w:tc>
          <w:tcPr>
            <w:tcW w:w="314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left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经济效益、社会效益和可持续发展</w:t>
            </w:r>
          </w:p>
        </w:tc>
        <w:tc>
          <w:tcPr>
            <w:tcW w:w="273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left"/>
              <w:textAlignment w:val="auto"/>
              <w:rPr>
                <w:rFonts w:hint="default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经济效益社会效益各占3分，可持续发展占4分</w:t>
            </w:r>
          </w:p>
        </w:tc>
        <w:tc>
          <w:tcPr>
            <w:tcW w:w="848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服务对象满意度</w:t>
            </w:r>
          </w:p>
        </w:tc>
        <w:tc>
          <w:tcPr>
            <w:tcW w:w="126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auto"/>
              <w:rPr>
                <w:rFonts w:hint="default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20</w:t>
            </w:r>
          </w:p>
        </w:tc>
        <w:tc>
          <w:tcPr>
            <w:tcW w:w="314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left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对居民、群众进行随机采访和发放调查问卷，进行满意度调查</w:t>
            </w:r>
          </w:p>
        </w:tc>
        <w:tc>
          <w:tcPr>
            <w:tcW w:w="273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left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根据采访和调研的情况进行评分</w:t>
            </w:r>
          </w:p>
        </w:tc>
        <w:tc>
          <w:tcPr>
            <w:tcW w:w="848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合计</w:t>
            </w:r>
          </w:p>
        </w:tc>
        <w:tc>
          <w:tcPr>
            <w:tcW w:w="126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auto"/>
              <w:rPr>
                <w:rFonts w:hint="default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100</w:t>
            </w:r>
          </w:p>
        </w:tc>
        <w:tc>
          <w:tcPr>
            <w:tcW w:w="314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left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73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left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848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</w:tr>
    </w:tbl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78" w:lineRule="exact"/>
        <w:textAlignment w:val="auto"/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 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三、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项目执行及绩效实现情况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78" w:lineRule="exact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 xml:space="preserve">   （一）项目投入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6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6"/>
          <w:lang w:val="en-US" w:eastAsia="zh-CN"/>
        </w:rPr>
        <w:t>1、该项目根据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6"/>
        </w:rPr>
        <w:t>鹿交呈【2017】25号文《关于旅发大会部分项目增加种植花卉预算的请示》的批示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6"/>
          <w:lang w:eastAsia="zh-CN"/>
        </w:rPr>
        <w:t>和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6"/>
        </w:rPr>
        <w:t>鹿政办函【2018】116号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6"/>
          <w:lang w:eastAsia="zh-CN"/>
        </w:rPr>
        <w:t>文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6"/>
        </w:rPr>
        <w:t>《关于印发2018年政府投资项目增补计划的通知》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6"/>
          <w:lang w:eastAsia="zh-CN"/>
        </w:rPr>
        <w:t>为依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6"/>
          <w:lang w:val="en-US" w:eastAsia="zh-CN"/>
        </w:rPr>
        <w:t>据，在京赞线南二环西延、中山路口建造大型立体花坛绿雕其中包括大型玫瑰花立体绿雕一座、立体花架3套；在中山路口摆放立体花架1套；花坛主要摆放串红、矮牵牛、万寿菊等色彩艳丽的时令花卉，共计8000盆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textAlignment w:val="auto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2.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京赞线南二环西延、中山路口大型立体花坛绿雕工程项目</w:t>
      </w:r>
      <w:r>
        <w:rPr>
          <w:rFonts w:hint="eastAsia" w:ascii="仿宋_GB2312" w:hAnsi="宋体" w:eastAsia="仿宋_GB2312"/>
          <w:color w:val="auto"/>
          <w:sz w:val="32"/>
          <w:szCs w:val="32"/>
        </w:rPr>
        <w:t>已列入2018年政府投资建设项目增补计划，审计费用</w:t>
      </w:r>
      <w:r>
        <w:rPr>
          <w:rFonts w:hint="eastAsia" w:ascii="仿宋_GB2312" w:hAnsi="宋体" w:eastAsia="仿宋_GB2312"/>
          <w:color w:val="auto"/>
          <w:sz w:val="32"/>
          <w:szCs w:val="32"/>
          <w:lang w:val="en-US" w:eastAsia="zh-CN"/>
        </w:rPr>
        <w:t>16.35</w:t>
      </w:r>
      <w:r>
        <w:rPr>
          <w:rFonts w:hint="eastAsia" w:ascii="仿宋_GB2312" w:hAnsi="宋体" w:eastAsia="仿宋_GB2312"/>
          <w:color w:val="auto"/>
          <w:sz w:val="32"/>
          <w:szCs w:val="32"/>
        </w:rPr>
        <w:t>万元</w:t>
      </w:r>
      <w:r>
        <w:rPr>
          <w:rFonts w:hint="eastAsia" w:ascii="仿宋_GB2312" w:hAnsi="宋体" w:eastAsia="仿宋_GB2312"/>
          <w:color w:val="auto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6"/>
          <w:lang w:val="en-US" w:eastAsia="zh-CN"/>
        </w:rPr>
        <w:t>2019年预算安排实际拨付金额为7.35万元。</w:t>
      </w:r>
      <w:r>
        <w:rPr>
          <w:rFonts w:hint="eastAsia" w:ascii="仿宋_GB2312" w:eastAsia="仿宋_GB2312"/>
          <w:color w:val="auto"/>
          <w:sz w:val="32"/>
          <w:szCs w:val="32"/>
          <w:lang w:val="en-US" w:eastAsia="zh-CN"/>
        </w:rPr>
        <w:t>剩余9万元未支付。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78" w:lineRule="exact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（二）项目实施过程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1、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为达成</w:t>
      </w:r>
      <w:r>
        <w:rPr>
          <w:rFonts w:hint="eastAsia" w:ascii="仿宋_GB2312" w:hAnsi="仿宋_GB2312" w:eastAsia="仿宋_GB2312" w:cs="仿宋_GB2312"/>
          <w:sz w:val="32"/>
          <w:szCs w:val="32"/>
        </w:rPr>
        <w:t>石家庄市第二届旅发大会景观效果，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我单位技术人员通过实地考察、收集资料，经过多次修改核实确定最终方案。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2、为保障项目资金的安全，确保资金专款专用，我单位从资金申请、资金使用、会计核算三个环节加强资金管理。通过上述三个环节的管理保证财政资金安全有效使用。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3、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我单位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经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多方询价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资质对比，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确定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由石家庄太通园林绿化工程有限公司负责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本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项目工程。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项目完工后，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我单位组织验收小组对工程进行了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实体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测量、勘察，最终验收合格。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78" w:lineRule="exact"/>
        <w:textAlignment w:val="auto"/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（三）项目产出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6"/>
          <w:lang w:eastAsia="zh-CN"/>
        </w:rPr>
        <w:t>该项目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6"/>
          <w:lang w:val="en-US" w:eastAsia="zh-CN"/>
        </w:rPr>
        <w:t>2018年6月1日全部完工，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6"/>
          <w:lang w:eastAsia="zh-CN"/>
        </w:rPr>
        <w:t>根据工作计划，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6"/>
          <w:lang w:val="en-US" w:eastAsia="zh-CN"/>
        </w:rPr>
        <w:t>工程完工率100%；根据河北省园林工程施工质量验收规程（DB13(J)62-2006)要求，验收合格率100%。</w:t>
      </w:r>
    </w:p>
    <w:p>
      <w:pPr>
        <w:keepNext w:val="0"/>
        <w:keepLines w:val="0"/>
        <w:pageBreakBefore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spacing w:line="578" w:lineRule="exact"/>
        <w:ind w:left="481" w:leftChars="0" w:firstLine="0" w:firstLineChars="0"/>
        <w:textAlignment w:val="auto"/>
        <w:rPr>
          <w:rFonts w:hint="eastAsia" w:ascii="楷体" w:hAnsi="楷体" w:eastAsia="楷体" w:cs="楷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 w:val="0"/>
          <w:bCs w:val="0"/>
          <w:sz w:val="32"/>
          <w:szCs w:val="32"/>
          <w:lang w:val="en-US" w:eastAsia="zh-CN"/>
        </w:rPr>
        <w:t>项目效果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项目完成后，相关道路节点位置景观效果得到提升，有效提升了旅发大会氛围。我单位组织人员与沿线和周边群众展开沟通交流和问卷调查，综合结果发现群众满意度达到95%。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textAlignment w:val="auto"/>
        <w:rPr>
          <w:rFonts w:hint="eastAsia" w:ascii="楷体_GB2312" w:hAnsi="楷体_GB2312" w:eastAsia="楷体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>四、项目综合评价结论和评价等级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6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6"/>
          <w:lang w:eastAsia="zh-CN"/>
        </w:rPr>
        <w:t>该项目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6"/>
          <w:lang w:val="en-US" w:eastAsia="zh-CN"/>
        </w:rPr>
        <w:t>保质、保量完工，确保了2018年石家庄市第二届旅发大会期间主要节点景观的效果，受到领导群众一致好评。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从总体上看，绩效评价总体得分为91分，为优秀等次。</w:t>
      </w:r>
    </w:p>
    <w:tbl>
      <w:tblPr>
        <w:tblStyle w:val="5"/>
        <w:tblW w:w="925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62"/>
        <w:gridCol w:w="1262"/>
        <w:gridCol w:w="3142"/>
        <w:gridCol w:w="2737"/>
        <w:gridCol w:w="84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hint="default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指标</w:t>
            </w:r>
          </w:p>
        </w:tc>
        <w:tc>
          <w:tcPr>
            <w:tcW w:w="126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分值</w:t>
            </w:r>
          </w:p>
        </w:tc>
        <w:tc>
          <w:tcPr>
            <w:tcW w:w="314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指标解释</w:t>
            </w:r>
          </w:p>
        </w:tc>
        <w:tc>
          <w:tcPr>
            <w:tcW w:w="273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评价标准</w:t>
            </w:r>
          </w:p>
        </w:tc>
        <w:tc>
          <w:tcPr>
            <w:tcW w:w="848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得分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52" w:hRule="atLeast"/>
        </w:trPr>
        <w:tc>
          <w:tcPr>
            <w:tcW w:w="126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项目决策</w:t>
            </w:r>
          </w:p>
        </w:tc>
        <w:tc>
          <w:tcPr>
            <w:tcW w:w="126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16</w:t>
            </w:r>
          </w:p>
        </w:tc>
        <w:tc>
          <w:tcPr>
            <w:tcW w:w="314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项目目标是否明确，项目是否符合经济社会发展规划和单位年度工作计划</w:t>
            </w:r>
          </w:p>
        </w:tc>
        <w:tc>
          <w:tcPr>
            <w:tcW w:w="273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default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目标明确、目标细化、目标量化各2分，项目符合经济社会发展规划和单位年度工作计划各5分</w:t>
            </w:r>
          </w:p>
        </w:tc>
        <w:tc>
          <w:tcPr>
            <w:tcW w:w="848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16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资金到位</w:t>
            </w:r>
          </w:p>
        </w:tc>
        <w:tc>
          <w:tcPr>
            <w:tcW w:w="126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10</w:t>
            </w:r>
          </w:p>
        </w:tc>
        <w:tc>
          <w:tcPr>
            <w:tcW w:w="314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资金到位率和到位时效</w:t>
            </w:r>
          </w:p>
        </w:tc>
        <w:tc>
          <w:tcPr>
            <w:tcW w:w="273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根据资金到位率及实效评分</w:t>
            </w:r>
          </w:p>
        </w:tc>
        <w:tc>
          <w:tcPr>
            <w:tcW w:w="848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资金管理</w:t>
            </w:r>
          </w:p>
        </w:tc>
        <w:tc>
          <w:tcPr>
            <w:tcW w:w="126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12</w:t>
            </w:r>
          </w:p>
        </w:tc>
        <w:tc>
          <w:tcPr>
            <w:tcW w:w="314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资金管理、费用支出制度健全，是否严格执行制度</w:t>
            </w:r>
          </w:p>
        </w:tc>
        <w:tc>
          <w:tcPr>
            <w:tcW w:w="273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default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制度健全、支出规范6分，严格执行制度，核算规范6分</w:t>
            </w:r>
          </w:p>
        </w:tc>
        <w:tc>
          <w:tcPr>
            <w:tcW w:w="848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组织实施</w:t>
            </w:r>
          </w:p>
        </w:tc>
        <w:tc>
          <w:tcPr>
            <w:tcW w:w="126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12</w:t>
            </w:r>
          </w:p>
        </w:tc>
        <w:tc>
          <w:tcPr>
            <w:tcW w:w="314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机构健全、分工明确，严格执行相关制度</w:t>
            </w:r>
          </w:p>
        </w:tc>
        <w:tc>
          <w:tcPr>
            <w:tcW w:w="273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default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机构健全3分，分工明确3分，严格执行制度6分</w:t>
            </w:r>
          </w:p>
        </w:tc>
        <w:tc>
          <w:tcPr>
            <w:tcW w:w="848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项目产出</w:t>
            </w:r>
          </w:p>
        </w:tc>
        <w:tc>
          <w:tcPr>
            <w:tcW w:w="126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20</w:t>
            </w:r>
          </w:p>
        </w:tc>
        <w:tc>
          <w:tcPr>
            <w:tcW w:w="314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产出数量、质量、时效、成本</w:t>
            </w:r>
          </w:p>
        </w:tc>
        <w:tc>
          <w:tcPr>
            <w:tcW w:w="273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default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各占5分</w:t>
            </w:r>
          </w:p>
        </w:tc>
        <w:tc>
          <w:tcPr>
            <w:tcW w:w="848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项目效果</w:t>
            </w:r>
          </w:p>
        </w:tc>
        <w:tc>
          <w:tcPr>
            <w:tcW w:w="126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10</w:t>
            </w:r>
          </w:p>
        </w:tc>
        <w:tc>
          <w:tcPr>
            <w:tcW w:w="314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经济效益、社会效益和可持续发展</w:t>
            </w:r>
          </w:p>
        </w:tc>
        <w:tc>
          <w:tcPr>
            <w:tcW w:w="273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default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经济效益社会效益各占3分，可持续发展占4分</w:t>
            </w:r>
          </w:p>
        </w:tc>
        <w:tc>
          <w:tcPr>
            <w:tcW w:w="848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服务对象满意度</w:t>
            </w:r>
          </w:p>
        </w:tc>
        <w:tc>
          <w:tcPr>
            <w:tcW w:w="126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20</w:t>
            </w:r>
          </w:p>
        </w:tc>
        <w:tc>
          <w:tcPr>
            <w:tcW w:w="314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对居民、群众进行随机采访和发放调查问卷，进行满意度调查</w:t>
            </w:r>
          </w:p>
        </w:tc>
        <w:tc>
          <w:tcPr>
            <w:tcW w:w="273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根据采访和调研的情况进行评分</w:t>
            </w:r>
          </w:p>
        </w:tc>
        <w:tc>
          <w:tcPr>
            <w:tcW w:w="848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18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合计</w:t>
            </w:r>
          </w:p>
        </w:tc>
        <w:tc>
          <w:tcPr>
            <w:tcW w:w="126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100</w:t>
            </w:r>
          </w:p>
        </w:tc>
        <w:tc>
          <w:tcPr>
            <w:tcW w:w="314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73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848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91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>五、存在的问题及改进措施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78" w:lineRule="exact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/>
          <w:b/>
          <w:bCs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（一）项目存在的主要问题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绩效评价方面还有待加强，对部门的绩效评价报告质量还有待提高，绩效指标体系还有待完善，绩效管理工作机制还有待进一步健全。</w:t>
      </w:r>
    </w:p>
    <w:p>
      <w:pPr>
        <w:keepNext w:val="0"/>
        <w:keepLines w:val="0"/>
        <w:pageBreakBefore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spacing w:line="578" w:lineRule="exact"/>
        <w:ind w:left="480" w:leftChars="0" w:firstLine="0" w:firstLineChars="0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针对问题提出具体的改进措施或建议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不断提高基层人员业务水平，在推动公路绿化工作专项活动经费合规管理使用的前提下，推进其经费使用绩效评价工作，运用“事前有计划，事中有控制、事后有监督”的基层专项经费管理方式提高项目绩效管理水平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黑体" w:eastAsia="黑体"/>
          <w:b w:val="0"/>
          <w:bCs w:val="0"/>
          <w:sz w:val="32"/>
          <w:szCs w:val="32"/>
          <w:lang w:eastAsia="zh-CN"/>
        </w:rPr>
        <w:t>六</w:t>
      </w:r>
      <w:r>
        <w:rPr>
          <w:rFonts w:hint="eastAsia" w:ascii="黑体" w:eastAsia="黑体"/>
          <w:b w:val="0"/>
          <w:bCs w:val="0"/>
          <w:sz w:val="32"/>
          <w:szCs w:val="32"/>
        </w:rPr>
        <w:t>、评价工作组人员名单及签字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textAlignment w:val="auto"/>
        <w:rPr>
          <w:rFonts w:hint="eastAsia" w:ascii="FangSong_GB2312" w:eastAsia="FangSong_GB2312"/>
          <w:sz w:val="32"/>
          <w:szCs w:val="32"/>
        </w:rPr>
      </w:pPr>
      <w:r>
        <w:rPr>
          <w:rFonts w:hint="eastAsia" w:ascii="FangSong_GB2312" w:eastAsia="FangSong_GB2312"/>
          <w:sz w:val="32"/>
          <w:szCs w:val="32"/>
        </w:rPr>
        <w:t>该项目评价工作小组，对该项目进行绩效评价。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78" w:lineRule="exact"/>
        <w:jc w:val="center"/>
        <w:textAlignment w:val="auto"/>
        <w:rPr>
          <w:rFonts w:ascii="FangSong_GB2312" w:eastAsia="FangSong_GB2312"/>
          <w:b/>
          <w:sz w:val="32"/>
          <w:szCs w:val="32"/>
        </w:rPr>
      </w:pPr>
      <w:r>
        <w:rPr>
          <w:rFonts w:hint="eastAsia" w:ascii="FangSong_GB2312" w:eastAsia="FangSong_GB2312"/>
          <w:b/>
          <w:sz w:val="32"/>
          <w:szCs w:val="32"/>
        </w:rPr>
        <w:t>评价工作小组人员名单</w:t>
      </w:r>
    </w:p>
    <w:tbl>
      <w:tblPr>
        <w:tblStyle w:val="4"/>
        <w:tblW w:w="8648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012"/>
        <w:gridCol w:w="3893"/>
        <w:gridCol w:w="1372"/>
        <w:gridCol w:w="1365"/>
        <w:gridCol w:w="100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exact"/>
          <w:jc w:val="center"/>
        </w:trPr>
        <w:tc>
          <w:tcPr>
            <w:tcW w:w="1012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ascii="微软雅黑" w:hAnsi="微软雅黑" w:eastAsia="微软雅黑"/>
                <w:b/>
                <w:color w:val="3D3D3D"/>
                <w:kern w:val="0"/>
                <w:sz w:val="24"/>
                <w:szCs w:val="24"/>
              </w:rPr>
            </w:pPr>
            <w:r>
              <w:rPr>
                <w:rFonts w:hint="eastAsia" w:ascii="FangSong_GB2312" w:hAnsi="微软雅黑" w:eastAsia="FangSong_GB2312"/>
                <w:b/>
                <w:color w:val="3D3D3D"/>
                <w:kern w:val="0"/>
                <w:sz w:val="24"/>
                <w:szCs w:val="24"/>
              </w:rPr>
              <w:t>姓  名</w:t>
            </w:r>
          </w:p>
        </w:tc>
        <w:tc>
          <w:tcPr>
            <w:tcW w:w="3893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ascii="微软雅黑" w:hAnsi="微软雅黑" w:eastAsia="微软雅黑"/>
                <w:b/>
                <w:color w:val="3D3D3D"/>
                <w:kern w:val="0"/>
                <w:sz w:val="24"/>
                <w:szCs w:val="24"/>
              </w:rPr>
            </w:pPr>
            <w:r>
              <w:rPr>
                <w:rFonts w:hint="eastAsia" w:ascii="FangSong_GB2312" w:hAnsi="微软雅黑" w:eastAsia="FangSong_GB2312"/>
                <w:b/>
                <w:color w:val="3D3D3D"/>
                <w:kern w:val="0"/>
                <w:sz w:val="24"/>
                <w:szCs w:val="24"/>
              </w:rPr>
              <w:t>单  位</w:t>
            </w:r>
          </w:p>
        </w:tc>
        <w:tc>
          <w:tcPr>
            <w:tcW w:w="1372" w:type="dxa"/>
            <w:shd w:val="clear" w:color="auto" w:fill="auto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hint="eastAsia" w:ascii="FangSong_GB2312" w:hAnsi="微软雅黑" w:eastAsia="FangSong_GB2312"/>
                <w:b/>
                <w:color w:val="3D3D3D"/>
                <w:kern w:val="0"/>
                <w:sz w:val="24"/>
                <w:szCs w:val="24"/>
              </w:rPr>
            </w:pPr>
            <w:r>
              <w:rPr>
                <w:rFonts w:hint="eastAsia" w:ascii="FangSong_GB2312" w:hAnsi="微软雅黑" w:eastAsia="FangSong_GB2312"/>
                <w:b/>
                <w:color w:val="3D3D3D"/>
                <w:kern w:val="0"/>
                <w:sz w:val="24"/>
                <w:szCs w:val="24"/>
              </w:rPr>
              <w:t>职  务</w:t>
            </w:r>
          </w:p>
        </w:tc>
        <w:tc>
          <w:tcPr>
            <w:tcW w:w="1365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ascii="微软雅黑" w:hAnsi="微软雅黑" w:eastAsia="微软雅黑"/>
                <w:b/>
                <w:color w:val="3D3D3D"/>
                <w:kern w:val="0"/>
                <w:sz w:val="24"/>
                <w:szCs w:val="24"/>
              </w:rPr>
            </w:pPr>
            <w:r>
              <w:rPr>
                <w:rFonts w:hint="eastAsia" w:ascii="FangSong_GB2312" w:hAnsi="微软雅黑" w:eastAsia="FangSong_GB2312"/>
                <w:b/>
                <w:color w:val="3D3D3D"/>
                <w:kern w:val="0"/>
                <w:sz w:val="24"/>
                <w:szCs w:val="24"/>
              </w:rPr>
              <w:t>职  称</w:t>
            </w:r>
          </w:p>
        </w:tc>
        <w:tc>
          <w:tcPr>
            <w:tcW w:w="1006" w:type="dxa"/>
            <w:shd w:val="clear" w:color="auto" w:fill="auto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hint="eastAsia" w:ascii="FangSong_GB2312" w:hAnsi="微软雅黑" w:eastAsia="FangSong_GB2312"/>
                <w:b/>
                <w:color w:val="3D3D3D"/>
                <w:kern w:val="0"/>
                <w:sz w:val="24"/>
                <w:szCs w:val="24"/>
              </w:rPr>
            </w:pPr>
            <w:r>
              <w:rPr>
                <w:rFonts w:hint="eastAsia" w:ascii="FangSong_GB2312" w:hAnsi="微软雅黑" w:eastAsia="FangSong_GB2312"/>
                <w:b/>
                <w:color w:val="3D3D3D"/>
                <w:kern w:val="0"/>
                <w:sz w:val="24"/>
                <w:szCs w:val="24"/>
              </w:rPr>
              <w:t>签  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exact"/>
          <w:jc w:val="center"/>
        </w:trPr>
        <w:tc>
          <w:tcPr>
            <w:tcW w:w="1012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3D3D3D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3D3D3D"/>
                <w:kern w:val="0"/>
                <w:sz w:val="24"/>
                <w:szCs w:val="24"/>
                <w:lang w:eastAsia="zh-CN"/>
              </w:rPr>
              <w:t>温春艳</w:t>
            </w:r>
          </w:p>
        </w:tc>
        <w:tc>
          <w:tcPr>
            <w:tcW w:w="3893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3D3D3D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3D3D3D"/>
                <w:kern w:val="0"/>
                <w:sz w:val="24"/>
                <w:szCs w:val="24"/>
                <w:lang w:eastAsia="zh-CN"/>
              </w:rPr>
              <w:t>石家庄市鹿泉区公路绿化管理中心</w:t>
            </w:r>
          </w:p>
        </w:tc>
        <w:tc>
          <w:tcPr>
            <w:tcW w:w="1372" w:type="dxa"/>
            <w:shd w:val="clear" w:color="auto" w:fill="auto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3D3D3D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3D3D3D"/>
                <w:kern w:val="0"/>
                <w:sz w:val="24"/>
                <w:szCs w:val="24"/>
                <w:lang w:eastAsia="zh-CN"/>
              </w:rPr>
              <w:t>主任</w:t>
            </w:r>
          </w:p>
        </w:tc>
        <w:tc>
          <w:tcPr>
            <w:tcW w:w="1365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3D3D3D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3D3D3D"/>
                <w:kern w:val="0"/>
                <w:sz w:val="24"/>
                <w:szCs w:val="24"/>
                <w:lang w:eastAsia="zh-CN"/>
              </w:rPr>
              <w:t>高级工程师</w:t>
            </w:r>
          </w:p>
        </w:tc>
        <w:tc>
          <w:tcPr>
            <w:tcW w:w="1006" w:type="dxa"/>
            <w:shd w:val="clear" w:color="auto" w:fill="auto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3D3D3D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exact"/>
          <w:jc w:val="center"/>
        </w:trPr>
        <w:tc>
          <w:tcPr>
            <w:tcW w:w="1012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3D3D3D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3D3D3D"/>
                <w:kern w:val="0"/>
                <w:sz w:val="24"/>
                <w:szCs w:val="24"/>
                <w:lang w:eastAsia="zh-CN"/>
              </w:rPr>
              <w:t>司春朝</w:t>
            </w:r>
          </w:p>
        </w:tc>
        <w:tc>
          <w:tcPr>
            <w:tcW w:w="3893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3D3D3D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3D3D3D"/>
                <w:kern w:val="0"/>
                <w:sz w:val="24"/>
                <w:szCs w:val="24"/>
                <w:lang w:eastAsia="zh-CN"/>
              </w:rPr>
              <w:t>石家庄市鹿泉区公路绿化管理中心</w:t>
            </w:r>
          </w:p>
        </w:tc>
        <w:tc>
          <w:tcPr>
            <w:tcW w:w="1372" w:type="dxa"/>
            <w:shd w:val="clear" w:color="auto" w:fill="auto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hint="eastAsia" w:ascii="仿宋" w:hAnsi="仿宋" w:eastAsia="仿宋"/>
                <w:color w:val="3D3D3D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/>
                <w:color w:val="3D3D3D"/>
                <w:kern w:val="0"/>
                <w:sz w:val="24"/>
                <w:szCs w:val="24"/>
                <w:lang w:eastAsia="zh-CN"/>
              </w:rPr>
              <w:t>书记</w:t>
            </w:r>
          </w:p>
        </w:tc>
        <w:tc>
          <w:tcPr>
            <w:tcW w:w="1365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hint="eastAsia" w:ascii="仿宋" w:hAnsi="仿宋" w:eastAsia="仿宋"/>
                <w:color w:val="3D3D3D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/>
                <w:color w:val="3D3D3D"/>
                <w:kern w:val="0"/>
                <w:sz w:val="24"/>
                <w:szCs w:val="24"/>
                <w:lang w:eastAsia="zh-CN"/>
              </w:rPr>
              <w:t>工程师</w:t>
            </w:r>
          </w:p>
        </w:tc>
        <w:tc>
          <w:tcPr>
            <w:tcW w:w="1006" w:type="dxa"/>
            <w:shd w:val="clear" w:color="auto" w:fill="auto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hint="eastAsia" w:ascii="仿宋" w:hAnsi="仿宋" w:eastAsia="仿宋"/>
                <w:color w:val="3D3D3D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7" w:hRule="exact"/>
          <w:jc w:val="center"/>
        </w:trPr>
        <w:tc>
          <w:tcPr>
            <w:tcW w:w="1012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3D3D3D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3D3D3D"/>
                <w:kern w:val="0"/>
                <w:sz w:val="24"/>
                <w:szCs w:val="24"/>
                <w:lang w:val="en-US" w:eastAsia="zh-CN"/>
              </w:rPr>
              <w:t>焦柳</w:t>
            </w:r>
          </w:p>
        </w:tc>
        <w:tc>
          <w:tcPr>
            <w:tcW w:w="3893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3D3D3D"/>
                <w:kern w:val="0"/>
                <w:sz w:val="24"/>
                <w:szCs w:val="24"/>
                <w:lang w:eastAsia="zh-CN"/>
              </w:rPr>
              <w:t>石家庄市鹿泉区公路绿化管理中心</w:t>
            </w:r>
          </w:p>
        </w:tc>
        <w:tc>
          <w:tcPr>
            <w:tcW w:w="1372" w:type="dxa"/>
            <w:shd w:val="clear" w:color="auto" w:fill="auto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hint="default" w:ascii="仿宋" w:hAnsi="仿宋" w:eastAsia="仿宋"/>
                <w:color w:val="3D3D3D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/>
                <w:color w:val="3D3D3D"/>
                <w:kern w:val="0"/>
                <w:sz w:val="24"/>
                <w:szCs w:val="24"/>
                <w:lang w:val="en-US" w:eastAsia="zh-CN"/>
              </w:rPr>
              <w:t>财务科科长</w:t>
            </w:r>
          </w:p>
        </w:tc>
        <w:tc>
          <w:tcPr>
            <w:tcW w:w="1365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3D3D3D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3D3D3D"/>
                <w:kern w:val="0"/>
                <w:sz w:val="24"/>
                <w:szCs w:val="24"/>
                <w:lang w:val="en-US" w:eastAsia="zh-CN"/>
              </w:rPr>
              <w:t>助理会计师</w:t>
            </w:r>
          </w:p>
        </w:tc>
        <w:tc>
          <w:tcPr>
            <w:tcW w:w="1006" w:type="dxa"/>
            <w:shd w:val="clear" w:color="auto" w:fill="auto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3D3D3D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exact"/>
          <w:jc w:val="center"/>
        </w:trPr>
        <w:tc>
          <w:tcPr>
            <w:tcW w:w="1012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3D3D3D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3D3D3D"/>
                <w:kern w:val="0"/>
                <w:sz w:val="24"/>
                <w:szCs w:val="24"/>
                <w:lang w:eastAsia="zh-CN"/>
              </w:rPr>
              <w:t>李富征</w:t>
            </w:r>
          </w:p>
        </w:tc>
        <w:tc>
          <w:tcPr>
            <w:tcW w:w="3893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3D3D3D"/>
                <w:kern w:val="0"/>
                <w:sz w:val="24"/>
                <w:szCs w:val="24"/>
                <w:lang w:eastAsia="zh-CN"/>
              </w:rPr>
              <w:t>石家庄市鹿泉区公路绿化管理中心</w:t>
            </w:r>
          </w:p>
        </w:tc>
        <w:tc>
          <w:tcPr>
            <w:tcW w:w="1372" w:type="dxa"/>
            <w:shd w:val="clear" w:color="auto" w:fill="auto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hint="default" w:ascii="仿宋" w:hAnsi="仿宋" w:eastAsia="仿宋"/>
                <w:color w:val="3D3D3D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/>
                <w:color w:val="3D3D3D"/>
                <w:kern w:val="0"/>
                <w:sz w:val="24"/>
                <w:szCs w:val="24"/>
                <w:lang w:val="en-US" w:eastAsia="zh-CN"/>
              </w:rPr>
              <w:t>技术科科长</w:t>
            </w:r>
          </w:p>
        </w:tc>
        <w:tc>
          <w:tcPr>
            <w:tcW w:w="1365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3D3D3D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3D3D3D"/>
                <w:kern w:val="0"/>
                <w:sz w:val="24"/>
                <w:szCs w:val="24"/>
                <w:lang w:eastAsia="zh-CN"/>
              </w:rPr>
              <w:t>助理工程师</w:t>
            </w:r>
          </w:p>
        </w:tc>
        <w:tc>
          <w:tcPr>
            <w:tcW w:w="1006" w:type="dxa"/>
            <w:shd w:val="clear" w:color="auto" w:fill="auto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3D3D3D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exact"/>
          <w:jc w:val="center"/>
        </w:trPr>
        <w:tc>
          <w:tcPr>
            <w:tcW w:w="1012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3D3D3D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3D3D3D"/>
                <w:kern w:val="0"/>
                <w:sz w:val="24"/>
                <w:szCs w:val="24"/>
                <w:lang w:eastAsia="zh-CN"/>
              </w:rPr>
              <w:t>冯哲</w:t>
            </w:r>
          </w:p>
        </w:tc>
        <w:tc>
          <w:tcPr>
            <w:tcW w:w="3893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3D3D3D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3D3D3D"/>
                <w:kern w:val="0"/>
                <w:sz w:val="24"/>
                <w:szCs w:val="24"/>
                <w:lang w:eastAsia="zh-CN"/>
              </w:rPr>
              <w:t>石家庄市鹿泉区公路绿化管理中心</w:t>
            </w:r>
          </w:p>
        </w:tc>
        <w:tc>
          <w:tcPr>
            <w:tcW w:w="1372" w:type="dxa"/>
            <w:shd w:val="clear" w:color="auto" w:fill="auto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hint="eastAsia" w:ascii="仿宋" w:hAnsi="仿宋" w:eastAsia="仿宋"/>
                <w:color w:val="3D3D3D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/>
                <w:color w:val="3D3D3D"/>
                <w:kern w:val="0"/>
                <w:sz w:val="24"/>
                <w:szCs w:val="24"/>
                <w:lang w:val="en-US" w:eastAsia="zh-CN"/>
              </w:rPr>
              <w:t>技术科科员</w:t>
            </w:r>
          </w:p>
        </w:tc>
        <w:tc>
          <w:tcPr>
            <w:tcW w:w="1365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3D3D3D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3D3D3D"/>
                <w:kern w:val="0"/>
                <w:sz w:val="24"/>
                <w:szCs w:val="24"/>
                <w:lang w:val="en-US" w:eastAsia="zh-CN"/>
              </w:rPr>
              <w:t>技术员</w:t>
            </w:r>
          </w:p>
        </w:tc>
        <w:tc>
          <w:tcPr>
            <w:tcW w:w="1006" w:type="dxa"/>
            <w:shd w:val="clear" w:color="auto" w:fill="auto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3D3D3D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exact"/>
          <w:jc w:val="center"/>
        </w:trPr>
        <w:tc>
          <w:tcPr>
            <w:tcW w:w="1012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3D3D3D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3D3D3D"/>
                <w:kern w:val="0"/>
                <w:sz w:val="24"/>
                <w:szCs w:val="24"/>
                <w:lang w:val="en-US" w:eastAsia="zh-CN"/>
              </w:rPr>
              <w:t>崔晓鹏</w:t>
            </w:r>
          </w:p>
        </w:tc>
        <w:tc>
          <w:tcPr>
            <w:tcW w:w="3893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3D3D3D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3D3D3D"/>
                <w:kern w:val="0"/>
                <w:sz w:val="24"/>
                <w:szCs w:val="24"/>
                <w:lang w:eastAsia="zh-CN"/>
              </w:rPr>
              <w:t>石家庄市鹿泉区公路绿化管理中心</w:t>
            </w:r>
          </w:p>
        </w:tc>
        <w:tc>
          <w:tcPr>
            <w:tcW w:w="1372" w:type="dxa"/>
            <w:shd w:val="clear" w:color="auto" w:fill="auto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hint="eastAsia" w:ascii="仿宋" w:hAnsi="仿宋" w:eastAsia="仿宋"/>
                <w:color w:val="3D3D3D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/>
                <w:color w:val="3D3D3D"/>
                <w:kern w:val="0"/>
                <w:sz w:val="24"/>
                <w:szCs w:val="24"/>
                <w:lang w:val="en-US" w:eastAsia="zh-CN"/>
              </w:rPr>
              <w:t>技术科科员</w:t>
            </w:r>
          </w:p>
        </w:tc>
        <w:tc>
          <w:tcPr>
            <w:tcW w:w="1365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3D3D3D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3D3D3D"/>
                <w:kern w:val="0"/>
                <w:sz w:val="24"/>
                <w:szCs w:val="24"/>
                <w:lang w:val="en-US" w:eastAsia="zh-CN"/>
              </w:rPr>
              <w:t>技术员</w:t>
            </w:r>
          </w:p>
        </w:tc>
        <w:tc>
          <w:tcPr>
            <w:tcW w:w="1006" w:type="dxa"/>
            <w:shd w:val="clear" w:color="auto" w:fill="auto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3D3D3D"/>
                <w:kern w:val="0"/>
                <w:sz w:val="24"/>
                <w:szCs w:val="24"/>
              </w:rPr>
            </w:pPr>
          </w:p>
        </w:tc>
      </w:tr>
    </w:tbl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78" w:lineRule="exact"/>
        <w:textAlignment w:val="auto"/>
        <w:rPr>
          <w:rFonts w:hint="eastAsia" w:ascii="FangSong_GB2312" w:eastAsia="FangSong_GB2312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78" w:lineRule="exact"/>
        <w:textAlignment w:val="auto"/>
        <w:rPr>
          <w:rFonts w:hint="eastAsia" w:ascii="FangSong_GB2312" w:eastAsia="FangSong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2880" w:firstLineChars="900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石家庄市鹿泉区公路绿化管理中心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4800" w:firstLineChars="1500"/>
        <w:textAlignment w:val="auto"/>
        <w:rPr>
          <w:rFonts w:hint="default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2020年1月5日</w:t>
      </w:r>
    </w:p>
    <w:p/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78" w:lineRule="exact"/>
        <w:textAlignment w:val="auto"/>
        <w:rPr>
          <w:rFonts w:hint="eastAsia" w:ascii="FangSong_GB2312" w:eastAsia="FangSong_GB2312"/>
          <w:sz w:val="32"/>
          <w:szCs w:val="32"/>
        </w:rPr>
      </w:pPr>
      <w:bookmarkStart w:id="0" w:name="_GoBack"/>
      <w:bookmarkEnd w:id="0"/>
    </w:p>
    <w:p/>
    <w:p/>
    <w:p/>
    <w:p/>
    <w:p/>
    <w:p/>
    <w:p/>
    <w:p/>
    <w:p/>
    <w:p/>
    <w:p/>
    <w:sectPr>
      <w:footerReference r:id="rId5" w:type="first"/>
      <w:footerReference r:id="rId3" w:type="default"/>
      <w:footerReference r:id="rId4" w:type="even"/>
      <w:pgSz w:w="11906" w:h="16838"/>
      <w:pgMar w:top="1361" w:right="1644" w:bottom="1361" w:left="1644" w:header="851" w:footer="992" w:gutter="0"/>
      <w:pgNumType w:fmt="numberInDash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FangSong_GB2312">
    <w:altName w:val="仿宋_GB2312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360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4"/>
                              <w:szCs w:val="24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4"/>
                              <w:szCs w:val="24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4"/>
                              <w:szCs w:val="24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4"/>
                              <w:szCs w:val="24"/>
                              <w:lang w:eastAsia="zh-CN"/>
                            </w:rPr>
                            <w:t>2</w: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4"/>
                              <w:szCs w:val="24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s0lY7tAAAAAFAQAADwAAAAAAAAABACAAAAAi&#10;AAAAZHJzL2Rvd25yZXYueG1sUEsBAhQAFAAAAAgAh07iQErbzf8SAgAAEwQAAA4AAAAAAAAAAQAg&#10;AAAAHwEAAGRycy9lMm9Eb2MueG1sUEsFBgAAAAAGAAYAWQEAAKM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 w:asciiTheme="majorEastAsia" w:hAnsiTheme="majorEastAsia" w:eastAsiaTheme="majorEastAsia" w:cstheme="majorEastAsia"/>
                        <w:sz w:val="24"/>
                        <w:szCs w:val="24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4"/>
                        <w:szCs w:val="24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4"/>
                        <w:szCs w:val="24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4"/>
                        <w:szCs w:val="24"/>
                        <w:lang w:eastAsia="zh-CN"/>
                      </w:rPr>
                      <w:t>2</w: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4"/>
                        <w:szCs w:val="24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right" w:y="1"/>
      <w:rPr>
        <w:rStyle w:val="8"/>
      </w:rPr>
    </w:pPr>
    <w:r>
      <w:fldChar w:fldCharType="begin"/>
    </w:r>
    <w:r>
      <w:rPr>
        <w:rStyle w:val="8"/>
      </w:rPr>
      <w:instrText xml:space="preserve">PAGE  </w:instrText>
    </w:r>
    <w:r>
      <w:fldChar w:fldCharType="separate"/>
    </w:r>
    <w:r>
      <w:rPr>
        <w:rStyle w:val="8"/>
      </w:rPr>
      <w:t>4</w:t>
    </w:r>
    <w:r>
      <w:fldChar w:fldCharType="end"/>
    </w:r>
  </w:p>
  <w:p>
    <w:pPr>
      <w:pStyle w:val="2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asciiTheme="minorEastAsia" w:hAnsiTheme="minorEastAsia" w:eastAsiaTheme="minorEastAsia" w:cstheme="minorEastAsia"/>
                              <w:sz w:val="24"/>
                              <w:szCs w:val="24"/>
                              <w:lang w:eastAsia="zh-CN"/>
                            </w:rPr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4"/>
                              <w:szCs w:val="24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4"/>
                              <w:szCs w:val="24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4"/>
                              <w:szCs w:val="24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4"/>
                              <w:szCs w:val="24"/>
                              <w:lang w:eastAsia="zh-CN"/>
                            </w:rPr>
                            <w:t>- 1 -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4"/>
                              <w:szCs w:val="24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LNJWO7QAAAABQEAAA8AAAAAAAAAAQAgAAAA&#10;IgAAAGRycy9kb3ducmV2LnhtbFBLAQIUABQAAAAIAIdO4kAF3HKwEwIAABMEAAAOAAAAAAAAAAEA&#10;IAAAAB8BAABkcnMvZTJvRG9jLnhtbFBLBQYAAAAABgAGAFkBAACk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asciiTheme="minorEastAsia" w:hAnsiTheme="minorEastAsia" w:eastAsiaTheme="minorEastAsia" w:cstheme="minorEastAsia"/>
                        <w:sz w:val="24"/>
                        <w:szCs w:val="24"/>
                        <w:lang w:eastAsia="zh-CN"/>
                      </w:rPr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4"/>
                        <w:szCs w:val="24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4"/>
                        <w:szCs w:val="24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4"/>
                        <w:szCs w:val="24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4"/>
                        <w:szCs w:val="24"/>
                        <w:lang w:eastAsia="zh-CN"/>
                      </w:rPr>
                      <w:t>- 1 -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4"/>
                        <w:szCs w:val="24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D33370C0"/>
    <w:multiLevelType w:val="singleLevel"/>
    <w:tmpl w:val="D33370C0"/>
    <w:lvl w:ilvl="0" w:tentative="0">
      <w:start w:val="1"/>
      <w:numFmt w:val="decimal"/>
      <w:suff w:val="nothing"/>
      <w:lvlText w:val="（%1）"/>
      <w:lvlJc w:val="left"/>
    </w:lvl>
  </w:abstractNum>
  <w:abstractNum w:abstractNumId="1">
    <w:nsid w:val="4D4290D2"/>
    <w:multiLevelType w:val="singleLevel"/>
    <w:tmpl w:val="4D4290D2"/>
    <w:lvl w:ilvl="0" w:tentative="0">
      <w:start w:val="2"/>
      <w:numFmt w:val="chineseCounting"/>
      <w:suff w:val="nothing"/>
      <w:lvlText w:val="（%1）"/>
      <w:lvlJc w:val="left"/>
      <w:pPr>
        <w:ind w:left="480" w:leftChars="0" w:firstLine="0" w:firstLineChars="0"/>
      </w:pPr>
      <w:rPr>
        <w:rFonts w:hint="eastAsia"/>
      </w:rPr>
    </w:lvl>
  </w:abstractNum>
  <w:abstractNum w:abstractNumId="2">
    <w:nsid w:val="5A90D828"/>
    <w:multiLevelType w:val="singleLevel"/>
    <w:tmpl w:val="5A90D828"/>
    <w:lvl w:ilvl="0" w:tentative="0">
      <w:start w:val="4"/>
      <w:numFmt w:val="chineseCounting"/>
      <w:suff w:val="nothing"/>
      <w:lvlText w:val="（%1）"/>
      <w:lvlJc w:val="left"/>
      <w:pPr>
        <w:ind w:left="481" w:leftChars="0" w:firstLine="0" w:firstLineChars="0"/>
      </w:pPr>
      <w:rPr>
        <w:rFonts w:hint="eastAsia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A2941B7"/>
    <w:rsid w:val="014D070F"/>
    <w:rsid w:val="043E6959"/>
    <w:rsid w:val="0498455C"/>
    <w:rsid w:val="0529766A"/>
    <w:rsid w:val="06970593"/>
    <w:rsid w:val="087B1508"/>
    <w:rsid w:val="0944728E"/>
    <w:rsid w:val="0BBC184F"/>
    <w:rsid w:val="0C483271"/>
    <w:rsid w:val="11FE4322"/>
    <w:rsid w:val="1636069C"/>
    <w:rsid w:val="19307FFD"/>
    <w:rsid w:val="19C82CE1"/>
    <w:rsid w:val="1A583A53"/>
    <w:rsid w:val="1A6E40B7"/>
    <w:rsid w:val="1AAF1FF0"/>
    <w:rsid w:val="1AF741E3"/>
    <w:rsid w:val="20295C0F"/>
    <w:rsid w:val="216F4C9F"/>
    <w:rsid w:val="228E6A9B"/>
    <w:rsid w:val="24927B3C"/>
    <w:rsid w:val="26FE6578"/>
    <w:rsid w:val="293E2D42"/>
    <w:rsid w:val="29457A7C"/>
    <w:rsid w:val="29AD799A"/>
    <w:rsid w:val="29FE5A0A"/>
    <w:rsid w:val="2A05682B"/>
    <w:rsid w:val="2A2047E7"/>
    <w:rsid w:val="2A2941B7"/>
    <w:rsid w:val="2ABA7420"/>
    <w:rsid w:val="2B2D1802"/>
    <w:rsid w:val="2B670208"/>
    <w:rsid w:val="2CD758F8"/>
    <w:rsid w:val="2DA64DB4"/>
    <w:rsid w:val="2EBD511A"/>
    <w:rsid w:val="2EC763AA"/>
    <w:rsid w:val="2EE13AFC"/>
    <w:rsid w:val="2F1C7927"/>
    <w:rsid w:val="3072555F"/>
    <w:rsid w:val="30B078E5"/>
    <w:rsid w:val="30F13035"/>
    <w:rsid w:val="321C024D"/>
    <w:rsid w:val="349C102C"/>
    <w:rsid w:val="3663766D"/>
    <w:rsid w:val="366E5366"/>
    <w:rsid w:val="37911CA7"/>
    <w:rsid w:val="379E4BEF"/>
    <w:rsid w:val="39A43459"/>
    <w:rsid w:val="3C69477E"/>
    <w:rsid w:val="3E416C79"/>
    <w:rsid w:val="461A564D"/>
    <w:rsid w:val="464378B5"/>
    <w:rsid w:val="46D44EBE"/>
    <w:rsid w:val="48386125"/>
    <w:rsid w:val="48466709"/>
    <w:rsid w:val="493921E5"/>
    <w:rsid w:val="4A2213F6"/>
    <w:rsid w:val="4AD03C22"/>
    <w:rsid w:val="4CAD2D6B"/>
    <w:rsid w:val="4E8F2FBF"/>
    <w:rsid w:val="4EF17ED5"/>
    <w:rsid w:val="52C720CF"/>
    <w:rsid w:val="530B7F10"/>
    <w:rsid w:val="53110892"/>
    <w:rsid w:val="54D71A1D"/>
    <w:rsid w:val="55940458"/>
    <w:rsid w:val="58D4333D"/>
    <w:rsid w:val="59EC608B"/>
    <w:rsid w:val="5AB368CC"/>
    <w:rsid w:val="5C8151D6"/>
    <w:rsid w:val="5E0D322B"/>
    <w:rsid w:val="5E7C10AA"/>
    <w:rsid w:val="649B1214"/>
    <w:rsid w:val="64B21C8C"/>
    <w:rsid w:val="668C3D4C"/>
    <w:rsid w:val="6699252E"/>
    <w:rsid w:val="670C7884"/>
    <w:rsid w:val="67FB6FB2"/>
    <w:rsid w:val="68B612EE"/>
    <w:rsid w:val="69614405"/>
    <w:rsid w:val="69833C6F"/>
    <w:rsid w:val="6A68076E"/>
    <w:rsid w:val="6BAD7D33"/>
    <w:rsid w:val="6F757F10"/>
    <w:rsid w:val="726C648B"/>
    <w:rsid w:val="734E109C"/>
    <w:rsid w:val="73C87B1E"/>
    <w:rsid w:val="751F2DC9"/>
    <w:rsid w:val="7B0621BB"/>
    <w:rsid w:val="7BB76B50"/>
    <w:rsid w:val="7BD151C3"/>
    <w:rsid w:val="7DAA209C"/>
    <w:rsid w:val="7DAD7201"/>
    <w:rsid w:val="7E4D4205"/>
    <w:rsid w:val="7EDF0C50"/>
    <w:rsid w:val="7FB96271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 w:asciiTheme="minorHAnsi" w:hAnsiTheme="minorHAnsi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link w:val="7"/>
    <w:semiHidden/>
    <w:qFormat/>
    <w:uiPriority w:val="0"/>
    <w:rPr>
      <w:rFonts w:ascii="Times New Roman" w:hAnsi="Times New Roman" w:eastAsia="宋体"/>
      <w:sz w:val="21"/>
      <w:szCs w:val="24"/>
    </w:rPr>
  </w:style>
  <w:style w:type="table" w:default="1" w:styleId="4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Times New Roman" w:hAnsi="Times New Roman"/>
      <w:sz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  <w:style w:type="paragraph" w:customStyle="1" w:styleId="7">
    <w:name w:val="默认段落字体 Para Char Char Char Char Char Char Char"/>
    <w:basedOn w:val="1"/>
    <w:link w:val="6"/>
    <w:qFormat/>
    <w:uiPriority w:val="0"/>
  </w:style>
  <w:style w:type="character" w:styleId="8">
    <w:name w:val="page number"/>
    <w:basedOn w:val="6"/>
    <w:qFormat/>
    <w:uiPriority w:val="0"/>
  </w:style>
  <w:style w:type="paragraph" w:customStyle="1" w:styleId="9">
    <w:name w:val="Char Char Char Char Char Char Char"/>
    <w:basedOn w:val="1"/>
    <w:link w:val="6"/>
    <w:qFormat/>
    <w:uiPriority w:val="0"/>
    <w:rPr>
      <w:rFonts w:ascii="Times New Roman" w:hAnsi="Times New Roman" w:eastAsia="宋体"/>
      <w:sz w:val="21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Office_11.3.0.8775_F1E327BC-269C-435d-A152-05C5408002CA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2020-01-02T08:14:00Z</dcterms:created>
  <dc:creator>838</dc:creator>
  <cp:lastModifiedBy>浪子v不夜曲</cp:lastModifiedBy>
  <cp:lastPrinted>2020-01-05T12:26:00Z</cp:lastPrinted>
  <dcterms:modified xsi:type="dcterms:W3CDTF">2020-01-06T06:58:54Z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2052-11.3.0.8775</vt:lpwstr>
  </property>
</Properties>
</file>