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公路绿化养护资金项目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我单位公路绿化养护资金项目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color w:val="0314ED"/>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项目实施单位：石家庄市鹿泉区公路绿化管理中心</w:t>
      </w:r>
      <w:r>
        <w:rPr>
          <w:rFonts w:hint="eastAsia" w:ascii="仿宋_GB2312" w:eastAsia="仿宋_GB2312"/>
          <w:color w:val="0314ED"/>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2019年1月1日-2019年12月31日期间。对石铜路、京赞线、石柏大街、南二环西延等管护道路两侧绿化带进行日常管护，管护面积共计160万平米。管护工作包括做好绿化苗木的病虫害防治、修剪、浇水、拔草、防寒、防涝、乔灌木圈红涂白、卫生整治及设施维护等各项工作，确保绿化苗木健康生长，提高公路绿化景观效果，提升鹿泉美丽生态交通形象。管护范围：京赞线、石铜路、石柏大街、北斗路三环连接线、御园路、翠屏山路、原西南外环土门绿化带、幼师路西延、南二环西延等公路绿化带。</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3.项目资金投入情况：资金数量：1127.7万元，资金来源渠道：</w:t>
      </w:r>
      <w:r>
        <w:rPr>
          <w:rFonts w:hint="eastAsia" w:ascii="仿宋_GB2312" w:eastAsia="仿宋_GB2312"/>
          <w:color w:val="000000" w:themeColor="text1"/>
          <w:sz w:val="32"/>
          <w:szCs w:val="32"/>
          <w:lang w:val="en-US" w:eastAsia="zh-CN"/>
          <w14:textFill>
            <w14:solidFill>
              <w14:schemeClr w14:val="tx1"/>
            </w14:solidFill>
          </w14:textFill>
        </w:rPr>
        <w:t>财政拨款。</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：按照</w:t>
      </w:r>
      <w:r>
        <w:rPr>
          <w:rFonts w:hint="eastAsia" w:ascii="仿宋_GB2312" w:eastAsia="仿宋_GB2312"/>
          <w:sz w:val="32"/>
          <w:szCs w:val="32"/>
          <w:lang w:val="en-US" w:eastAsia="zh-CN"/>
        </w:rPr>
        <w:t>《石家庄市园林绿化养护管理标准》要求，确保各条道路绿化带苗木及设施干净整齐、苗木健康生长、无垃圾杂物、无病虫害、绿化设施齐全等，打造多彩美丽的景观效果，有效提升鹿泉生态交通建设。</w:t>
      </w:r>
    </w:p>
    <w:p>
      <w:pPr>
        <w:keepNext w:val="0"/>
        <w:keepLines w:val="0"/>
        <w:pageBreakBefore w:val="0"/>
        <w:widowControl w:val="0"/>
        <w:kinsoku/>
        <w:wordWrap/>
        <w:overflowPunct/>
        <w:topLinePunct w:val="0"/>
        <w:autoSpaceDE/>
        <w:autoSpaceDN/>
        <w:bidi w:val="0"/>
        <w:adjustRightInd w:val="0"/>
        <w:snapToGrid w:val="0"/>
        <w:spacing w:line="578"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我单位高度重视</w:t>
      </w:r>
      <w:r>
        <w:rPr>
          <w:rFonts w:hint="eastAsia" w:ascii="仿宋_GB2312" w:eastAsia="仿宋_GB2312"/>
          <w:sz w:val="32"/>
          <w:szCs w:val="32"/>
          <w:lang w:eastAsia="zh-CN"/>
        </w:rPr>
        <w:t>项目绩效评价工作，成立了由主任为组长的项目绩效自评领导小组，进一步加强项目绩效自评工作的组织和领导，确保绩效自评工作顺利进行。领导小组针对各项目设立自评小组，统一部署各项目绩效自评工作，安排项目实施、运行、财务等相关人员，落实项目实施、运行及资金使用情况，及时报送绩效自评相关资料。由自评小组汇总汇报，项目绩效自评领导小组依据汇报材料开展评价工作。</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为开展好本次项目评价工作，根据相关文件要求，我单位按以下四个步骤开展绩效评价：</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成立公路绿化养护资金项目自评小组；</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评价小组负责收集预算资料、财务资料、设计资料、合同资料等项目相关资料。根据收集材料，组织召开项目座谈会，最终形成项目绩效评价材料；</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开展绩效评价，形成评价报告初稿，根据收集的项目资料，评价小组汇报项目绩效评价领导小组，对本项目进行评价；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征求相关部门意见，形成评价报告。绩效评价初稿形成后，项目评价小组与项目负责人员进行沟通，听取意见建议，避免出现遗漏，同时，通过随机采访和调查问卷的方式，对该项目沿线社会群众满意度进行调查，并在其基础上进行完善并形成绩效评价报告终稿。</w:t>
      </w:r>
    </w:p>
    <w:p>
      <w:pPr>
        <w:keepNext w:val="0"/>
        <w:keepLines w:val="0"/>
        <w:pageBreakBefore w:val="0"/>
        <w:widowControl w:val="0"/>
        <w:numPr>
          <w:ilvl w:val="0"/>
          <w:numId w:val="0"/>
        </w:numPr>
        <w:kinsoku/>
        <w:wordWrap/>
        <w:overflowPunct/>
        <w:topLinePunct w:val="0"/>
        <w:autoSpaceDE/>
        <w:autoSpaceDN/>
        <w:bidi w:val="0"/>
        <w:spacing w:line="578"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根据要求，我单位在开展本项目预算绩效评价工作过程中，针对评价对象特点，设计以下评价指标体系</w:t>
      </w:r>
      <w:r>
        <w:rPr>
          <w:rFonts w:hint="eastAsia" w:ascii="仿宋_GB2312" w:eastAsia="仿宋_GB2312"/>
          <w:sz w:val="32"/>
          <w:szCs w:val="32"/>
          <w:lang w:val="en-US" w:eastAsia="zh-CN"/>
        </w:rPr>
        <w:t>。</w:t>
      </w: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功臣效益社会效益各占3分，可持续发展占4分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对居民、群众进行随机采访和发放调查问卷，进行满意度调查</w:t>
            </w: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根据采访和调研的情况进行评分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500"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仿宋_GB2312" w:eastAsia="仿宋_GB2312"/>
                <w:sz w:val="24"/>
                <w:szCs w:val="24"/>
                <w:vertAlign w:val="baseline"/>
                <w:lang w:val="en-US" w:eastAsia="zh-CN"/>
              </w:rPr>
            </w:pPr>
          </w:p>
        </w:tc>
      </w:tr>
    </w:tbl>
    <w:p>
      <w:pPr>
        <w:keepNext w:val="0"/>
        <w:keepLines w:val="0"/>
        <w:pageBreakBefore w:val="0"/>
        <w:widowControl w:val="0"/>
        <w:kinsoku/>
        <w:wordWrap/>
        <w:overflowPunct/>
        <w:topLinePunct w:val="0"/>
        <w:autoSpaceDE/>
        <w:autoSpaceDN/>
        <w:bidi w:val="0"/>
        <w:spacing w:line="578"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1.该</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根据鹿泉编［2015］7号文《关于设立绿化管理中心的通知》绿化养护费用的批示为依据，</w:t>
      </w:r>
      <w:r>
        <w:rPr>
          <w:rFonts w:hint="eastAsia" w:ascii="仿宋_GB2312" w:eastAsia="仿宋_GB2312"/>
          <w:sz w:val="32"/>
          <w:szCs w:val="32"/>
          <w:lang w:val="en-US" w:eastAsia="zh-CN"/>
        </w:rPr>
        <w:t>对石铜路、京赞线、石柏大街、御园路、南二环西延等管护道路两侧绿化带进行日常管护，管护面积共计160万平米。</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时间范围是2019年1月1日至2019年12月31日期间。</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管护工作包括做好绿化苗木的病虫害防治、修剪、浇水、拔草、防寒、防涝、苗木圈红涂白、卫生整治及设施维护等各项工作，确保绿化苗木健康生长，提高公路绿化景观效果，提升鹿泉美丽生态交通形象。</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sz w:val="32"/>
          <w:szCs w:val="32"/>
          <w:lang w:val="en-US" w:eastAsia="zh-CN"/>
        </w:rPr>
        <w:t>管护范围：京赞线、石铜路、石柏大街、北斗路三环连接线、御园路、翠屏山路、原西南外环土门绿化带、幼师路西延、南二环西延等公路绿化带。</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2.2019年公路绿化养护资金项目共拨付1127.7万元。</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对我区京赞线、石铜路、石柏大街、北斗路三环连接线、御园路、翠屏山路、获平线、原西南外环土门绿化带、幼师路西延、南二环西延道路两侧绿化带进行日常管护，管护面积共计160万平米，管护期间做好苗木的病虫害防治、修剪、浇水、</w:t>
      </w:r>
      <w:r>
        <w:rPr>
          <w:rFonts w:hint="eastAsia" w:ascii="仿宋_GB2312" w:eastAsia="仿宋_GB2312"/>
          <w:sz w:val="32"/>
          <w:szCs w:val="32"/>
          <w:lang w:val="en-US" w:eastAsia="zh-CN"/>
        </w:rPr>
        <w:t>拔草、防寒、防涝、苗木圈红涂白、</w:t>
      </w:r>
      <w:r>
        <w:rPr>
          <w:rFonts w:hint="eastAsia" w:ascii="仿宋_GB2312" w:eastAsia="仿宋_GB2312"/>
          <w:b w:val="0"/>
          <w:bCs w:val="0"/>
          <w:sz w:val="32"/>
          <w:szCs w:val="32"/>
          <w:lang w:val="en-US" w:eastAsia="zh-CN"/>
        </w:rPr>
        <w:t>卫生整治和设备维护等工作，确保我区公路多姿多彩的绿化景观效果，提升鹿泉美丽生态交通形象。</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2.为保障项目资金的安全，确保资金专款专用，我单位从资金申请、资金使用、会计核算三个环节加强资金管理。通过上述三个环节的管理保证财政资金安全有效使用。</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根据工作计划，各管护路段绿化管护工作完成率100%，绿化设施完好率100%。</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该项目实施后，相关道路景观效果得到提升，苗木成活率100%，绿化带干净整洁。我单位组织人员与沿线和周边群众展开沟通交流和问卷调查，群众满意度达到95%</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sz w:val="32"/>
          <w:szCs w:val="36"/>
          <w:lang w:val="en-US" w:eastAsia="zh-CN"/>
        </w:rPr>
      </w:pPr>
      <w:r>
        <w:rPr>
          <w:rFonts w:hint="eastAsia" w:ascii="仿宋_GB2312" w:hAnsi="仿宋_GB2312" w:eastAsia="仿宋_GB2312" w:cs="仿宋_GB2312"/>
          <w:b w:val="0"/>
          <w:bCs w:val="0"/>
          <w:sz w:val="32"/>
          <w:szCs w:val="36"/>
          <w:lang w:eastAsia="zh-CN"/>
        </w:rPr>
        <w:t>该项目</w:t>
      </w:r>
      <w:r>
        <w:rPr>
          <w:rFonts w:hint="eastAsia" w:ascii="仿宋_GB2312" w:hAnsi="仿宋_GB2312" w:eastAsia="仿宋_GB2312" w:cs="仿宋_GB2312"/>
          <w:b w:val="0"/>
          <w:bCs w:val="0"/>
          <w:sz w:val="32"/>
          <w:szCs w:val="36"/>
          <w:lang w:val="en-US" w:eastAsia="zh-CN"/>
        </w:rPr>
        <w:t>保质、保量完成2019年相关路段公路绿化管护任务，各管护路段景观的效果得到明显提升，苗木成活率提升明显，受到领导群众一致好评。</w:t>
      </w: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从总体上看，绩效评价总体得分为94分，为优秀等次。</w:t>
      </w: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p>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224"/>
        <w:gridCol w:w="2655"/>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224"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655"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7" w:hRule="atLeast"/>
        </w:trPr>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对居民、群众进行随机采访和发放调查问卷，进行满意度调查</w:t>
            </w: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根据采访和调研的情况进行评分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224"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p>
        </w:tc>
        <w:tc>
          <w:tcPr>
            <w:tcW w:w="2655" w:type="dxa"/>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94</w:t>
            </w:r>
          </w:p>
        </w:tc>
      </w:tr>
    </w:tbl>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随着人民群众对绿化工作要求日益提高，管护标准提升，导致经费紧张，部分工作不能有效推进；</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南二环西延、京赞线等路段绿化灌溉用水为南水北调用水，水费较高，导致养护经费紧张，希望拨付灌溉相关费用。</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 xml:space="preserve"> 鉴于我单位因管护标准提升和绿化养护灌溉费用较高所导致管护经费紧张的问题，希望财政部门能够增加管护经费及绿化养护灌溉费用的拨付，确保我单位各项工作能够正常有序开展。</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FangSong_GB2312" w:eastAsia="FangSong_GB2312"/>
          <w:b/>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p>
    <w:p>
      <w:pPr>
        <w:keepNext w:val="0"/>
        <w:keepLines w:val="0"/>
        <w:pageBreakBefore w:val="0"/>
        <w:kinsoku/>
        <w:wordWrap/>
        <w:overflowPunct/>
        <w:topLinePunct w:val="0"/>
        <w:autoSpaceDE/>
        <w:autoSpaceDN/>
        <w:bidi w:val="0"/>
        <w:spacing w:line="578" w:lineRule="exact"/>
        <w:jc w:val="center"/>
        <w:textAlignment w:val="auto"/>
        <w:rPr>
          <w:rFonts w:ascii="FangSong_GB2312" w:eastAsia="FangSong_GB2312"/>
          <w:b/>
          <w:sz w:val="32"/>
          <w:szCs w:val="32"/>
        </w:rPr>
      </w:pPr>
      <w:r>
        <w:rPr>
          <w:rFonts w:hint="eastAsia" w:ascii="FangSong_GB2312" w:eastAsia="FangSong_GB2312"/>
          <w:b/>
          <w:sz w:val="32"/>
          <w:szCs w:val="32"/>
        </w:rPr>
        <w:t>评价工作小组人员名单</w:t>
      </w:r>
    </w:p>
    <w:tbl>
      <w:tblPr>
        <w:tblStyle w:val="4"/>
        <w:tblW w:w="86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
      <w:tblGrid>
        <w:gridCol w:w="1012"/>
        <w:gridCol w:w="3893"/>
        <w:gridCol w:w="1372"/>
        <w:gridCol w:w="1365"/>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姓  名</w:t>
            </w:r>
          </w:p>
        </w:tc>
        <w:tc>
          <w:tcPr>
            <w:tcW w:w="3893"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单  位</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职  务</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职  称</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温春艳</w:t>
            </w:r>
          </w:p>
        </w:tc>
        <w:tc>
          <w:tcPr>
            <w:tcW w:w="3893"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主任</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高级工程师</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司春朝</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olor w:val="auto"/>
                <w:kern w:val="0"/>
                <w:sz w:val="24"/>
                <w:szCs w:val="24"/>
                <w:lang w:eastAsia="zh-CN"/>
              </w:rPr>
            </w:pPr>
            <w:r>
              <w:rPr>
                <w:rFonts w:hint="eastAsia" w:ascii="仿宋" w:hAnsi="仿宋" w:eastAsia="仿宋"/>
                <w:color w:val="auto"/>
                <w:kern w:val="0"/>
                <w:sz w:val="24"/>
                <w:szCs w:val="24"/>
                <w:lang w:eastAsia="zh-CN"/>
              </w:rPr>
              <w:t>书记</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olor w:val="auto"/>
                <w:kern w:val="0"/>
                <w:sz w:val="24"/>
                <w:szCs w:val="24"/>
                <w:lang w:eastAsia="zh-CN"/>
              </w:rPr>
            </w:pPr>
            <w:r>
              <w:rPr>
                <w:rFonts w:hint="eastAsia" w:ascii="仿宋" w:hAnsi="仿宋" w:eastAsia="仿宋"/>
                <w:color w:val="auto"/>
                <w:kern w:val="0"/>
                <w:sz w:val="24"/>
                <w:szCs w:val="24"/>
                <w:lang w:eastAsia="zh-CN"/>
              </w:rPr>
              <w:t>工程师</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0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val="en-US" w:eastAsia="zh-CN"/>
              </w:rPr>
              <w:t>焦柳</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 w:hAnsi="仿宋" w:eastAsia="仿宋"/>
                <w:color w:val="auto"/>
                <w:kern w:val="0"/>
                <w:sz w:val="24"/>
                <w:szCs w:val="24"/>
                <w:lang w:val="en-US" w:eastAsia="zh-CN"/>
              </w:rPr>
            </w:pPr>
            <w:r>
              <w:rPr>
                <w:rFonts w:hint="eastAsia" w:ascii="仿宋" w:hAnsi="仿宋" w:eastAsia="仿宋"/>
                <w:color w:val="auto"/>
                <w:kern w:val="0"/>
                <w:sz w:val="24"/>
                <w:szCs w:val="24"/>
                <w:lang w:val="en-US" w:eastAsia="zh-CN"/>
              </w:rPr>
              <w:t>财务科科长</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val="en-US" w:eastAsia="zh-CN"/>
              </w:rPr>
              <w:t>助理会计师</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val="en-US" w:eastAsia="zh-CN"/>
              </w:rPr>
              <w:t>李富征</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default" w:ascii="仿宋" w:hAnsi="仿宋" w:eastAsia="仿宋"/>
                <w:color w:val="auto"/>
                <w:kern w:val="0"/>
                <w:sz w:val="24"/>
                <w:szCs w:val="24"/>
                <w:lang w:val="en-US" w:eastAsia="zh-CN"/>
              </w:rPr>
            </w:pPr>
            <w:r>
              <w:rPr>
                <w:rFonts w:hint="eastAsia" w:ascii="仿宋" w:hAnsi="仿宋" w:eastAsia="仿宋"/>
                <w:color w:val="auto"/>
                <w:kern w:val="0"/>
                <w:sz w:val="24"/>
                <w:szCs w:val="24"/>
                <w:lang w:val="en-US" w:eastAsia="zh-CN"/>
              </w:rPr>
              <w:t>技术科科长</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助理工程师</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eastAsia="zh-CN"/>
              </w:rPr>
              <w:t>崔晓鹏</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stheme="minorBidi"/>
                <w:color w:val="auto"/>
                <w:kern w:val="0"/>
                <w:sz w:val="24"/>
                <w:szCs w:val="24"/>
                <w:lang w:val="en-US" w:eastAsia="zh-CN" w:bidi="ar-SA"/>
              </w:rPr>
            </w:pPr>
            <w:r>
              <w:rPr>
                <w:rFonts w:hint="eastAsia" w:ascii="仿宋" w:hAnsi="仿宋" w:eastAsia="仿宋"/>
                <w:color w:val="auto"/>
                <w:kern w:val="0"/>
                <w:sz w:val="24"/>
                <w:szCs w:val="24"/>
                <w:lang w:val="en-US" w:eastAsia="zh-CN"/>
              </w:rPr>
              <w:t>技术科科员</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val="en-US" w:eastAsia="zh-CN"/>
              </w:rPr>
              <w:t>技术员</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eastAsia="zh-CN"/>
              </w:rPr>
              <w:t>李彩蓉</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stheme="minorBidi"/>
                <w:color w:val="auto"/>
                <w:kern w:val="0"/>
                <w:sz w:val="24"/>
                <w:szCs w:val="24"/>
                <w:lang w:val="en-US" w:eastAsia="zh-CN" w:bidi="ar-SA"/>
              </w:rPr>
            </w:pPr>
            <w:r>
              <w:rPr>
                <w:rFonts w:hint="eastAsia" w:ascii="仿宋" w:hAnsi="仿宋" w:eastAsia="仿宋"/>
                <w:color w:val="auto"/>
                <w:kern w:val="0"/>
                <w:sz w:val="24"/>
                <w:szCs w:val="24"/>
                <w:lang w:val="en-US" w:eastAsia="zh-CN"/>
              </w:rPr>
              <w:t>技术科科员</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val="en-US" w:eastAsia="zh-CN"/>
              </w:rPr>
              <w:t>技术员</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eastAsia="zh-CN"/>
              </w:rPr>
              <w:t>高佳桓</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stheme="minorBidi"/>
                <w:color w:val="auto"/>
                <w:kern w:val="0"/>
                <w:sz w:val="24"/>
                <w:szCs w:val="24"/>
                <w:lang w:val="en-US" w:eastAsia="zh-CN" w:bidi="ar-SA"/>
              </w:rPr>
            </w:pPr>
            <w:r>
              <w:rPr>
                <w:rFonts w:hint="eastAsia" w:ascii="仿宋" w:hAnsi="仿宋" w:eastAsia="仿宋"/>
                <w:color w:val="auto"/>
                <w:kern w:val="0"/>
                <w:sz w:val="24"/>
                <w:szCs w:val="24"/>
                <w:lang w:val="en-US" w:eastAsia="zh-CN"/>
              </w:rPr>
              <w:t>技术科科员</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val="en-US" w:eastAsia="zh-CN"/>
              </w:rPr>
              <w:t>技术员</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eastAsia="zh-CN"/>
              </w:rPr>
              <w:t>胡明昊</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stheme="minorBidi"/>
                <w:color w:val="auto"/>
                <w:kern w:val="0"/>
                <w:sz w:val="24"/>
                <w:szCs w:val="24"/>
                <w:lang w:val="en-US" w:eastAsia="zh-CN" w:bidi="ar-SA"/>
              </w:rPr>
            </w:pPr>
            <w:r>
              <w:rPr>
                <w:rFonts w:hint="eastAsia" w:ascii="仿宋" w:hAnsi="仿宋" w:eastAsia="仿宋"/>
                <w:color w:val="auto"/>
                <w:kern w:val="0"/>
                <w:sz w:val="24"/>
                <w:szCs w:val="24"/>
                <w:lang w:val="en-US" w:eastAsia="zh-CN"/>
              </w:rPr>
              <w:t>技术科科员</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kern w:val="0"/>
                <w:sz w:val="24"/>
                <w:szCs w:val="24"/>
                <w:lang w:val="en-US" w:eastAsia="zh-CN"/>
              </w:rPr>
              <w:t>技术员</w:t>
            </w:r>
          </w:p>
        </w:tc>
        <w:tc>
          <w:tcPr>
            <w:tcW w:w="1006"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冯哲</w:t>
            </w:r>
          </w:p>
        </w:tc>
        <w:tc>
          <w:tcPr>
            <w:tcW w:w="3893" w:type="dxa"/>
            <w:shd w:val="clear" w:color="auto" w:fill="auto"/>
            <w:noWrap w:val="0"/>
            <w:vAlign w:val="center"/>
          </w:tcPr>
          <w:p>
            <w:pPr>
              <w:keepNext w:val="0"/>
              <w:keepLines w:val="0"/>
              <w:pageBreakBefore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石家庄市鹿泉区公路绿化管理中心</w:t>
            </w:r>
          </w:p>
        </w:tc>
        <w:tc>
          <w:tcPr>
            <w:tcW w:w="1372" w:type="dxa"/>
            <w:shd w:val="clear" w:color="auto" w:fill="auto"/>
            <w:noWrap w:val="0"/>
            <w:vAlign w:val="top"/>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 w:hAnsi="仿宋" w:eastAsia="仿宋"/>
                <w:color w:val="auto"/>
                <w:kern w:val="0"/>
                <w:sz w:val="24"/>
                <w:szCs w:val="24"/>
                <w:lang w:val="en-US" w:eastAsia="zh-CN"/>
              </w:rPr>
            </w:pPr>
            <w:r>
              <w:rPr>
                <w:rFonts w:hint="eastAsia" w:ascii="仿宋" w:hAnsi="仿宋" w:eastAsia="仿宋"/>
                <w:color w:val="auto"/>
                <w:kern w:val="0"/>
                <w:sz w:val="24"/>
                <w:szCs w:val="24"/>
                <w:lang w:val="en-US" w:eastAsia="zh-CN"/>
              </w:rPr>
              <w:t>技术科科员</w:t>
            </w:r>
          </w:p>
        </w:tc>
        <w:tc>
          <w:tcPr>
            <w:tcW w:w="1365"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技术员</w:t>
            </w:r>
          </w:p>
        </w:tc>
        <w:tc>
          <w:tcPr>
            <w:tcW w:w="1006" w:type="dxa"/>
            <w:shd w:val="clear" w:color="auto" w:fill="auto"/>
            <w:noWrap w:val="0"/>
            <w:vAlign w:val="center"/>
          </w:tcPr>
          <w:p>
            <w:pPr>
              <w:keepNext w:val="0"/>
              <w:keepLines w:val="0"/>
              <w:pageBreakBefore w:val="0"/>
              <w:widowControl/>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auto"/>
                <w:kern w:val="0"/>
                <w:sz w:val="24"/>
                <w:szCs w:val="24"/>
              </w:rPr>
            </w:pPr>
          </w:p>
        </w:tc>
      </w:tr>
    </w:tbl>
    <w:p>
      <w:pPr>
        <w:keepNext w:val="0"/>
        <w:keepLines w:val="0"/>
        <w:pageBreakBefore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2880" w:firstLineChars="9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石家庄市鹿泉区公路绿化管理中心</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4800" w:firstLineChars="1500"/>
        <w:textAlignment w:val="auto"/>
        <w:rPr>
          <w:rFonts w:hint="default"/>
          <w:lang w:val="en-US" w:eastAsia="zh-CN"/>
        </w:rPr>
      </w:pPr>
      <w:r>
        <w:rPr>
          <w:rFonts w:hint="eastAsia" w:ascii="仿宋_GB2312" w:hAnsi="仿宋_GB2312" w:eastAsia="仿宋_GB2312" w:cs="仿宋_GB2312"/>
          <w:b w:val="0"/>
          <w:bCs w:val="0"/>
          <w:color w:val="auto"/>
          <w:sz w:val="32"/>
          <w:szCs w:val="32"/>
          <w:lang w:val="en-US" w:eastAsia="zh-CN"/>
        </w:rPr>
        <w:t>2020年1月5日</w:t>
      </w:r>
    </w:p>
    <w:p/>
    <w:p>
      <w:pPr>
        <w:keepNext w:val="0"/>
        <w:keepLines w:val="0"/>
        <w:pageBreakBefore w:val="0"/>
        <w:kinsoku/>
        <w:wordWrap/>
        <w:overflowPunct/>
        <w:topLinePunct w:val="0"/>
        <w:autoSpaceDE/>
        <w:autoSpaceDN/>
        <w:bidi w:val="0"/>
        <w:spacing w:line="578" w:lineRule="exact"/>
        <w:textAlignment w:val="auto"/>
        <w:rPr>
          <w:rFonts w:hint="eastAsia" w:ascii="FangSong_GB2312" w:eastAsia="FangSong_GB2312"/>
          <w:sz w:val="32"/>
          <w:szCs w:val="32"/>
        </w:rPr>
      </w:pPr>
      <w:bookmarkStart w:id="0" w:name="_GoBack"/>
      <w:bookmarkEnd w:id="0"/>
    </w:p>
    <w:p>
      <w:pPr>
        <w:keepNext w:val="0"/>
        <w:keepLines w:val="0"/>
        <w:pageBreakBefore w:val="0"/>
        <w:widowControl w:val="0"/>
        <w:kinsoku/>
        <w:wordWrap/>
        <w:overflowPunct/>
        <w:topLinePunct w:val="0"/>
        <w:autoSpaceDE/>
        <w:autoSpaceDN/>
        <w:bidi w:val="0"/>
        <w:spacing w:line="578" w:lineRule="exact"/>
        <w:textAlignment w:val="auto"/>
      </w:pPr>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FangSong_GB2312">
    <w:altName w:val="仿宋_GB2312"/>
    <w:panose1 w:val="02010609060101010101"/>
    <w:charset w:val="86"/>
    <w:family w:val="modern"/>
    <w:pitch w:val="default"/>
    <w:sig w:usb0="00000000" w:usb1="00000000"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- 1 -</w:t>
                          </w:r>
                          <w:r>
                            <w:rPr>
                              <w:rFonts w:hint="eastAsia" w:asciiTheme="minorEastAsia" w:hAnsiTheme="minorEastAsia" w:eastAsiaTheme="minorEastAsia" w:cstheme="min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- 1 -</w:t>
                    </w:r>
                    <w:r>
                      <w:rPr>
                        <w:rFonts w:hint="eastAsia" w:asciiTheme="minorEastAsia" w:hAnsiTheme="minorEastAsia" w:eastAsiaTheme="minorEastAsia" w:cstheme="minor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3370C0"/>
    <w:multiLevelType w:val="singleLevel"/>
    <w:tmpl w:val="D33370C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2C410B"/>
    <w:rsid w:val="00F94FEB"/>
    <w:rsid w:val="014D070F"/>
    <w:rsid w:val="043E6959"/>
    <w:rsid w:val="0498455C"/>
    <w:rsid w:val="0529766A"/>
    <w:rsid w:val="06970593"/>
    <w:rsid w:val="087B1508"/>
    <w:rsid w:val="0944728E"/>
    <w:rsid w:val="096A0C6D"/>
    <w:rsid w:val="0A794864"/>
    <w:rsid w:val="0C103F33"/>
    <w:rsid w:val="0C483271"/>
    <w:rsid w:val="0D3341C4"/>
    <w:rsid w:val="0EFE2C84"/>
    <w:rsid w:val="0F3A2120"/>
    <w:rsid w:val="11FE4322"/>
    <w:rsid w:val="16AC6CAD"/>
    <w:rsid w:val="199F6BFF"/>
    <w:rsid w:val="19C82CE1"/>
    <w:rsid w:val="1A583A53"/>
    <w:rsid w:val="1A6E40B7"/>
    <w:rsid w:val="1AF741E3"/>
    <w:rsid w:val="1D971C86"/>
    <w:rsid w:val="20295C0F"/>
    <w:rsid w:val="216F4C9F"/>
    <w:rsid w:val="225B3D3D"/>
    <w:rsid w:val="24927B3C"/>
    <w:rsid w:val="26FE6578"/>
    <w:rsid w:val="293E2D42"/>
    <w:rsid w:val="29457A7C"/>
    <w:rsid w:val="29AD799A"/>
    <w:rsid w:val="29FE5A0A"/>
    <w:rsid w:val="2A05682B"/>
    <w:rsid w:val="2A2047E7"/>
    <w:rsid w:val="2A241B20"/>
    <w:rsid w:val="2A2941B7"/>
    <w:rsid w:val="2ABA7420"/>
    <w:rsid w:val="2B2D1802"/>
    <w:rsid w:val="2CD758F8"/>
    <w:rsid w:val="2DA64DB4"/>
    <w:rsid w:val="2EC763AA"/>
    <w:rsid w:val="2EE13AFC"/>
    <w:rsid w:val="2F1C7927"/>
    <w:rsid w:val="30B078E5"/>
    <w:rsid w:val="30F13035"/>
    <w:rsid w:val="321C024D"/>
    <w:rsid w:val="33124DB8"/>
    <w:rsid w:val="349C102C"/>
    <w:rsid w:val="35374A04"/>
    <w:rsid w:val="355C7A57"/>
    <w:rsid w:val="35AA518F"/>
    <w:rsid w:val="366E5366"/>
    <w:rsid w:val="375B0EBE"/>
    <w:rsid w:val="37911CA7"/>
    <w:rsid w:val="38D94164"/>
    <w:rsid w:val="3927644E"/>
    <w:rsid w:val="39A43459"/>
    <w:rsid w:val="3A687EF9"/>
    <w:rsid w:val="3B412F68"/>
    <w:rsid w:val="3C9A1EE9"/>
    <w:rsid w:val="3D9D0454"/>
    <w:rsid w:val="44516DAC"/>
    <w:rsid w:val="461A564D"/>
    <w:rsid w:val="464378B5"/>
    <w:rsid w:val="48386125"/>
    <w:rsid w:val="48466709"/>
    <w:rsid w:val="493921E5"/>
    <w:rsid w:val="4A2213F6"/>
    <w:rsid w:val="4AD03C22"/>
    <w:rsid w:val="4CAD2D6B"/>
    <w:rsid w:val="4DD223C5"/>
    <w:rsid w:val="4E6B2FF2"/>
    <w:rsid w:val="4E7A7ABF"/>
    <w:rsid w:val="4EF17ED5"/>
    <w:rsid w:val="501B05DB"/>
    <w:rsid w:val="52C720CF"/>
    <w:rsid w:val="530B7F10"/>
    <w:rsid w:val="53110892"/>
    <w:rsid w:val="539F2B95"/>
    <w:rsid w:val="53D93B60"/>
    <w:rsid w:val="54D71A1D"/>
    <w:rsid w:val="55940458"/>
    <w:rsid w:val="58D4333D"/>
    <w:rsid w:val="59EC608B"/>
    <w:rsid w:val="5AB368CC"/>
    <w:rsid w:val="5C8151D6"/>
    <w:rsid w:val="5DD069EF"/>
    <w:rsid w:val="5E0D322B"/>
    <w:rsid w:val="5E7C10AA"/>
    <w:rsid w:val="60C541F5"/>
    <w:rsid w:val="63D160D7"/>
    <w:rsid w:val="649B1214"/>
    <w:rsid w:val="64B21C8C"/>
    <w:rsid w:val="6699252E"/>
    <w:rsid w:val="670C7884"/>
    <w:rsid w:val="67FB6FB2"/>
    <w:rsid w:val="69614405"/>
    <w:rsid w:val="69833C6F"/>
    <w:rsid w:val="6A68076E"/>
    <w:rsid w:val="6F757F10"/>
    <w:rsid w:val="71F74D5E"/>
    <w:rsid w:val="726C648B"/>
    <w:rsid w:val="72904EBB"/>
    <w:rsid w:val="734E109C"/>
    <w:rsid w:val="73A70CC9"/>
    <w:rsid w:val="73C87B1E"/>
    <w:rsid w:val="751F2DC9"/>
    <w:rsid w:val="7BB76B50"/>
    <w:rsid w:val="7C9E390C"/>
    <w:rsid w:val="7D0D3289"/>
    <w:rsid w:val="7DAA209C"/>
    <w:rsid w:val="7DAD7201"/>
    <w:rsid w:val="7E4D4205"/>
    <w:rsid w:val="7F457E84"/>
    <w:rsid w:val="7F965A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rPr>
      <w:rFonts w:ascii="Times New Roman" w:hAnsi="Times New Roman" w:eastAsia="宋体"/>
      <w:sz w:val="21"/>
      <w:szCs w:val="24"/>
    </w:rPr>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Char Char Char Char Char Char Char"/>
    <w:basedOn w:val="1"/>
    <w:link w:val="6"/>
    <w:qFormat/>
    <w:uiPriority w:val="0"/>
    <w:rPr>
      <w:rFonts w:ascii="Times New Roman" w:hAnsi="Times New Roman" w:eastAsia="宋体"/>
      <w:sz w:val="21"/>
      <w:szCs w:val="24"/>
    </w:rPr>
  </w:style>
  <w:style w:type="character" w:styleId="8">
    <w:name w:val="page number"/>
    <w:basedOn w:val="6"/>
    <w:qFormat/>
    <w:uiPriority w:val="0"/>
  </w:style>
  <w:style w:type="character" w:styleId="9">
    <w:name w:val="FollowedHyperlink"/>
    <w:basedOn w:val="6"/>
    <w:qFormat/>
    <w:uiPriority w:val="0"/>
    <w:rPr>
      <w:rFonts w:hint="eastAsia" w:ascii="宋体" w:hAnsi="宋体" w:eastAsia="宋体" w:cs="宋体"/>
      <w:color w:val="282828"/>
      <w:sz w:val="18"/>
      <w:szCs w:val="18"/>
      <w:u w:val="none"/>
    </w:rPr>
  </w:style>
  <w:style w:type="character" w:styleId="10">
    <w:name w:val="Hyperlink"/>
    <w:basedOn w:val="6"/>
    <w:qFormat/>
    <w:uiPriority w:val="0"/>
    <w:rPr>
      <w:rFonts w:hint="eastAsia" w:ascii="宋体" w:hAnsi="宋体" w:eastAsia="宋体" w:cs="宋体"/>
      <w:color w:val="282828"/>
      <w:sz w:val="18"/>
      <w:szCs w:val="18"/>
      <w:u w:val="none"/>
    </w:rPr>
  </w:style>
  <w:style w:type="paragraph" w:customStyle="1" w:styleId="11">
    <w:name w:val="默认段落字体 Para Char Char Char Char Char Char Char"/>
    <w:basedOn w:val="1"/>
    <w:link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浪子v不夜曲</cp:lastModifiedBy>
  <cp:lastPrinted>2012-01-01T10:59:00Z</cp:lastPrinted>
  <dcterms:modified xsi:type="dcterms:W3CDTF">2020-01-06T06:59:44Z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