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信息化系统项目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w:t>
      </w:r>
      <w:r>
        <w:rPr>
          <w:rFonts w:hint="eastAsia" w:ascii="仿宋_GB2312" w:eastAsia="仿宋_GB2312"/>
          <w:sz w:val="32"/>
          <w:szCs w:val="32"/>
          <w:lang w:eastAsia="zh-CN"/>
        </w:rPr>
        <w:t>对信息化系统项目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鹿泉卫生信息化建设在区委区政府大力支持下，建设了区域卫生信息平台和“云计算”模式的数字化医，实现了区域医疗数字化全覆盖。全区3所区级医院、14所乡镇卫生院、2所民营医院、208所村卫生室通过百兆专线接入连接信息中心，全面实现了区域医疗卫生信息的集中管理，互联互通，信息共享。</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组建卫生信息专网连接各医疗机构，通过组建卫生信息专网实现</w:t>
      </w:r>
      <w:r>
        <w:rPr>
          <w:rFonts w:hint="eastAsia" w:ascii="仿宋_GB2312" w:eastAsia="仿宋_GB2312"/>
          <w:sz w:val="32"/>
          <w:szCs w:val="32"/>
          <w:lang w:val="en-US" w:eastAsia="zh-CN"/>
        </w:rPr>
        <w:t>3所区级医院、14所乡镇卫生院、208所村卫生室之间诊疗信息的互通共享，通过</w:t>
      </w:r>
      <w:r>
        <w:rPr>
          <w:rFonts w:hint="eastAsia" w:ascii="仿宋_GB2312" w:eastAsia="仿宋_GB2312"/>
          <w:sz w:val="32"/>
          <w:szCs w:val="32"/>
          <w:lang w:eastAsia="zh-CN"/>
        </w:rPr>
        <w:t>对信息中心的服务器进行定期巡检、维护，对软件功能进行升级、改造，确保服务器平稳运行，满足医疗机构的业务需求，为人民群众提供更加优质的医疗服务。</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加强信息化基础建设，</w:t>
      </w:r>
      <w:r>
        <w:rPr>
          <w:rFonts w:hint="eastAsia" w:ascii="仿宋_GB2312" w:eastAsia="仿宋_GB2312"/>
          <w:sz w:val="32"/>
          <w:szCs w:val="32"/>
          <w:lang w:eastAsia="zh-CN"/>
        </w:rPr>
        <w:t>组建卫生信息专网连接各医疗机构；实现各医疗机构之间的互联共享；对信息中心的服务器进行维护、升级，确保服务器平稳运行。</w:t>
      </w:r>
    </w:p>
    <w:p>
      <w:pPr>
        <w:ind w:firstLine="640" w:firstLineChars="200"/>
        <w:rPr>
          <w:rFonts w:hint="eastAsia" w:ascii="黑体" w:hAnsi="黑体" w:eastAsia="黑体" w:cs="黑体"/>
          <w:b/>
          <w:bCs/>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信息中心里边的主要业务服务器包括了HIS、LIS、PACS、健康档案、电子签名、时间源服务器等。这些服务器承担着全区19所医疗机构数字化医院、卫生信息平台的运行和数据存储，通过整合人口信息、居民健康档案、电子病历三大数据库，实现了居民到辖区各医疗机构就诊，医生可以方便快捷调阅患者健康档案、体检记录以及以往检查、检验结果、诊疗记录等卫生信息，使医生更加深入的了解患者的健康状况；诊疗完成后，诊疗信息自动传输至信息平台，归入个人健康档案，对健康档案进行更新完善。提高了医疗质量同时，降低了就诊费用。</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w:t>
      </w:r>
      <w:r>
        <w:rPr>
          <w:rFonts w:hint="eastAsia" w:ascii="仿宋_GB2312" w:eastAsia="仿宋_GB2312"/>
          <w:sz w:val="32"/>
          <w:szCs w:val="32"/>
        </w:rPr>
        <w:t>优秀</w:t>
      </w:r>
      <w:r>
        <w:rPr>
          <w:rFonts w:hint="eastAsia" w:ascii="仿宋_GB2312" w:eastAsia="仿宋_GB2312"/>
          <w:b w:val="0"/>
          <w:bCs w:val="0"/>
          <w:sz w:val="32"/>
          <w:szCs w:val="32"/>
          <w:lang w:val="en-US" w:eastAsia="zh-CN"/>
        </w:rPr>
        <w:t>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ind w:firstLine="643" w:firstLineChars="200"/>
        <w:rPr>
          <w:rFonts w:hint="eastAsia" w:ascii="仿宋_GB2312" w:eastAsia="仿宋_GB2312"/>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仿宋_GB2312" w:eastAsia="仿宋_GB2312"/>
          <w:sz w:val="32"/>
          <w:szCs w:val="32"/>
          <w:lang w:val="en-US" w:eastAsia="zh-CN"/>
        </w:rPr>
        <w:t>（一）项目资金投入严重不足,设备老化严重。</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（二）加大项目资金投入，完善信息中心安全防护水平，确保信息安全。</w:t>
      </w:r>
    </w:p>
    <w:p>
      <w:pPr>
        <w:numPr>
          <w:ilvl w:val="0"/>
          <w:numId w:val="1"/>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numPr>
          <w:ilvl w:val="0"/>
          <w:numId w:val="0"/>
        </w:numPr>
        <w:adjustRightInd w:val="0"/>
        <w:snapToGrid w:val="0"/>
        <w:spacing w:line="360" w:lineRule="auto"/>
        <w:ind w:firstLine="320" w:firstLineChars="100"/>
        <w:rPr>
          <w:rFonts w:hint="eastAsia" w:ascii="仿宋_GB2312" w:eastAsia="仿宋_GB2312"/>
          <w:sz w:val="32"/>
          <w:szCs w:val="32"/>
          <w:lang w:val="en-US" w:eastAsia="zh-CN"/>
        </w:rPr>
      </w:pPr>
      <w:r>
        <w:rPr>
          <w:rFonts w:hint="eastAsia" w:ascii="仿宋_GB2312" w:eastAsia="仿宋_GB2312"/>
          <w:sz w:val="32"/>
          <w:szCs w:val="32"/>
          <w:lang w:eastAsia="zh-CN"/>
        </w:rPr>
        <w:t>王坤</w:t>
      </w:r>
      <w:r>
        <w:rPr>
          <w:rFonts w:hint="eastAsia" w:ascii="仿宋_GB2312" w:eastAsia="仿宋_GB2312"/>
          <w:sz w:val="32"/>
          <w:szCs w:val="32"/>
          <w:lang w:val="en-US" w:eastAsia="zh-CN"/>
        </w:rPr>
        <w:t xml:space="preserve">  卫健局医政科科长</w:t>
      </w:r>
    </w:p>
    <w:p>
      <w:pPr>
        <w:numPr>
          <w:ilvl w:val="0"/>
          <w:numId w:val="0"/>
        </w:numPr>
        <w:adjustRightInd w:val="0"/>
        <w:snapToGrid w:val="0"/>
        <w:spacing w:line="360" w:lineRule="auto"/>
        <w:ind w:firstLine="320" w:firstLineChars="100"/>
        <w:rPr>
          <w:rFonts w:hint="default" w:ascii="仿宋_GB2312" w:eastAsia="仿宋_GB2312"/>
          <w:sz w:val="32"/>
          <w:szCs w:val="32"/>
          <w:lang w:val="en-US" w:eastAsia="zh-CN"/>
        </w:rPr>
      </w:pPr>
      <w:r>
        <w:rPr>
          <w:rFonts w:hint="eastAsia" w:ascii="仿宋_GB2312" w:eastAsia="仿宋_GB2312"/>
          <w:sz w:val="32"/>
          <w:szCs w:val="32"/>
          <w:lang w:val="en-US" w:eastAsia="zh-CN"/>
        </w:rPr>
        <w:t>高京春 卫健局爱卫科科长</w:t>
      </w:r>
    </w:p>
    <w:p>
      <w:pPr>
        <w:numPr>
          <w:ilvl w:val="0"/>
          <w:numId w:val="0"/>
        </w:numPr>
        <w:adjustRightInd w:val="0"/>
        <w:snapToGrid w:val="0"/>
        <w:spacing w:line="360" w:lineRule="auto"/>
        <w:ind w:firstLine="320" w:firstLineChars="100"/>
        <w:rPr>
          <w:rFonts w:hint="eastAsia" w:ascii="仿宋_GB2312" w:eastAsia="仿宋_GB2312"/>
          <w:sz w:val="32"/>
          <w:szCs w:val="32"/>
        </w:rPr>
      </w:pPr>
    </w:p>
    <w:p>
      <w:pPr>
        <w:numPr>
          <w:ilvl w:val="0"/>
          <w:numId w:val="0"/>
        </w:numPr>
        <w:adjustRightInd w:val="0"/>
        <w:snapToGrid w:val="0"/>
        <w:spacing w:line="360" w:lineRule="auto"/>
        <w:ind w:firstLine="320" w:firstLineChars="100"/>
        <w:rPr>
          <w:rFonts w:hint="eastAsia" w:ascii="仿宋_GB2312" w:eastAsia="仿宋_GB2312"/>
          <w:sz w:val="32"/>
          <w:szCs w:val="32"/>
        </w:rPr>
      </w:pPr>
    </w:p>
    <w:p>
      <w:pPr>
        <w:numPr>
          <w:ilvl w:val="0"/>
          <w:numId w:val="0"/>
        </w:numPr>
        <w:adjustRightInd w:val="0"/>
        <w:snapToGrid w:val="0"/>
        <w:spacing w:line="360" w:lineRule="auto"/>
        <w:ind w:firstLine="4800" w:firstLineChars="1500"/>
        <w:rPr>
          <w:rFonts w:hint="default" w:ascii="仿宋_GB2312" w:eastAsia="仿宋_GB2312"/>
          <w:sz w:val="32"/>
          <w:szCs w:val="32"/>
          <w:lang w:val="en-US" w:eastAsia="zh-CN"/>
        </w:rPr>
      </w:pPr>
      <w:r>
        <w:rPr>
          <w:rFonts w:hint="eastAsia" w:ascii="仿宋_GB2312" w:eastAsia="仿宋_GB2312"/>
          <w:sz w:val="32"/>
          <w:szCs w:val="32"/>
          <w:lang w:val="en-US" w:eastAsia="zh-CN"/>
        </w:rPr>
        <w:t>2020年1月6日</w:t>
      </w:r>
    </w:p>
    <w:p>
      <w:pPr>
        <w:numPr>
          <w:ilvl w:val="0"/>
          <w:numId w:val="0"/>
        </w:numPr>
        <w:adjustRightInd w:val="0"/>
        <w:snapToGrid w:val="0"/>
        <w:spacing w:line="360" w:lineRule="auto"/>
        <w:ind w:firstLine="320" w:firstLineChars="100"/>
        <w:rPr>
          <w:rFonts w:hint="eastAsia" w:ascii="仿宋_GB2312" w:eastAsia="仿宋_GB2312"/>
          <w:sz w:val="32"/>
          <w:szCs w:val="32"/>
        </w:rPr>
      </w:pPr>
    </w:p>
    <w:p/>
    <w:p/>
    <w:p/>
    <w:p/>
    <w:p/>
    <w:p/>
    <w:p/>
    <w:p/>
    <w:p/>
    <w:p/>
    <w:p/>
    <w:p/>
    <w:p/>
    <w:p/>
    <w:p/>
    <w:p/>
    <w:p/>
    <w:p/>
    <w:p/>
    <w:p/>
    <w:p/>
    <w:p/>
    <w:p/>
    <w:p/>
    <w:p/>
    <w:p/>
    <w:p/>
    <w:p/>
    <w:p/>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w:t>
            </w:r>
            <w:bookmarkStart w:id="0" w:name="_GoBack"/>
            <w:bookmarkEnd w:id="0"/>
            <w:r>
              <w:rPr>
                <w:rFonts w:hint="default" w:ascii="楷体_GB2312" w:hAnsi="楷体_GB2312" w:eastAsia="楷体_GB2312"/>
                <w:b w:val="0"/>
                <w:i w:val="0"/>
                <w:snapToGrid/>
                <w:color w:val="000000"/>
                <w:sz w:val="22"/>
                <w:u w:val="none"/>
                <w:shd w:val="clear" w:color="auto" w:fill="FFFFFF"/>
                <w:lang w:eastAsia="zh-CN"/>
              </w:rPr>
              <w:t>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sectPr>
      <w:headerReference r:id="rId3" w:type="first"/>
      <w:footerReference r:id="rId6" w:type="first"/>
      <w:footerReference r:id="rId4" w:type="default"/>
      <w:footerReference r:id="rId5" w:type="even"/>
      <w:pgSz w:w="11906" w:h="16838"/>
      <w:pgMar w:top="1440" w:right="1800" w:bottom="1440" w:left="1800"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0F0B8D"/>
    <w:multiLevelType w:val="singleLevel"/>
    <w:tmpl w:val="5E0F0B8D"/>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23900F35"/>
    <w:rsid w:val="2A2941B7"/>
    <w:rsid w:val="3F2F747F"/>
    <w:rsid w:val="475236D6"/>
    <w:rsid w:val="621B77E5"/>
    <w:rsid w:val="77226274"/>
    <w:rsid w:val="772F04E7"/>
    <w:rsid w:val="773D35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2020-01-07T00:41:58Z</cp:lastPrinted>
  <dcterms:modified xsi:type="dcterms:W3CDTF">2020-01-07T00:51:48Z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