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黑体" w:hAnsi="黑体" w:eastAsia="黑体" w:cs="黑体"/>
          <w:b/>
          <w:bCs/>
          <w:sz w:val="36"/>
          <w:szCs w:val="36"/>
          <w:lang w:eastAsia="zh-CN"/>
        </w:rPr>
      </w:pPr>
      <w:r>
        <w:rPr>
          <w:rFonts w:hint="eastAsia" w:ascii="黑体" w:hAnsi="黑体" w:eastAsia="黑体" w:cs="黑体"/>
          <w:b/>
          <w:bCs/>
          <w:sz w:val="36"/>
          <w:szCs w:val="36"/>
          <w:lang w:eastAsia="zh-CN"/>
        </w:rPr>
        <w:t>石家庄市鹿泉人民医院永壁分院门诊病房楼</w:t>
      </w:r>
    </w:p>
    <w:p>
      <w:pPr>
        <w:spacing w:line="360" w:lineRule="auto"/>
        <w:ind w:left="0" w:leftChars="0" w:right="0" w:rightChars="0" w:firstLine="0" w:firstLineChars="0"/>
        <w:jc w:val="center"/>
        <w:rPr>
          <w:rFonts w:hint="eastAsia" w:ascii="黑体" w:hAnsi="黑体" w:eastAsia="黑体" w:cs="黑体"/>
          <w:sz w:val="36"/>
          <w:szCs w:val="36"/>
          <w:lang w:eastAsia="zh-CN"/>
        </w:rPr>
      </w:pPr>
      <w:r>
        <w:rPr>
          <w:rFonts w:hint="eastAsia" w:ascii="黑体" w:hAnsi="黑体" w:eastAsia="黑体" w:cs="黑体"/>
          <w:b/>
          <w:bCs/>
          <w:sz w:val="36"/>
          <w:szCs w:val="36"/>
          <w:lang w:eastAsia="zh-CN"/>
        </w:rPr>
        <w:t>及基础设施建设项目</w:t>
      </w:r>
      <w:r>
        <w:rPr>
          <w:rFonts w:hint="eastAsia" w:ascii="黑体" w:hAnsi="黑体" w:eastAsia="黑体" w:cs="黑体"/>
          <w:b/>
          <w:bCs/>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石家庄市鹿泉人民医院永壁分院门诊病房楼及基础设施建设项目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widowControl/>
        <w:suppressLineNumbers w:val="0"/>
        <w:jc w:val="left"/>
        <w:rPr>
          <w:rFonts w:hint="eastAsia" w:ascii="仿宋" w:hAnsi="仿宋" w:eastAsia="仿宋" w:cs="仿宋"/>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项目实施单位石家庄市鹿泉人民医院永壁分院，</w:t>
      </w:r>
      <w:r>
        <w:rPr>
          <w:rFonts w:hint="eastAsia" w:ascii="仿宋" w:hAnsi="仿宋" w:eastAsia="仿宋" w:cs="仿宋"/>
          <w:color w:val="000000"/>
          <w:kern w:val="0"/>
          <w:sz w:val="32"/>
          <w:szCs w:val="32"/>
          <w:lang w:val="en-US" w:eastAsia="zh-CN" w:bidi="ar"/>
        </w:rPr>
        <w:t>项目拟建场址位于石家庄市鹿泉人民医院永壁分院原址内。医院西邻大寨路、南邻道路、北邻装院路、东邻永壁西街耕地。医院总用地面积 8901 ㎡，为一规则矩形地块，东西宽约 60 米，南北长约 150 米，临城市主干道较近，地势平坦，基础设施完善，交通便利，环境良好。本项目建设场址位于医院院内南侧，现状为空地，占地面积约 746 ㎡。</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本项目为石家庄市鹿泉人民医院永壁分院门诊病房楼及基础设施建设项目，位于石家庄市鹿泉区铜冶镇永壁西街，该工程为框架结构，地下一层，地上七层，女儿墙顶规划计算高度为29.75米，室内外高差0.45米，占地面积为945.61平方米，总建筑面积为6202.13平方米，主要工作内容包括：新建门诊病房楼及基础设施土建、电气、给排水、消防、采暖、通风空调、医疗气体管道及对讲专业；</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石家庄市鹿泉人民医院永壁分院门诊病房楼及基础设施建设项目，依据发改投资【2018】106号、冀发改投资【2018】150号、石发改投资【2018】122号要求；项目总投资2281万元，其中中央基建投资预算指标1368万元，已拨付到位，地方配套基金913万元，已列入2019年本级财政预算，2019年本级财政250万元已拨付到位，剩余资金已列入2020年预算，资金来源中央基建预算（拨款）和地方配套资金(拨款）。</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w:t>
      </w:r>
      <w:r>
        <w:rPr>
          <w:rFonts w:hint="eastAsia" w:ascii="仿宋_GB2312" w:eastAsia="仿宋_GB2312"/>
          <w:sz w:val="32"/>
          <w:szCs w:val="32"/>
          <w:lang w:val="en-US" w:eastAsia="zh-CN"/>
        </w:rPr>
        <w:t>石家庄市鹿泉人民医院永壁分院</w:t>
      </w:r>
      <w:r>
        <w:rPr>
          <w:rFonts w:hint="eastAsia" w:ascii="仿宋_GB2312" w:eastAsia="仿宋_GB2312"/>
          <w:sz w:val="32"/>
          <w:szCs w:val="32"/>
        </w:rPr>
        <w:t>门诊病房楼及基础设施建设</w:t>
      </w:r>
      <w:r>
        <w:rPr>
          <w:rFonts w:hint="eastAsia" w:ascii="仿宋_GB2312" w:eastAsia="仿宋_GB2312"/>
          <w:sz w:val="32"/>
          <w:szCs w:val="32"/>
          <w:lang w:eastAsia="zh-CN"/>
        </w:rPr>
        <w:t>项目</w:t>
      </w:r>
      <w:r>
        <w:rPr>
          <w:rFonts w:hint="eastAsia" w:ascii="仿宋_GB2312" w:eastAsia="仿宋_GB2312"/>
          <w:sz w:val="32"/>
          <w:szCs w:val="32"/>
        </w:rPr>
        <w:t>，从根本上改善医院的诊疗环境，提高患者就医条件，扩大和提高医院的服务能力，同时也为创建二级甲等医院创造条件。</w:t>
      </w:r>
    </w:p>
    <w:p>
      <w:pPr>
        <w:adjustRightInd w:val="0"/>
        <w:snapToGrid w:val="0"/>
        <w:spacing w:line="360" w:lineRule="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widowControl/>
        <w:suppressLineNumbers w:val="0"/>
        <w:jc w:val="left"/>
        <w:rPr>
          <w:rFonts w:hint="eastAsia" w:ascii="仿宋" w:hAnsi="仿宋" w:eastAsia="仿宋" w:cs="仿宋"/>
          <w:sz w:val="32"/>
          <w:szCs w:val="32"/>
        </w:rPr>
      </w:pPr>
      <w:r>
        <w:rPr>
          <w:rFonts w:hint="eastAsia" w:ascii="仿宋_GB2312" w:eastAsia="仿宋_GB2312"/>
          <w:sz w:val="32"/>
          <w:szCs w:val="32"/>
          <w:lang w:val="en-US" w:eastAsia="zh-CN"/>
        </w:rPr>
        <w:t xml:space="preserve">   </w:t>
      </w:r>
      <w:r>
        <w:rPr>
          <w:rFonts w:hint="eastAsia" w:ascii="仿宋" w:hAnsi="仿宋" w:eastAsia="仿宋" w:cs="仿宋"/>
          <w:color w:val="000000"/>
          <w:kern w:val="0"/>
          <w:sz w:val="32"/>
          <w:szCs w:val="32"/>
          <w:lang w:val="en-US" w:eastAsia="zh-CN" w:bidi="ar"/>
        </w:rPr>
        <w:t xml:space="preserve">（1）《建设项目经济评价方法与参数》（第三版）（2006年7月3日国家发改委和建设部发改投资[2006]1325 号文） </w:t>
      </w:r>
    </w:p>
    <w:p>
      <w:pPr>
        <w:keepNext w:val="0"/>
        <w:keepLines w:val="0"/>
        <w:widowControl/>
        <w:suppressLineNumbers w:val="0"/>
        <w:ind w:firstLine="320" w:firstLineChars="1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（2）2005 年《河北省建筑工程概算定额》及现行概算指标。 </w:t>
      </w:r>
    </w:p>
    <w:p>
      <w:pPr>
        <w:keepNext w:val="0"/>
        <w:keepLines w:val="0"/>
        <w:widowControl/>
        <w:suppressLineNumbers w:val="0"/>
        <w:ind w:firstLine="320" w:firstLineChars="1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（3）2005 年《河北省安装工程概算定额》及现行概算指标。 </w:t>
      </w:r>
    </w:p>
    <w:p>
      <w:pPr>
        <w:keepNext w:val="0"/>
        <w:keepLines w:val="0"/>
        <w:widowControl/>
        <w:suppressLineNumbers w:val="0"/>
        <w:ind w:firstLine="320" w:firstLineChars="1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（4）2004 年《河北省建设项目概算其他费用定额》。 </w:t>
      </w:r>
    </w:p>
    <w:p>
      <w:pPr>
        <w:keepNext w:val="0"/>
        <w:keepLines w:val="0"/>
        <w:widowControl/>
        <w:suppressLineNumbers w:val="0"/>
        <w:ind w:firstLine="320" w:firstLineChars="1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（5）本项目有关专业提供的设计图纸，设备材料及有关技术数据。 </w:t>
      </w:r>
    </w:p>
    <w:p>
      <w:pPr>
        <w:keepNext w:val="0"/>
        <w:keepLines w:val="0"/>
        <w:widowControl/>
        <w:suppressLineNumbers w:val="0"/>
        <w:ind w:firstLine="320" w:firstLineChars="1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（6）国家、部门和石家庄市的其他有关规定。 </w:t>
      </w:r>
    </w:p>
    <w:p>
      <w:pPr>
        <w:rPr>
          <w:rFonts w:hint="eastAsia" w:ascii="黑体" w:hAnsi="黑体" w:eastAsia="黑体" w:cs="黑体"/>
          <w:b/>
          <w:bCs/>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仿宋" w:hAnsi="仿宋" w:eastAsia="仿宋" w:cs="仿宋"/>
          <w:sz w:val="32"/>
          <w:szCs w:val="32"/>
        </w:rPr>
      </w:pPr>
      <w:r>
        <w:rPr>
          <w:rFonts w:hint="eastAsia" w:ascii="楷体_GB2312" w:hAnsi="楷体_GB2312" w:eastAsia="楷体_GB2312" w:cs="楷体_GB2312"/>
          <w:b w:val="0"/>
          <w:bCs w:val="0"/>
          <w:sz w:val="32"/>
          <w:szCs w:val="32"/>
          <w:lang w:val="en-US" w:eastAsia="zh-CN"/>
        </w:rPr>
        <w:t xml:space="preserve">    </w:t>
      </w:r>
      <w:r>
        <w:rPr>
          <w:rFonts w:hint="eastAsia" w:ascii="仿宋" w:hAnsi="仿宋" w:eastAsia="仿宋" w:cs="仿宋"/>
          <w:sz w:val="32"/>
          <w:szCs w:val="32"/>
        </w:rPr>
        <w:t>该项目的建设符合国家的医疗产业政策和石家庄市城市总体规划。项目建设期对卫生院的正常运行影响不太大，在完成新建的这段时间内，合理安排现有医疗功能，使卫生院的正常运转有保障。项目建成后，不仅能够解决现有业务用房紧张的实际矛盾，还可以大大改善该院广大医务工作者的工作环境，缓解医患紧张矛盾，提高本区域医疗服务水平，方便该区域广大市民的就医条件，扩大石家庄市鹿泉人民医院永壁分院的医疗服务辐射范围。</w:t>
      </w:r>
    </w:p>
    <w:p>
      <w:pPr>
        <w:numPr>
          <w:ilvl w:val="0"/>
          <w:numId w:val="0"/>
        </w:numPr>
        <w:ind w:firstLine="640" w:firstLineChars="200"/>
        <w:rPr>
          <w:rFonts w:hint="eastAsia" w:ascii="仿宋" w:hAnsi="仿宋" w:eastAsia="仿宋" w:cs="仿宋"/>
          <w:sz w:val="32"/>
          <w:szCs w:val="32"/>
        </w:rPr>
      </w:pPr>
      <w:r>
        <w:rPr>
          <w:rFonts w:hint="eastAsia" w:ascii="仿宋" w:hAnsi="仿宋" w:eastAsia="仿宋" w:cs="仿宋"/>
          <w:b w:val="0"/>
          <w:bCs w:val="0"/>
          <w:sz w:val="32"/>
          <w:szCs w:val="32"/>
          <w:lang w:val="en-US" w:eastAsia="zh-CN"/>
        </w:rPr>
        <w:t>本项目尚未完工，若</w:t>
      </w:r>
      <w:r>
        <w:rPr>
          <w:rFonts w:hint="eastAsia" w:ascii="仿宋" w:hAnsi="仿宋" w:eastAsia="仿宋" w:cs="仿宋"/>
          <w:sz w:val="32"/>
          <w:szCs w:val="32"/>
        </w:rPr>
        <w:t>本项目建</w:t>
      </w:r>
      <w:r>
        <w:rPr>
          <w:rFonts w:hint="eastAsia" w:ascii="仿宋" w:hAnsi="仿宋" w:eastAsia="仿宋" w:cs="仿宋"/>
          <w:sz w:val="32"/>
          <w:szCs w:val="32"/>
          <w:lang w:eastAsia="zh-CN"/>
        </w:rPr>
        <w:t>成后，</w:t>
      </w:r>
      <w:r>
        <w:rPr>
          <w:rFonts w:hint="eastAsia" w:ascii="仿宋" w:hAnsi="仿宋" w:eastAsia="仿宋" w:cs="仿宋"/>
          <w:sz w:val="32"/>
          <w:szCs w:val="32"/>
        </w:rPr>
        <w:t>从城市发展的整体情况考虑，也会完善石家庄市城市功能，更好的保障人民群众的身体健康，进一步促进社会的和谐发展，项目社会效益显著。</w:t>
      </w:r>
    </w:p>
    <w:p>
      <w:pPr>
        <w:numPr>
          <w:ilvl w:val="0"/>
          <w:numId w:val="0"/>
        </w:numPr>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rPr>
      </w:pPr>
      <w:r>
        <w:rPr>
          <w:rFonts w:hint="eastAsia" w:ascii="仿宋_GB2312" w:eastAsia="仿宋_GB2312"/>
          <w:b w:val="0"/>
          <w:bCs w:val="0"/>
          <w:sz w:val="32"/>
          <w:szCs w:val="32"/>
          <w:lang w:val="en-US" w:eastAsia="zh-CN"/>
        </w:rPr>
        <w:t>因本项目尚未完工，根据本项目目前执行情况和项目绩效情况，给出总得分，得出综合项目综合绩效评价为76分，等级：</w:t>
      </w:r>
      <w:r>
        <w:rPr>
          <w:rFonts w:hint="eastAsia" w:ascii="仿宋_GB2312" w:eastAsia="仿宋_GB2312"/>
          <w:sz w:val="32"/>
          <w:szCs w:val="32"/>
        </w:rPr>
        <w:t>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w:t>
      </w:r>
    </w:p>
    <w:p>
      <w:pPr>
        <w:numPr>
          <w:ilvl w:val="0"/>
          <w:numId w:val="0"/>
        </w:numPr>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因为预警天气多，导致施工原料缺乏，延误工期；场地较小，施工受到限制。</w:t>
      </w:r>
    </w:p>
    <w:p>
      <w:pPr>
        <w:numPr>
          <w:ilvl w:val="0"/>
          <w:numId w:val="1"/>
        </w:numPr>
        <w:ind w:firstLine="320" w:firstLineChars="1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具体的改进措施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解除预警后，加班加点赶工期；针对场地小的问题，积极与当地政府沟通协调。</w:t>
      </w:r>
    </w:p>
    <w:p>
      <w:pPr>
        <w:numPr>
          <w:ilvl w:val="0"/>
          <w:numId w:val="0"/>
        </w:numPr>
        <w:rPr>
          <w:rFonts w:hint="default" w:ascii="楷体_GB2312" w:hAnsi="楷体_GB2312" w:eastAsia="楷体_GB2312"/>
          <w:b w:val="0"/>
          <w:bCs w:val="0"/>
          <w:sz w:val="32"/>
          <w:szCs w:val="32"/>
          <w:lang w:val="en-US" w:eastAsia="zh-CN"/>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tbl>
      <w:tblPr>
        <w:tblStyle w:val="5"/>
        <w:tblW w:w="0" w:type="auto"/>
        <w:tblInd w:w="7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0"/>
        <w:gridCol w:w="1683"/>
        <w:gridCol w:w="1317"/>
        <w:gridCol w:w="1565"/>
        <w:gridCol w:w="13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510"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姓 名</w:t>
            </w:r>
          </w:p>
        </w:tc>
        <w:tc>
          <w:tcPr>
            <w:tcW w:w="1683"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工作单位</w:t>
            </w:r>
          </w:p>
        </w:tc>
        <w:tc>
          <w:tcPr>
            <w:tcW w:w="1317"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职 务</w:t>
            </w:r>
          </w:p>
        </w:tc>
        <w:tc>
          <w:tcPr>
            <w:tcW w:w="1565"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职 称</w:t>
            </w:r>
          </w:p>
        </w:tc>
        <w:tc>
          <w:tcPr>
            <w:tcW w:w="1393"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510"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贺志杰</w:t>
            </w:r>
          </w:p>
        </w:tc>
        <w:tc>
          <w:tcPr>
            <w:tcW w:w="1683"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永壁分院</w:t>
            </w:r>
          </w:p>
        </w:tc>
        <w:tc>
          <w:tcPr>
            <w:tcW w:w="1317"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院 长</w:t>
            </w:r>
          </w:p>
        </w:tc>
        <w:tc>
          <w:tcPr>
            <w:tcW w:w="1565"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副 高</w:t>
            </w:r>
          </w:p>
        </w:tc>
        <w:tc>
          <w:tcPr>
            <w:tcW w:w="1393"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510"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王新刚</w:t>
            </w:r>
          </w:p>
        </w:tc>
        <w:tc>
          <w:tcPr>
            <w:tcW w:w="1683"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永壁分院</w:t>
            </w:r>
          </w:p>
        </w:tc>
        <w:tc>
          <w:tcPr>
            <w:tcW w:w="1317"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副院长</w:t>
            </w:r>
          </w:p>
        </w:tc>
        <w:tc>
          <w:tcPr>
            <w:tcW w:w="1565"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执业医师</w:t>
            </w:r>
          </w:p>
        </w:tc>
        <w:tc>
          <w:tcPr>
            <w:tcW w:w="1393"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510"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周晓青</w:t>
            </w:r>
          </w:p>
        </w:tc>
        <w:tc>
          <w:tcPr>
            <w:tcW w:w="1683"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永壁分院</w:t>
            </w:r>
          </w:p>
        </w:tc>
        <w:tc>
          <w:tcPr>
            <w:tcW w:w="1317"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p>
        </w:tc>
        <w:tc>
          <w:tcPr>
            <w:tcW w:w="1565"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p>
        </w:tc>
        <w:tc>
          <w:tcPr>
            <w:tcW w:w="1393"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510"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周飞飞</w:t>
            </w:r>
          </w:p>
        </w:tc>
        <w:tc>
          <w:tcPr>
            <w:tcW w:w="1683"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r>
              <w:rPr>
                <w:rFonts w:hint="eastAsia" w:ascii="楷体_GB2312" w:hAnsi="楷体_GB2312" w:eastAsia="楷体_GB2312"/>
                <w:b w:val="0"/>
                <w:i w:val="0"/>
                <w:snapToGrid/>
                <w:color w:val="000000"/>
                <w:sz w:val="28"/>
                <w:szCs w:val="28"/>
                <w:u w:val="none"/>
                <w:shd w:val="clear" w:color="auto" w:fill="FFFFFF"/>
                <w:lang w:val="en-US" w:eastAsia="zh-CN"/>
              </w:rPr>
              <w:t>永壁分院</w:t>
            </w:r>
          </w:p>
        </w:tc>
        <w:tc>
          <w:tcPr>
            <w:tcW w:w="1317"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p>
        </w:tc>
        <w:tc>
          <w:tcPr>
            <w:tcW w:w="1565"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p>
        </w:tc>
        <w:tc>
          <w:tcPr>
            <w:tcW w:w="1393" w:type="dxa"/>
          </w:tcPr>
          <w:p>
            <w:pPr>
              <w:shd w:val="solid" w:color="FFFFFF" w:fill="auto"/>
              <w:kinsoku/>
              <w:autoSpaceDE/>
              <w:autoSpaceDN w:val="0"/>
              <w:jc w:val="center"/>
              <w:textAlignment w:val="center"/>
              <w:rPr>
                <w:rFonts w:hint="eastAsia" w:ascii="楷体_GB2312" w:hAnsi="楷体_GB2312" w:eastAsia="楷体_GB2312"/>
                <w:b w:val="0"/>
                <w:i w:val="0"/>
                <w:snapToGrid/>
                <w:color w:val="000000"/>
                <w:sz w:val="28"/>
                <w:szCs w:val="28"/>
                <w:u w:val="none"/>
                <w:shd w:val="clear" w:color="auto" w:fill="FFFFFF"/>
                <w:lang w:val="en-US" w:eastAsia="zh-CN"/>
              </w:rPr>
            </w:pP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default"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default"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项目的申请、设立过程符合相关要求</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项目所设定的绩效目标依据充分，符合客观实际，用以反映和考核项目绩效目标与项目实施的相符情况。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eastAsia" w:ascii="楷体_GB2312" w:hAnsi="楷体_GB2312" w:eastAsia="楷体_GB2312"/>
                <w:b w:val="0"/>
                <w:i w:val="0"/>
                <w:snapToGrid/>
                <w:color w:val="000000"/>
                <w:sz w:val="22"/>
                <w:u w:val="none"/>
                <w:shd w:val="clear" w:color="auto" w:fill="FFFFFF"/>
                <w:lang w:val="en-US" w:eastAsia="zh-CN"/>
              </w:rPr>
              <w:t>到位资金率70%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ind w:firstLine="1100" w:firstLineChars="50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eastAsia="zh-CN"/>
              </w:rPr>
              <w:t>到位及时率</w:t>
            </w:r>
            <w:r>
              <w:rPr>
                <w:rFonts w:hint="eastAsia" w:ascii="楷体_GB2312" w:hAnsi="楷体_GB2312" w:eastAsia="楷体_GB2312"/>
                <w:b w:val="0"/>
                <w:i w:val="0"/>
                <w:snapToGrid/>
                <w:color w:val="000000"/>
                <w:sz w:val="22"/>
                <w:u w:val="none"/>
                <w:shd w:val="clear" w:color="auto" w:fill="FFFFFF"/>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①已制定相应的业务管理制度</w:t>
            </w:r>
            <w:r>
              <w:rPr>
                <w:rFonts w:hint="eastAsia" w:ascii="楷体_GB2312" w:hAnsi="楷体_GB2312" w:eastAsia="楷体_GB2312"/>
                <w:b w:val="0"/>
                <w:i w:val="0"/>
                <w:snapToGrid/>
                <w:color w:val="000000"/>
                <w:sz w:val="22"/>
                <w:u w:val="none"/>
                <w:shd w:val="clear" w:color="auto" w:fill="FFFFFF"/>
                <w:lang w:eastAsia="zh-CN"/>
              </w:rPr>
              <w:t>，并已上墙</w:t>
            </w:r>
            <w:r>
              <w:rPr>
                <w:rFonts w:hint="default" w:ascii="楷体_GB2312" w:hAnsi="楷体_GB2312" w:eastAsia="楷体_GB2312"/>
                <w:b w:val="0"/>
                <w:i w:val="0"/>
                <w:snapToGrid/>
                <w:color w:val="000000"/>
                <w:sz w:val="22"/>
                <w:u w:val="none"/>
                <w:shd w:val="clear" w:color="auto" w:fill="FFFFFF"/>
                <w:lang w:eastAsia="zh-CN"/>
              </w:rPr>
              <w:t>；</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①已制定相应的项目质量要求或标准；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①已制定相应的项目资金管理办法；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w:t>
            </w:r>
            <w:r>
              <w:rPr>
                <w:rFonts w:hint="eastAsia" w:ascii="楷体_GB2312" w:hAnsi="楷体_GB2312" w:eastAsia="楷体_GB2312"/>
                <w:b w:val="0"/>
                <w:i w:val="0"/>
                <w:snapToGrid/>
                <w:color w:val="000000"/>
                <w:sz w:val="22"/>
                <w:u w:val="none"/>
                <w:shd w:val="clear" w:color="auto" w:fill="FFFFFF"/>
                <w:lang w:eastAsia="zh-CN"/>
              </w:rPr>
              <w:t>不</w:t>
            </w:r>
            <w:r>
              <w:rPr>
                <w:rFonts w:hint="default" w:ascii="楷体_GB2312" w:hAnsi="楷体_GB2312" w:eastAsia="楷体_GB2312"/>
                <w:b w:val="0"/>
                <w:i w:val="0"/>
                <w:snapToGrid/>
                <w:color w:val="000000"/>
                <w:sz w:val="22"/>
                <w:u w:val="none"/>
                <w:shd w:val="clear" w:color="auto" w:fill="FFFFFF"/>
                <w:lang w:eastAsia="zh-CN"/>
              </w:rPr>
              <w:t>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①已制定相应的监控机制；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8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ind w:firstLine="440" w:firstLineChars="200"/>
              <w:jc w:val="left"/>
              <w:textAlignment w:val="center"/>
              <w:rPr>
                <w:rFonts w:hint="default" w:ascii="楷体_GB2312" w:hAnsi="楷体_GB2312" w:eastAsia="楷体_GB2312"/>
                <w:b w:val="0"/>
                <w:i w:val="0"/>
                <w:snapToGrid/>
                <w:color w:val="000000"/>
                <w:sz w:val="22"/>
                <w:u w:val="none"/>
                <w:shd w:val="clear" w:color="auto" w:fill="FFFFFF"/>
                <w:lang w:val="en-US" w:eastAsia="zh-CN"/>
              </w:rPr>
            </w:pPr>
            <w:bookmarkStart w:id="0" w:name="_GoBack"/>
            <w:bookmarkEnd w:id="0"/>
            <w:r>
              <w:rPr>
                <w:rFonts w:hint="default" w:ascii="楷体_GB2312" w:hAnsi="楷体_GB2312" w:eastAsia="楷体_GB2312"/>
                <w:b w:val="0"/>
                <w:i w:val="0"/>
                <w:snapToGrid/>
                <w:color w:val="000000"/>
                <w:sz w:val="22"/>
                <w:u w:val="none"/>
                <w:shd w:val="clear" w:color="auto" w:fill="FFFFFF"/>
                <w:lang w:eastAsia="zh-CN"/>
              </w:rPr>
              <w:t>实际完成率</w:t>
            </w:r>
            <w:r>
              <w:rPr>
                <w:rFonts w:hint="eastAsia" w:ascii="楷体_GB2312" w:hAnsi="楷体_GB2312" w:eastAsia="楷体_GB2312"/>
                <w:b w:val="0"/>
                <w:i w:val="0"/>
                <w:snapToGrid/>
                <w:color w:val="000000"/>
                <w:sz w:val="22"/>
                <w:u w:val="none"/>
                <w:shd w:val="clear" w:color="auto" w:fill="FFFFFF"/>
                <w:lang w:val="en-US" w:eastAsia="zh-CN"/>
              </w:rPr>
              <w:t>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3"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ind w:firstLine="440" w:firstLineChars="20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default" w:ascii="楷体_GB2312" w:hAnsi="楷体_GB2312" w:eastAsia="楷体_GB2312"/>
                <w:b w:val="0"/>
                <w:i w:val="0"/>
                <w:snapToGrid/>
                <w:color w:val="000000"/>
                <w:sz w:val="22"/>
                <w:u w:val="none"/>
                <w:shd w:val="clear" w:color="auto" w:fill="FFFFFF"/>
                <w:lang w:eastAsia="zh-CN"/>
              </w:rPr>
              <w:t>完成及时率</w:t>
            </w:r>
            <w:r>
              <w:rPr>
                <w:rFonts w:hint="eastAsia" w:ascii="楷体_GB2312" w:hAnsi="楷体_GB2312" w:eastAsia="楷体_GB2312"/>
                <w:b w:val="0"/>
                <w:i w:val="0"/>
                <w:snapToGrid/>
                <w:color w:val="000000"/>
                <w:sz w:val="22"/>
                <w:u w:val="none"/>
                <w:shd w:val="clear" w:color="auto" w:fill="FFFFFF"/>
                <w:lang w:val="en-US" w:eastAsia="zh-CN"/>
              </w:rPr>
              <w:t>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ind w:firstLine="440" w:firstLineChars="20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default" w:ascii="楷体_GB2312" w:hAnsi="楷体_GB2312" w:eastAsia="楷体_GB2312"/>
                <w:b w:val="0"/>
                <w:i w:val="0"/>
                <w:snapToGrid/>
                <w:color w:val="000000"/>
                <w:sz w:val="22"/>
                <w:u w:val="none"/>
                <w:shd w:val="clear" w:color="auto" w:fill="FFFFFF"/>
                <w:lang w:eastAsia="zh-CN"/>
              </w:rPr>
              <w:t>质量达标率</w:t>
            </w:r>
            <w:r>
              <w:rPr>
                <w:rFonts w:hint="eastAsia" w:ascii="楷体_GB2312" w:hAnsi="楷体_GB2312" w:eastAsia="楷体_GB2312"/>
                <w:b w:val="0"/>
                <w:i w:val="0"/>
                <w:snapToGrid/>
                <w:color w:val="000000"/>
                <w:sz w:val="22"/>
                <w:u w:val="none"/>
                <w:shd w:val="clear" w:color="auto" w:fill="FFFFFF"/>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ind w:firstLine="660" w:firstLineChars="30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default" w:ascii="楷体_GB2312" w:hAnsi="楷体_GB2312" w:eastAsia="楷体_GB2312"/>
                <w:b w:val="0"/>
                <w:i w:val="0"/>
                <w:snapToGrid/>
                <w:color w:val="000000"/>
                <w:sz w:val="22"/>
                <w:u w:val="none"/>
                <w:shd w:val="clear" w:color="auto" w:fill="FFFFFF"/>
                <w:lang w:eastAsia="zh-CN"/>
              </w:rPr>
              <w:t>成本节约率</w:t>
            </w:r>
            <w:r>
              <w:rPr>
                <w:rFonts w:hint="eastAsia" w:ascii="楷体_GB2312" w:hAnsi="楷体_GB2312" w:eastAsia="楷体_GB2312"/>
                <w:b w:val="0"/>
                <w:i w:val="0"/>
                <w:snapToGrid/>
                <w:color w:val="000000"/>
                <w:sz w:val="22"/>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eastAsia="zh-CN"/>
              </w:rPr>
            </w:pPr>
            <w:r>
              <w:rPr>
                <w:rFonts w:hint="eastAsia" w:ascii="楷体_GB2312" w:hAnsi="楷体_GB2312" w:eastAsia="楷体_GB2312"/>
                <w:b w:val="0"/>
                <w:i w:val="0"/>
                <w:snapToGrid/>
                <w:color w:val="000000"/>
                <w:sz w:val="22"/>
                <w:u w:val="none"/>
                <w:shd w:val="clear" w:color="auto" w:fill="FFFFFF"/>
                <w:lang w:val="en-US" w:eastAsia="zh-CN"/>
              </w:rPr>
              <w:t>本项目选用合理可行的工程技术方案，满足城市发展和社会事业的需求，符合国家相关产业政策和城市发展总体规划，既合理配置利用了土地资源，提高了土地利用效率，又有利于改善场址和周边区域的城市面貌，带动当地经济的进一步繁荣及社会和谐发展，具有较好的经济效益和社会效益。本项目正常经营年份略有盈余，能够保证医院正常运营，具有一定的财务生存能力，项目的建设是可行的。累积结余可用 来改善医院基础设施及环境，以更多更好地为医疗卫生事业服务。</w:t>
            </w:r>
          </w:p>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widowControl/>
              <w:suppressLineNumbers w:val="0"/>
              <w:jc w:val="left"/>
              <w:rPr>
                <w:rFonts w:hint="default" w:ascii="楷体" w:hAnsi="楷体" w:eastAsia="楷体" w:cs="楷体"/>
                <w:sz w:val="22"/>
                <w:szCs w:val="22"/>
                <w:lang w:val="en-US"/>
              </w:rPr>
            </w:pPr>
            <w:r>
              <w:rPr>
                <w:rFonts w:hint="eastAsia" w:ascii="楷体" w:hAnsi="楷体" w:eastAsia="楷体" w:cs="楷体"/>
                <w:color w:val="000000"/>
                <w:kern w:val="0"/>
                <w:sz w:val="22"/>
                <w:szCs w:val="22"/>
                <w:lang w:val="en-US" w:eastAsia="zh-CN" w:bidi="ar"/>
              </w:rPr>
              <w:t>项目的建设是满足国家医院建设规模的需要，也是缓解医疗服务供需矛盾、医院进一步发展的需要。对于保障当地人民群众身体健康、实现救死扶伤、提高医疗服务水平、促进新农村建设和社会和谐发展具有重要作用。项目受到当地人民群众一致好评。</w:t>
            </w:r>
          </w:p>
          <w:p>
            <w:pPr>
              <w:shd w:val="solid" w:color="FFFFFF" w:fill="auto"/>
              <w:kinsoku/>
              <w:autoSpaceDE/>
              <w:autoSpaceDN w:val="0"/>
              <w:jc w:val="left"/>
              <w:textAlignment w:val="center"/>
              <w:rPr>
                <w:rFonts w:hint="eastAsia" w:ascii="楷体" w:hAnsi="楷体" w:eastAsia="楷体" w:cs="楷体"/>
                <w:b w:val="0"/>
                <w:i w:val="0"/>
                <w:snapToGrid/>
                <w:color w:val="000000"/>
                <w:sz w:val="22"/>
                <w:szCs w:val="22"/>
                <w:u w:val="none"/>
                <w:shd w:val="clear" w:color="auto" w:fill="FFFFFF"/>
                <w:lang w:eastAsia="zh-CN"/>
              </w:rPr>
            </w:pP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Calibri Light">
    <w:panose1 w:val="020F0302020204030204"/>
    <w:charset w:val="00"/>
    <w:family w:val="auto"/>
    <w:pitch w:val="default"/>
    <w:sig w:usb0="A00002EF" w:usb1="4000207B" w:usb2="00000000" w:usb3="00000000" w:csb0="2000019F" w:csb1="00000000"/>
  </w:font>
  <w:font w:name="新宋体">
    <w:panose1 w:val="02010609030101010101"/>
    <w:charset w:val="86"/>
    <w:family w:val="auto"/>
    <w:pitch w:val="default"/>
    <w:sig w:usb0="00000003" w:usb1="288F0000" w:usb2="00000006" w:usb3="00000000" w:csb0="00040001" w:csb1="00000000"/>
  </w:font>
  <w:font w:name="方正小标宋简体">
    <w:panose1 w:val="03000509000000000000"/>
    <w:charset w:val="86"/>
    <w:family w:val="auto"/>
    <w:pitch w:val="default"/>
    <w:sig w:usb0="00000001" w:usb1="080E0000" w:usb2="00000000" w:usb3="00000000" w:csb0="00040000" w:csb1="00000000"/>
  </w:font>
  <w:font w:name="BatangChe">
    <w:panose1 w:val="02030609000101010101"/>
    <w:charset w:val="81"/>
    <w:family w:val="auto"/>
    <w:pitch w:val="default"/>
    <w:sig w:usb0="B00002AF" w:usb1="69D77CFB" w:usb2="00000030" w:usb3="00000000" w:csb0="4008009F" w:csb1="DFD70000"/>
  </w:font>
  <w:font w:name="微软雅黑">
    <w:panose1 w:val="020B0503020204020204"/>
    <w:charset w:val="86"/>
    <w:family w:val="auto"/>
    <w:pitch w:val="default"/>
    <w:sig w:usb0="80000287" w:usb1="280F3C52" w:usb2="00000016" w:usb3="00000000" w:csb0="0004001F" w:csb1="00000000"/>
  </w:font>
  <w:font w:name="方正粗黑宋简体">
    <w:panose1 w:val="02000000000000000000"/>
    <w:charset w:val="86"/>
    <w:family w:val="auto"/>
    <w:pitch w:val="default"/>
    <w:sig w:usb0="A00002BF" w:usb1="184F6CFA" w:usb2="00000012" w:usb3="00000000" w:csb0="00040001" w:csb1="00000000"/>
  </w:font>
  <w:font w:name="Batang">
    <w:panose1 w:val="02030600000101010101"/>
    <w:charset w:val="81"/>
    <w:family w:val="auto"/>
    <w:pitch w:val="default"/>
    <w:sig w:usb0="B00002AF" w:usb1="69D77CFB" w:usb2="00000030" w:usb3="00000000" w:csb0="4008009F" w:csb1="DFD70000"/>
  </w:font>
  <w:font w:name="DotumChe">
    <w:panose1 w:val="020B0609000101010101"/>
    <w:charset w:val="81"/>
    <w:family w:val="auto"/>
    <w:pitch w:val="default"/>
    <w:sig w:usb0="B00002AF" w:usb1="69D77CFB" w:usb2="00000030" w:usb3="00000000" w:csb0="4008009F" w:csb1="DFD7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 w:name="MingLiU_HKSCS">
    <w:panose1 w:val="02020500000000000000"/>
    <w:charset w:val="88"/>
    <w:family w:val="auto"/>
    <w:pitch w:val="default"/>
    <w:sig w:usb0="A00002FF" w:usb1="38CFFCFA" w:usb2="00000016" w:usb3="00000000" w:csb0="00100001" w:csb1="00000000"/>
  </w:font>
  <w:font w:name="GulimChe">
    <w:panose1 w:val="020B0609000101010101"/>
    <w:charset w:val="81"/>
    <w:family w:val="auto"/>
    <w:pitch w:val="default"/>
    <w:sig w:usb0="B00002AF" w:usb1="69D77CFB" w:usb2="00000030" w:usb3="00000000" w:csb0="4008009F" w:csb1="DFD70000"/>
  </w:font>
  <w:font w:name="Lao UI">
    <w:panose1 w:val="020B0502040204020203"/>
    <w:charset w:val="00"/>
    <w:family w:val="auto"/>
    <w:pitch w:val="default"/>
    <w:sig w:usb0="02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27811E"/>
    <w:multiLevelType w:val="singleLevel"/>
    <w:tmpl w:val="5927811E"/>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6F3385"/>
    <w:rsid w:val="036F3385"/>
    <w:rsid w:val="04553E71"/>
    <w:rsid w:val="23E36F69"/>
    <w:rsid w:val="579C1FAB"/>
    <w:rsid w:val="57E814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117</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2020-01-05T01:26:00Z</dcterms:created>
  <dc:creator>Administrator</dc:creator>
  <cp:lastModifiedBy>Administrator</cp:lastModifiedBy>
  <cp:lastPrinted>2020-01-06T07:45:18Z</cp:lastPrinted>
  <dcterms:modified xsi:type="dcterms:W3CDTF">2020-01-06T08:12:09Z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