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设备购置资金项目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设备购置资金项目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石家庄市鹿泉人民医院是鹿泉区重点医疗机构，交通便利、环境优美，是一所集医疗、教学、科研、预防保健、肿瘤、康复为一体的二级甲等医院</w:t>
      </w:r>
      <w:r>
        <w:rPr>
          <w:rFonts w:hint="eastAsia" w:ascii="仿宋_GB2312" w:eastAsia="仿宋_GB2312"/>
          <w:sz w:val="32"/>
          <w:szCs w:val="32"/>
          <w:lang w:val="en-US" w:eastAsia="zh-CN"/>
        </w:rPr>
        <w:t>。床位300余张，年收入1亿元，占地面积16272.9平方米，建筑面积20365.8平方米，1995年以来，被评为二级甲等医院、爱婴医院、三星级文明服务窗口单位等。</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鹿泉区人口约46万，地理位置优越、人民生活富裕，随着经济发展、人民群众生活水平提高，对改善卫生服务，提高生活质量提出更高的要求，我院现有的东芝16排螺旋CT机，已明显不能满足临床的需求，并且全鹿泉区尚无一家医院拥有高场强的核磁共振机，为了充分满足人们健康要求和医院发展的实际需求，拟选购国际先进品牌的超导型1.5TMRI机，故特向上级卫生主管部门提出购买乙类大型医用设备——1.5TMRI成像设备的申请。</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购买乙类大型医用设备——1.5TMRI成像设备的申请，是为了更好地服务于患者，提高我院医疗技术水平，留住病源，增加医院的整体实力，在激烈的医疗市场竞争中立于不败之地，并寻求更大的发展机遇。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乙类大型医用设备——1.5TMRI成像设备总投资预计八百余万元，其资金一部分来源于财政，一部分来源于我院自筹。</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近年来，随着人口老龄化的日趋明显和人类生存环境的变化，肿瘤的发病率及发病类型有不断增多的趋势，整个鹿泉区及周边无一台放射治疗设备，能够治疗肿瘤的手段及设备匮乏，导致某些肿瘤的治疗不尽完善，影响疗效，对医院来讲一方面造成肿瘤患者流失，另一方面给医院社会形象带来负面影响，此外根据医改目前放射治疗费用已经纳入医保报销范围，报销比例在75%以上，所以我院急需购置直线加速器开展肿瘤放射治疗的相关工作。</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医用直线加速器总投资共计1100万元，其资金一部分来源于财政，一部分来源于我院自筹。</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现在，每天预计我院患者出去做</w:t>
      </w:r>
      <w:r>
        <w:rPr>
          <w:rFonts w:hint="eastAsia" w:ascii="仿宋_GB2312" w:eastAsia="仿宋_GB2312"/>
          <w:sz w:val="32"/>
          <w:szCs w:val="32"/>
          <w:lang w:val="en-US" w:eastAsia="zh-CN"/>
        </w:rPr>
        <w:t>MRI检查者约20人次，一年按330天计算预计6600人次，每人次检查收费800元，预计费用528万元。再加上医院的整体效益和开展新技术、新项目，预计医院在MRI方面的收入在800万元-1000万元以上。所以，预期设备的使用前景比较乐观、美好。</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2、医用直线加速器投入使用后按普通放疗核算经济效益，放疗科年净收入约为50万-60万元；按精确放疗核算经济效益，放疗科每年净利润收入可达到350万-400万之间。</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rPr>
          <w:rFonts w:hint="eastAsia" w:ascii="仿宋_GB2312" w:eastAsia="仿宋_GB2312"/>
          <w:sz w:val="32"/>
          <w:szCs w:val="32"/>
          <w:lang w:eastAsia="zh-CN"/>
        </w:rPr>
      </w:pPr>
      <w:r>
        <w:rPr>
          <w:rFonts w:hint="eastAsia" w:ascii="仿宋_GB2312" w:eastAsia="仿宋_GB2312"/>
          <w:sz w:val="32"/>
          <w:szCs w:val="32"/>
          <w:lang w:val="en-US" w:eastAsia="zh-CN"/>
        </w:rPr>
        <w:t>1、收集资料：医院科室设置明细、《磁共振工作基础》、《质控体系》、《应急预案及各项管理制度》</w:t>
      </w:r>
      <w:r>
        <w:rPr>
          <w:rFonts w:hint="eastAsia" w:ascii="仿宋_GB2312" w:eastAsia="仿宋_GB2312"/>
          <w:sz w:val="32"/>
          <w:szCs w:val="32"/>
        </w:rPr>
        <w:t>、</w:t>
      </w:r>
      <w:r>
        <w:rPr>
          <w:rFonts w:hint="eastAsia" w:ascii="仿宋_GB2312" w:eastAsia="仿宋_GB2312"/>
          <w:sz w:val="32"/>
          <w:szCs w:val="32"/>
          <w:lang w:eastAsia="zh-CN"/>
        </w:rPr>
        <w:t>《磁共振病人安全管理制度》、《磁共振室投照部位核对制度》、《磁共振科坠床或跌倒防范措施及报告制度》、《磁共振工作人员安全管理制度》、《磁共振设备安全管理制度》、《紧急情况及其处理》、《紧急开关》、《磁共振科停电或突然停电应急预案》、《磁共振科嘎对比剂过敏抢救预案》、《磁共振室质量、安全管理制度及团队》、核磁共振布局图、《磁共振室设置布局规划、基础设施、防护设施、安装条件》、石家庄市鹿泉人民医院射线装置清单、事业单位法人证书、医疗机构执业许可证、磁共振扫描（</w:t>
      </w:r>
      <w:r>
        <w:rPr>
          <w:rFonts w:hint="eastAsia" w:ascii="仿宋_GB2312" w:eastAsia="仿宋_GB2312"/>
          <w:sz w:val="32"/>
          <w:szCs w:val="32"/>
          <w:lang w:val="en-US" w:eastAsia="zh-CN"/>
        </w:rPr>
        <w:t>MRI</w:t>
      </w:r>
      <w:r>
        <w:rPr>
          <w:rFonts w:hint="eastAsia" w:ascii="仿宋_GB2312" w:eastAsia="仿宋_GB2312"/>
          <w:sz w:val="32"/>
          <w:szCs w:val="32"/>
          <w:lang w:eastAsia="zh-CN"/>
        </w:rPr>
        <w:t>）项目收费标准、财务报表、工作人员资质、工作基础、放射防护监测计划、放射工作人员培训制度、患者与工作人员放射防护制度、放射治疗意外应急预案、放射诊疗医师资格分级授权管理制度、讨论制定放射治疗计划制度、放射治疗知情同意制度、放射治疗质量控制制度、放射治疗装置操作制度、放射治疗装置维护维修和检测制度、放疗室放射防护设施明细。</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2、评价过程</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评价工作人员根据《项目支出绩效评价共性制表体系框架》自评。</w:t>
      </w:r>
    </w:p>
    <w:p>
      <w:pPr>
        <w:numPr>
          <w:ilvl w:val="0"/>
          <w:numId w:val="2"/>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评价工作管理组织</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组长：张会敏</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副组长：姬建峰</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成员：王志惠、李树亭、刘付斌、李志勇、杨素强、杨新书</w:t>
      </w:r>
    </w:p>
    <w:p>
      <w:pPr>
        <w:numPr>
          <w:ilvl w:val="0"/>
          <w:numId w:val="3"/>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4"/>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绩效评价方法：目标管理法</w:t>
      </w:r>
    </w:p>
    <w:p>
      <w:pPr>
        <w:numPr>
          <w:ilvl w:val="0"/>
          <w:numId w:val="4"/>
        </w:numPr>
        <w:ind w:left="481" w:leftChars="0" w:right="0" w:rightChars="0"/>
        <w:jc w:val="both"/>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过程：制定目标-实施计划-分析效果-最终绩效评估</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根据《项目支出绩效评价共性指标体系框架》设置数量18个，其中一级指标共4个，每项分值25分。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adjustRightInd w:val="0"/>
        <w:snapToGrid w:val="0"/>
        <w:spacing w:line="360" w:lineRule="auto"/>
        <w:ind w:firstLine="640" w:firstLineChars="200"/>
        <w:rPr>
          <w:rFonts w:hint="eastAsia" w:ascii="仿宋_GB2312" w:eastAsia="仿宋_GB2312"/>
          <w:b w:val="0"/>
          <w:bCs w:val="0"/>
          <w:color w:val="auto"/>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color w:val="auto"/>
          <w:sz w:val="32"/>
          <w:szCs w:val="32"/>
          <w:lang w:val="en-US" w:eastAsia="zh-CN"/>
        </w:rPr>
        <w:t>项目</w:t>
      </w:r>
      <w:r>
        <w:rPr>
          <w:rFonts w:hint="eastAsia" w:ascii="仿宋_GB2312" w:eastAsia="仿宋_GB2312"/>
          <w:b w:val="0"/>
          <w:bCs w:val="0"/>
          <w:color w:val="auto"/>
          <w:sz w:val="32"/>
          <w:szCs w:val="32"/>
          <w:lang w:val="en-US" w:eastAsia="zh-CN"/>
        </w:rPr>
        <w:t>立项情况分析。高档1.5TMR由于检查项目较多，扫描速度快，图像质量好，根据我院的门诊量和外地转诊来我院检查情况预计每天检查人数和收费,</w:t>
      </w:r>
      <w:r>
        <w:rPr>
          <w:rFonts w:hint="eastAsia" w:ascii="仿宋_GB2312" w:eastAsia="仿宋_GB2312"/>
          <w:sz w:val="32"/>
          <w:szCs w:val="32"/>
          <w:lang w:eastAsia="zh-CN"/>
        </w:rPr>
        <w:t>我院患者出去做</w:t>
      </w:r>
      <w:r>
        <w:rPr>
          <w:rFonts w:hint="eastAsia" w:ascii="仿宋_GB2312" w:eastAsia="仿宋_GB2312"/>
          <w:sz w:val="32"/>
          <w:szCs w:val="32"/>
          <w:lang w:val="en-US" w:eastAsia="zh-CN"/>
        </w:rPr>
        <w:t>MRI检查者约20人次，一年按330天计算预计6600人次，每人次检查收费800元，预计费用528万元。再加上医院的整体效益和开展新技术、新项目，预计医院在MRI方面的收入在800万元-1000万元以上。所以，预期设备的使用前景比较乐观、美好。</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2.资金落实情况分析。每季度财务报表报送到上级部门后，资金到位率和到位及时率为100%。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1.业务管理情况分析。业务管理制度健全并符合相关业务管理规定，制定了相应的项目标准并采取了相应的项目治疗检查、验收等控制措施，根据指标体系评分标准计算分值为25分。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2.财务管理。对管理制度健全性、资金使用合规性和财务监控有效性等情况进行分析后，根据指标体系评分标准计算分值为25分。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对项目的实际完成率、完成及时率、质量达标率、成本节约率等情况进行分析后，根据指标体系评分标准计算分值为20分。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对项目的经济效益、社会效益、生态效益、可持续影响和社会公众或服务对象满意度等情况进行分析后，根据指标体系评分标准计算分值为20分。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根据项目执行情况和项目绩效情况，分值为90分，项目综合绩效评价为优秀。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医院现在运行困难，自筹资金数额较大。</w:t>
      </w:r>
    </w:p>
    <w:p>
      <w:pPr>
        <w:numPr>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numId w:val="0"/>
        </w:numPr>
        <w:ind w:left="481" w:leftChars="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政府加大对公立医院资金投入。</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5"/>
        <w:tblW w:w="87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1766"/>
        <w:gridCol w:w="3761"/>
        <w:gridCol w:w="32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姓名</w:t>
            </w:r>
          </w:p>
        </w:tc>
        <w:tc>
          <w:tcPr>
            <w:tcW w:w="3761"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工作单位</w:t>
            </w:r>
          </w:p>
        </w:tc>
        <w:tc>
          <w:tcPr>
            <w:tcW w:w="3270"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张会敏</w:t>
            </w:r>
          </w:p>
        </w:tc>
        <w:tc>
          <w:tcPr>
            <w:tcW w:w="3761"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院长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姬建峰</w:t>
            </w:r>
          </w:p>
        </w:tc>
        <w:tc>
          <w:tcPr>
            <w:tcW w:w="3761"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default"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副院长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王志惠</w:t>
            </w:r>
          </w:p>
        </w:tc>
        <w:tc>
          <w:tcPr>
            <w:tcW w:w="3761"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财务科主任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李树亭</w:t>
            </w:r>
          </w:p>
        </w:tc>
        <w:tc>
          <w:tcPr>
            <w:tcW w:w="3761"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设备科主任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刘付斌</w:t>
            </w:r>
          </w:p>
        </w:tc>
        <w:tc>
          <w:tcPr>
            <w:tcW w:w="3761"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default"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CT室主任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杨素强</w:t>
            </w:r>
          </w:p>
        </w:tc>
        <w:tc>
          <w:tcPr>
            <w:tcW w:w="3761"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vAlign w:val="top"/>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CT室副主任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李志勇</w:t>
            </w:r>
          </w:p>
        </w:tc>
        <w:tc>
          <w:tcPr>
            <w:tcW w:w="3761"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肿瘤科主任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Ex>
        <w:tc>
          <w:tcPr>
            <w:tcW w:w="1766"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杨新书</w:t>
            </w:r>
          </w:p>
        </w:tc>
        <w:tc>
          <w:tcPr>
            <w:tcW w:w="3761"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石家庄市鹿泉人民医院</w:t>
            </w:r>
          </w:p>
        </w:tc>
        <w:tc>
          <w:tcPr>
            <w:tcW w:w="3270" w:type="dxa"/>
          </w:tcPr>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仿宋_GB2312" w:hAnsi="宋体" w:eastAsia="仿宋_GB2312"/>
                <w:sz w:val="32"/>
                <w:szCs w:val="32"/>
                <w:vertAlign w:val="baseline"/>
                <w:lang w:val="en-US" w:eastAsia="zh-CN"/>
              </w:rPr>
            </w:pPr>
            <w:r>
              <w:rPr>
                <w:rFonts w:hint="eastAsia" w:ascii="仿宋_GB2312" w:hAnsi="宋体" w:eastAsia="仿宋_GB2312"/>
                <w:sz w:val="32"/>
                <w:szCs w:val="32"/>
                <w:vertAlign w:val="baseline"/>
                <w:lang w:val="en-US" w:eastAsia="zh-CN"/>
              </w:rPr>
              <w:t>肿瘤科副主任</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3F2F0"/>
    <w:multiLevelType w:val="singleLevel"/>
    <w:tmpl w:val="1F43F2F0"/>
    <w:lvl w:ilvl="0" w:tentative="0">
      <w:start w:val="2"/>
      <w:numFmt w:val="decimal"/>
      <w:suff w:val="nothing"/>
      <w:lvlText w:val="%1、"/>
      <w:lvlJc w:val="left"/>
    </w:lvl>
  </w:abstractNum>
  <w:abstractNum w:abstractNumId="1">
    <w:nsid w:val="2D40077C"/>
    <w:multiLevelType w:val="singleLevel"/>
    <w:tmpl w:val="2D40077C"/>
    <w:lvl w:ilvl="0" w:tentative="0">
      <w:start w:val="3"/>
      <w:numFmt w:val="decimal"/>
      <w:suff w:val="nothing"/>
      <w:lvlText w:val="%1、"/>
      <w:lvlJc w:val="left"/>
    </w:lvl>
  </w:abstractNum>
  <w:abstractNum w:abstractNumId="2">
    <w:nsid w:val="473ABE94"/>
    <w:multiLevelType w:val="singleLevel"/>
    <w:tmpl w:val="473ABE94"/>
    <w:lvl w:ilvl="0" w:tentative="0">
      <w:start w:val="1"/>
      <w:numFmt w:val="decimal"/>
      <w:suff w:val="nothing"/>
      <w:lvlText w:val="%1、"/>
      <w:lvlJc w:val="left"/>
    </w:lvl>
  </w:abstractNum>
  <w:abstractNum w:abstractNumId="3">
    <w:nsid w:val="5DFB8507"/>
    <w:multiLevelType w:val="singleLevel"/>
    <w:tmpl w:val="5DFB8507"/>
    <w:lvl w:ilvl="0" w:tentative="0">
      <w:start w:val="2"/>
      <w:numFmt w:val="chineseCounting"/>
      <w:suff w:val="nothing"/>
      <w:lvlText w:val="（%1）"/>
      <w:lvlJc w:val="left"/>
      <w:pPr>
        <w:ind w:left="481" w:leftChars="0" w:firstLine="0" w:firstLineChars="0"/>
      </w:pPr>
      <w:rPr>
        <w:rFonts w:hint="eastAsi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3EF3C71"/>
    <w:rsid w:val="2A2941B7"/>
    <w:rsid w:val="2E412A36"/>
    <w:rsid w:val="475236D6"/>
    <w:rsid w:val="550905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2020-01-07T01:51:27Z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