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8497B0" w:themeColor="text2" w:themeTint="99"/>
  <w:body>
    <w:p>
      <w:pPr>
        <w:keepNext w:val="0"/>
        <w:keepLines w:val="0"/>
        <w:pageBreakBefore w:val="0"/>
        <w:widowControl w:val="0"/>
        <w:kinsoku/>
        <w:wordWrap/>
        <w:overflowPunct/>
        <w:topLinePunct w:val="0"/>
        <w:autoSpaceDE/>
        <w:autoSpaceDN/>
        <w:bidi w:val="0"/>
        <w:spacing w:line="580" w:lineRule="exact"/>
        <w:ind w:left="0" w:leftChars="0" w:right="0" w:rightChars="0" w:firstLine="0" w:firstLineChars="0"/>
        <w:jc w:val="center"/>
        <w:textAlignment w:val="auto"/>
        <w:rPr>
          <w:rFonts w:hint="eastAsia" w:ascii="华文楷体" w:eastAsia="华文楷体"/>
          <w:sz w:val="36"/>
          <w:szCs w:val="36"/>
          <w:lang w:eastAsia="zh-CN"/>
        </w:rPr>
      </w:pPr>
      <w:r>
        <w:rPr>
          <w:rFonts w:hint="eastAsia" w:ascii="宋体" w:hAnsi="宋体"/>
          <w:b/>
          <w:sz w:val="36"/>
          <w:szCs w:val="36"/>
        </w:rPr>
        <w:t>红十字卫生应急</w:t>
      </w:r>
      <w:r>
        <w:rPr>
          <w:rFonts w:hint="eastAsia" w:ascii="宋体" w:hAnsi="宋体"/>
          <w:b/>
          <w:sz w:val="36"/>
          <w:szCs w:val="36"/>
          <w:lang w:eastAsia="zh-CN"/>
        </w:rPr>
        <w:t>救援</w:t>
      </w:r>
      <w:r>
        <w:rPr>
          <w:rFonts w:hint="eastAsia" w:ascii="宋体"/>
          <w:b/>
          <w:bCs/>
          <w:sz w:val="36"/>
          <w:szCs w:val="36"/>
          <w:lang w:eastAsia="zh-CN"/>
        </w:rPr>
        <w:t>项目</w:t>
      </w:r>
      <w:r>
        <w:rPr>
          <w:rFonts w:hint="eastAsia" w:ascii="宋体"/>
          <w:b/>
          <w:bCs/>
          <w:sz w:val="36"/>
          <w:szCs w:val="36"/>
        </w:rPr>
        <w:t>绩效评价报告</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，遵循“科学性、规范性、客观性和公正性”的原则，对红十字卫生应急</w:t>
      </w:r>
      <w:r>
        <w:rPr>
          <w:rFonts w:hint="eastAsia" w:ascii="仿宋_GB2312" w:eastAsia="仿宋_GB2312"/>
          <w:sz w:val="32"/>
          <w:szCs w:val="32"/>
          <w:lang w:eastAsia="zh-CN"/>
        </w:rPr>
        <w:t>救援项目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80"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cs="仿宋"/>
          <w:b w:val="0"/>
          <w:bCs w:val="0"/>
          <w:sz w:val="32"/>
          <w:szCs w:val="32"/>
        </w:rPr>
      </w:pPr>
      <w:r>
        <w:rPr>
          <w:rFonts w:hint="eastAsia" w:ascii="楷体_GB2312" w:hAnsi="楷体_GB2312" w:eastAsia="楷体_GB2312" w:cs="楷体_GB2312"/>
          <w:b w:val="0"/>
          <w:bCs w:val="0"/>
          <w:sz w:val="32"/>
          <w:szCs w:val="32"/>
        </w:rPr>
        <w:t>（一）项目概况</w:t>
      </w:r>
      <w:r>
        <w:rPr>
          <w:rFonts w:hint="eastAsia" w:ascii="楷体_GB2312" w:hAnsi="楷体_GB2312" w:eastAsia="楷体_GB2312" w:cs="楷体_GB2312"/>
          <w:b w:val="0"/>
          <w:bCs w:val="0"/>
          <w:sz w:val="32"/>
          <w:szCs w:val="32"/>
          <w:lang w:eastAsia="zh-CN"/>
        </w:rPr>
        <w:t>。</w:t>
      </w:r>
      <w:r>
        <w:rPr>
          <w:rFonts w:hint="eastAsia" w:ascii="仿宋" w:hAnsi="仿宋" w:eastAsia="仿宋" w:cs="仿宋"/>
          <w:b w:val="0"/>
          <w:bCs w:val="0"/>
          <w:sz w:val="32"/>
          <w:szCs w:val="32"/>
        </w:rPr>
        <w:t>红十字会是以发扬人道、博爱、奉献精神，保护人的生命和健康，促进人类和平进步事业为宗旨的社会救助团体。开展备灾救灾的准备工作，建立完善红十字会应急救援体系，设立备灾救灾仓库，组建应急救援队并演练。开展自然灾害的救助及突发事件的应急救援，参与灾后重建。对从事备灾物资、备灾仓库管理人员进行培训。推进文明城市建设及不断推动我市的和谐社会建设具有重大的现实意义。</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本项目实施单位为</w:t>
      </w:r>
      <w:r>
        <w:rPr>
          <w:rFonts w:hint="eastAsia" w:ascii="仿宋_GB2312" w:eastAsia="仿宋_GB2312"/>
          <w:sz w:val="32"/>
          <w:szCs w:val="32"/>
          <w:lang w:eastAsia="zh-CN"/>
        </w:rPr>
        <w:t>石家庄市鹿泉区红十字会</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项目立项等基本情况：大力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充分履行政府人道救助领域助手职责，努力推动全区红十字工作再上新台阶。不断推动和谐社会建设具有重大的现实意义。</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val="en-US" w:eastAsia="zh-CN"/>
        </w:rPr>
      </w:pPr>
      <w:r>
        <w:rPr>
          <w:rFonts w:hint="eastAsia" w:ascii="仿宋" w:hAnsi="仿宋" w:eastAsia="仿宋" w:cs="宋体"/>
          <w:bCs/>
          <w:color w:val="211F1F"/>
          <w:kern w:val="0"/>
          <w:sz w:val="32"/>
          <w:szCs w:val="32"/>
          <w:lang w:eastAsia="zh-CN"/>
        </w:rPr>
        <w:t>建立健全应急救援体系，建立应急救护培训长效机制，提高人道救助能力。</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cs="宋体"/>
          <w:bCs/>
          <w:color w:val="211F1F"/>
          <w:kern w:val="0"/>
          <w:sz w:val="32"/>
          <w:szCs w:val="32"/>
        </w:rPr>
      </w:pPr>
      <w:r>
        <w:rPr>
          <w:rFonts w:hint="eastAsia" w:ascii="仿宋_GB2312" w:eastAsia="仿宋_GB2312"/>
          <w:sz w:val="32"/>
          <w:szCs w:val="32"/>
          <w:lang w:val="en-US" w:eastAsia="zh-CN"/>
        </w:rPr>
        <w:t xml:space="preserve"> 3.项目资金投入情况（资金数量、资金结构、资金来源渠道等）：</w:t>
      </w:r>
      <w:r>
        <w:rPr>
          <w:rFonts w:hint="eastAsia" w:ascii="仿宋" w:hAnsi="仿宋" w:eastAsia="仿宋" w:cs="宋体"/>
          <w:bCs/>
          <w:color w:val="211F1F"/>
          <w:kern w:val="0"/>
          <w:sz w:val="32"/>
          <w:szCs w:val="32"/>
          <w:lang w:val="en-US" w:eastAsia="zh-CN"/>
        </w:rPr>
        <w:t>红十字卫生应急救援项目资金财政共下达1万元。</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项目预期绩效总目标：大力弘扬人道主义精神，增强备灾救灾能力，完成救灾及应急救援任务</w:t>
      </w:r>
      <w:r>
        <w:rPr>
          <w:rFonts w:hint="eastAsia" w:ascii="仿宋_GB2312" w:eastAsia="仿宋_GB2312"/>
          <w:sz w:val="32"/>
          <w:szCs w:val="32"/>
          <w:lang w:eastAsia="zh-CN"/>
        </w:rPr>
        <w:t>，</w:t>
      </w:r>
      <w:r>
        <w:rPr>
          <w:rFonts w:hint="eastAsia" w:ascii="仿宋_GB2312" w:eastAsia="仿宋_GB2312"/>
          <w:sz w:val="32"/>
          <w:szCs w:val="32"/>
        </w:rPr>
        <w:t>促进社会文明和谐，为维护广大人民群众的生命健康安全做出积极的贡献。</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效益指标为：增强现场应急救护能力，减少意外伤残；维护社会安全和稳定，促进</w:t>
      </w:r>
      <w:r>
        <w:rPr>
          <w:rFonts w:hint="eastAsia" w:ascii="仿宋_GB2312" w:eastAsia="仿宋_GB2312"/>
          <w:sz w:val="32"/>
          <w:szCs w:val="32"/>
          <w:lang w:eastAsia="zh-CN"/>
        </w:rPr>
        <w:t>我区</w:t>
      </w:r>
      <w:r>
        <w:rPr>
          <w:rFonts w:hint="eastAsia" w:ascii="仿宋_GB2312" w:eastAsia="仿宋_GB2312"/>
          <w:sz w:val="32"/>
          <w:szCs w:val="32"/>
        </w:rPr>
        <w:t>和谐发展。增强备灾救灾能力，完成救灾及应急救援任务</w:t>
      </w:r>
      <w:r>
        <w:rPr>
          <w:rFonts w:hint="eastAsia" w:ascii="仿宋_GB2312" w:eastAsia="仿宋_GB2312"/>
          <w:sz w:val="32"/>
          <w:szCs w:val="32"/>
          <w:lang w:eastAsia="zh-CN"/>
        </w:rPr>
        <w:t>，</w:t>
      </w:r>
      <w:bookmarkStart w:id="0" w:name="_GoBack"/>
      <w:bookmarkEnd w:id="0"/>
      <w:r>
        <w:rPr>
          <w:rFonts w:hint="eastAsia" w:ascii="仿宋_GB2312" w:eastAsia="仿宋_GB2312"/>
          <w:sz w:val="32"/>
          <w:szCs w:val="32"/>
        </w:rPr>
        <w:t>对于维护社会安全和稳定，促进社会和谐发展，对于全</w:t>
      </w:r>
      <w:r>
        <w:rPr>
          <w:rFonts w:hint="eastAsia" w:ascii="仿宋_GB2312" w:eastAsia="仿宋_GB2312"/>
          <w:sz w:val="32"/>
          <w:szCs w:val="32"/>
          <w:lang w:eastAsia="zh-CN"/>
        </w:rPr>
        <w:t>区</w:t>
      </w:r>
      <w:r>
        <w:rPr>
          <w:rFonts w:hint="eastAsia" w:ascii="仿宋_GB2312" w:eastAsia="仿宋_GB2312"/>
          <w:sz w:val="32"/>
          <w:szCs w:val="32"/>
        </w:rPr>
        <w:t>人民文明素质的提高具有特别重要的意义。</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80" w:lineRule="exact"/>
        <w:ind w:left="0" w:leftChars="0" w:right="0" w:rightChars="0" w:firstLine="0" w:firstLineChars="0"/>
        <w:jc w:val="both"/>
        <w:textAlignment w:val="auto"/>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r>
        <w:rPr>
          <w:rFonts w:hint="eastAsia" w:ascii="仿宋_GB2312" w:eastAsia="仿宋_GB2312"/>
          <w:sz w:val="32"/>
          <w:szCs w:val="32"/>
        </w:rPr>
        <w:t>按照统一部署，红十字会组建项目自评小组，由红十字会常务副会长</w:t>
      </w:r>
      <w:r>
        <w:rPr>
          <w:rFonts w:hint="eastAsia" w:ascii="仿宋_GB2312" w:eastAsia="仿宋_GB2312"/>
          <w:sz w:val="32"/>
          <w:szCs w:val="32"/>
          <w:lang w:eastAsia="zh-CN"/>
        </w:rPr>
        <w:t>赵晶</w:t>
      </w:r>
      <w:r>
        <w:rPr>
          <w:rFonts w:hint="eastAsia" w:ascii="仿宋_GB2312" w:eastAsia="仿宋_GB2312"/>
          <w:sz w:val="32"/>
          <w:szCs w:val="32"/>
        </w:rPr>
        <w:t>任组长，秘书长</w:t>
      </w:r>
      <w:r>
        <w:rPr>
          <w:rFonts w:hint="eastAsia" w:ascii="仿宋_GB2312" w:eastAsia="仿宋_GB2312"/>
          <w:sz w:val="32"/>
          <w:szCs w:val="32"/>
          <w:lang w:eastAsia="zh-CN"/>
        </w:rPr>
        <w:t>张鹏娟</w:t>
      </w:r>
      <w:r>
        <w:rPr>
          <w:rFonts w:hint="eastAsia" w:ascii="仿宋_GB2312" w:eastAsia="仿宋_GB2312"/>
          <w:sz w:val="32"/>
          <w:szCs w:val="32"/>
        </w:rPr>
        <w:t>任副组长、办公室</w:t>
      </w:r>
      <w:r>
        <w:rPr>
          <w:rFonts w:hint="eastAsia" w:ascii="仿宋_GB2312" w:eastAsia="仿宋_GB2312"/>
          <w:sz w:val="32"/>
          <w:szCs w:val="32"/>
          <w:lang w:eastAsia="zh-CN"/>
        </w:rPr>
        <w:t>董会鹏、李海霞</w:t>
      </w:r>
      <w:r>
        <w:rPr>
          <w:rFonts w:hint="eastAsia" w:ascii="仿宋_GB2312" w:eastAsia="仿宋_GB2312"/>
          <w:sz w:val="32"/>
          <w:szCs w:val="32"/>
        </w:rPr>
        <w:t>任成员。</w:t>
      </w:r>
    </w:p>
    <w:p>
      <w:pPr>
        <w:keepNext w:val="0"/>
        <w:keepLines w:val="0"/>
        <w:pageBreakBefore w:val="0"/>
        <w:widowControl w:val="0"/>
        <w:kinsoku/>
        <w:wordWrap/>
        <w:overflowPunct/>
        <w:topLinePunct w:val="0"/>
        <w:autoSpaceDE/>
        <w:autoSpaceDN/>
        <w:bidi w:val="0"/>
        <w:spacing w:line="580"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rPr>
      </w:pPr>
      <w:r>
        <w:rPr>
          <w:rFonts w:hint="eastAsia" w:ascii="楷体_GB2312" w:hAnsi="楷体_GB2312" w:eastAsia="楷体_GB2312" w:cs="楷体_GB2312"/>
          <w:b w:val="0"/>
          <w:bCs w:val="0"/>
          <w:sz w:val="32"/>
          <w:szCs w:val="32"/>
          <w:lang w:val="en-US" w:eastAsia="zh-CN"/>
        </w:rPr>
        <w:t>1、</w:t>
      </w:r>
      <w:r>
        <w:rPr>
          <w:rFonts w:hint="eastAsia" w:ascii="仿宋" w:hAnsi="仿宋" w:eastAsia="仿宋"/>
          <w:sz w:val="32"/>
          <w:szCs w:val="32"/>
        </w:rPr>
        <w:t>本报告选用评价指标采用定量指标、个性指标和文字描述相结合。基本指标包括：资金到位率、实际支出率、支出效果率等；专业指标包括：培训质量、政治效益、社会效益、群众满意度等。评价方法采用目标预定与实施效果比较分析法、督导查看法、公众评判法等。</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rPr>
      </w:pPr>
      <w:r>
        <w:rPr>
          <w:rFonts w:hint="eastAsia" w:ascii="仿宋" w:hAnsi="仿宋" w:eastAsia="仿宋"/>
          <w:sz w:val="32"/>
          <w:szCs w:val="32"/>
        </w:rPr>
        <w:t>2、制度建设</w:t>
      </w:r>
      <w:r>
        <w:rPr>
          <w:rFonts w:hint="eastAsia" w:ascii="仿宋" w:hAnsi="仿宋" w:eastAsia="仿宋"/>
          <w:sz w:val="32"/>
          <w:szCs w:val="32"/>
          <w:lang w:eastAsia="zh-CN"/>
        </w:rPr>
        <w:t>。</w:t>
      </w:r>
      <w:r>
        <w:rPr>
          <w:rFonts w:hint="eastAsia" w:ascii="仿宋" w:hAnsi="仿宋" w:eastAsia="仿宋"/>
          <w:sz w:val="32"/>
          <w:szCs w:val="32"/>
        </w:rPr>
        <w:t>为规范本单位财务工作，加强会计核算与内部监督，提高财政资金使用效益，我单位根据【会计法】和区财政局有关财务制度规定执行。</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rPr>
      </w:pPr>
      <w:r>
        <w:rPr>
          <w:rFonts w:hint="eastAsia" w:ascii="仿宋" w:hAnsi="仿宋" w:eastAsia="仿宋"/>
          <w:sz w:val="32"/>
          <w:szCs w:val="32"/>
        </w:rPr>
        <w:t>结合本单位工作特点，制定并完善了包括内部财务控制、财务公开、重点支出管理、会计报销。</w:t>
      </w:r>
    </w:p>
    <w:p>
      <w:pPr>
        <w:keepNext w:val="0"/>
        <w:keepLines w:val="0"/>
        <w:pageBreakBefore w:val="0"/>
        <w:widowControl w:val="0"/>
        <w:kinsoku/>
        <w:wordWrap/>
        <w:overflowPunct/>
        <w:topLinePunct w:val="0"/>
        <w:autoSpaceDE/>
        <w:autoSpaceDN/>
        <w:bidi w:val="0"/>
        <w:spacing w:line="580" w:lineRule="exact"/>
        <w:ind w:left="0" w:leftChars="0" w:right="0" w:rightChars="0" w:firstLine="640" w:firstLineChars="200"/>
        <w:jc w:val="both"/>
        <w:textAlignment w:val="auto"/>
        <w:rPr>
          <w:rFonts w:hint="eastAsia" w:ascii="仿宋" w:hAnsi="仿宋" w:eastAsia="仿宋"/>
          <w:sz w:val="32"/>
          <w:szCs w:val="32"/>
          <w:lang w:val="en-US" w:eastAsia="zh-CN"/>
        </w:rPr>
      </w:pPr>
      <w:r>
        <w:rPr>
          <w:rFonts w:hint="eastAsia" w:ascii="仿宋" w:hAnsi="仿宋" w:eastAsia="仿宋"/>
          <w:sz w:val="32"/>
          <w:szCs w:val="32"/>
        </w:rPr>
        <w:t>3、过程控制</w:t>
      </w:r>
      <w:r>
        <w:rPr>
          <w:rFonts w:hint="eastAsia" w:ascii="仿宋" w:hAnsi="仿宋" w:eastAsia="仿宋"/>
          <w:sz w:val="32"/>
          <w:szCs w:val="32"/>
          <w:lang w:eastAsia="zh-CN"/>
        </w:rPr>
        <w:t>。</w:t>
      </w:r>
      <w:r>
        <w:rPr>
          <w:rFonts w:hint="eastAsia" w:ascii="仿宋" w:hAnsi="仿宋" w:eastAsia="仿宋"/>
          <w:sz w:val="32"/>
          <w:szCs w:val="32"/>
        </w:rPr>
        <w:t>在预算管理上，执行事前预算评审，事后进行结算评审，保证预算支出的有效性，在项目实施上严格遵循招投标手续，在项目验收上聘请监理，在日常管理上，制定【突发事件应急预案】做到有规有矩，有章有程。如遇突发事件或不可抗力因素引起的突发情况，立即启动应急预案。</w:t>
      </w:r>
    </w:p>
    <w:p>
      <w:pPr>
        <w:keepNext w:val="0"/>
        <w:keepLines w:val="0"/>
        <w:pageBreakBefore w:val="0"/>
        <w:widowControl w:val="0"/>
        <w:numPr>
          <w:ilvl w:val="0"/>
          <w:numId w:val="0"/>
        </w:numPr>
        <w:kinsoku/>
        <w:wordWrap/>
        <w:overflowPunct/>
        <w:topLinePunct w:val="0"/>
        <w:autoSpaceDE/>
        <w:autoSpaceDN/>
        <w:bidi w:val="0"/>
        <w:spacing w:line="580" w:lineRule="exact"/>
        <w:ind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580" w:lineRule="exact"/>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建立红十字应急救护培训长效机制，充分发挥红十字会在公众参与的应急救护培训中的主体作用。支持红十字会在易发生意外伤害的教育、公共安全等领域以及交通运输、矿山、建筑、电力等行业中开展应急救护培训。积极推动红十字救护培训进社区、进农村、进学校、进企业、进机关，不断提高应急救护知识在人民群众中的普及率。</w:t>
      </w:r>
    </w:p>
    <w:p>
      <w:pPr>
        <w:keepNext w:val="0"/>
        <w:keepLines w:val="0"/>
        <w:pageBreakBefore w:val="0"/>
        <w:widowControl w:val="0"/>
        <w:kinsoku/>
        <w:wordWrap/>
        <w:overflowPunct/>
        <w:topLinePunct w:val="0"/>
        <w:autoSpaceDE/>
        <w:autoSpaceDN/>
        <w:bidi w:val="0"/>
        <w:spacing w:line="580" w:lineRule="exact"/>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80"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立项情况分析。该项目立项规范、绩效目标合理、绩效指标明确，经分析，项目投入分值为95分。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2.资金落实情况分析。该项目为财政公共预算资金，资金到位和到位及时等情况好，经分析，资金落实情况分值为100分。</w:t>
      </w:r>
    </w:p>
    <w:p>
      <w:pPr>
        <w:keepNext w:val="0"/>
        <w:keepLines w:val="0"/>
        <w:pageBreakBefore w:val="0"/>
        <w:widowControl w:val="0"/>
        <w:kinsoku/>
        <w:wordWrap/>
        <w:overflowPunct/>
        <w:topLinePunct w:val="0"/>
        <w:autoSpaceDE/>
        <w:autoSpaceDN/>
        <w:bidi w:val="0"/>
        <w:spacing w:line="580" w:lineRule="exact"/>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1.业务管理情况分析。项目实施过程中，流程公开透明、管理规范、服务到位。该项目管理制度健全、制度执行有效性、项目质量可控，经分析，项目实施过程分值为95分。</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2.财务管理。该项目管理制度健全、资金使用合规、财务监控有效，经分析项目实施过程分值为95分。</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服务对象满意度指标：通过调查，群众对项目的满意率达90%以上。</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该项目的经济效益、社会效益、生态效益好、可持续影响明显，社会公众满意度高，经分析，项目效果分值为95分。</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根据项目执行情况和项目绩效情况，该项目综合绩效评价分为90分，良好。</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r>
        <w:rPr>
          <w:rFonts w:hint="eastAsia" w:ascii="仿宋" w:hAnsi="仿宋" w:eastAsia="仿宋" w:cs="仿宋"/>
          <w:b w:val="0"/>
          <w:bCs w:val="0"/>
          <w:sz w:val="32"/>
          <w:szCs w:val="32"/>
          <w:lang w:val="en-US" w:eastAsia="zh-CN"/>
        </w:rPr>
        <w:t>工作开展进度慢。</w:t>
      </w:r>
    </w:p>
    <w:p>
      <w:pPr>
        <w:keepNext w:val="0"/>
        <w:keepLines w:val="0"/>
        <w:pageBreakBefore w:val="0"/>
        <w:widowControl w:val="0"/>
        <w:numPr>
          <w:ilvl w:val="0"/>
          <w:numId w:val="0"/>
        </w:numPr>
        <w:kinsoku/>
        <w:wordWrap/>
        <w:overflowPunct/>
        <w:topLinePunct w:val="0"/>
        <w:autoSpaceDE/>
        <w:autoSpaceDN/>
        <w:bidi w:val="0"/>
        <w:spacing w:line="580" w:lineRule="exact"/>
        <w:textAlignment w:val="auto"/>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r>
        <w:rPr>
          <w:rFonts w:hint="eastAsia" w:ascii="仿宋" w:hAnsi="仿宋" w:eastAsia="仿宋" w:cs="仿宋"/>
          <w:b w:val="0"/>
          <w:bCs w:val="0"/>
          <w:sz w:val="32"/>
          <w:szCs w:val="32"/>
          <w:lang w:val="en-US" w:eastAsia="zh-CN"/>
        </w:rPr>
        <w:t>提早做好计划，加快活动开展速度。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红十字会常务副会长：赵晶</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红十字会秘书长：张鹏娟</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工作负责人：董会鹏、李海霞</w:t>
      </w: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306473"/>
    <w:rsid w:val="013055E8"/>
    <w:rsid w:val="01515618"/>
    <w:rsid w:val="02FB08AD"/>
    <w:rsid w:val="03736DD6"/>
    <w:rsid w:val="049F1BC3"/>
    <w:rsid w:val="05486443"/>
    <w:rsid w:val="0573731D"/>
    <w:rsid w:val="07860D16"/>
    <w:rsid w:val="0C652A08"/>
    <w:rsid w:val="0C662DAD"/>
    <w:rsid w:val="0CE42BCB"/>
    <w:rsid w:val="0EDA1D8D"/>
    <w:rsid w:val="11446639"/>
    <w:rsid w:val="11782865"/>
    <w:rsid w:val="11905FB8"/>
    <w:rsid w:val="11C65B26"/>
    <w:rsid w:val="133A0C62"/>
    <w:rsid w:val="145223D2"/>
    <w:rsid w:val="15135E16"/>
    <w:rsid w:val="152D0B5B"/>
    <w:rsid w:val="15F24C56"/>
    <w:rsid w:val="189F3FD4"/>
    <w:rsid w:val="192D5C02"/>
    <w:rsid w:val="193256CE"/>
    <w:rsid w:val="19BA1A34"/>
    <w:rsid w:val="1A894907"/>
    <w:rsid w:val="1AA70106"/>
    <w:rsid w:val="1C4305C5"/>
    <w:rsid w:val="1C800E9F"/>
    <w:rsid w:val="1CA0351C"/>
    <w:rsid w:val="1D662426"/>
    <w:rsid w:val="1EAE7289"/>
    <w:rsid w:val="1FE94D8B"/>
    <w:rsid w:val="212C5E28"/>
    <w:rsid w:val="21CA01C0"/>
    <w:rsid w:val="23784B67"/>
    <w:rsid w:val="23D54A08"/>
    <w:rsid w:val="23DC403C"/>
    <w:rsid w:val="24ED280D"/>
    <w:rsid w:val="251237F7"/>
    <w:rsid w:val="2668788E"/>
    <w:rsid w:val="26ED1B6B"/>
    <w:rsid w:val="284D1F08"/>
    <w:rsid w:val="288B7763"/>
    <w:rsid w:val="2A2941B7"/>
    <w:rsid w:val="2AB81EBB"/>
    <w:rsid w:val="2C1340E5"/>
    <w:rsid w:val="2CD460E8"/>
    <w:rsid w:val="2EA86E17"/>
    <w:rsid w:val="2F803998"/>
    <w:rsid w:val="2F8A205D"/>
    <w:rsid w:val="300260D8"/>
    <w:rsid w:val="31292ABC"/>
    <w:rsid w:val="32855F97"/>
    <w:rsid w:val="33D75C35"/>
    <w:rsid w:val="34D21CBB"/>
    <w:rsid w:val="34F6487E"/>
    <w:rsid w:val="35DA71EC"/>
    <w:rsid w:val="368D39B2"/>
    <w:rsid w:val="39362844"/>
    <w:rsid w:val="3AF53F7B"/>
    <w:rsid w:val="3D1D20E9"/>
    <w:rsid w:val="3E2357DA"/>
    <w:rsid w:val="3F6E5326"/>
    <w:rsid w:val="40795938"/>
    <w:rsid w:val="41E72DEC"/>
    <w:rsid w:val="420F7702"/>
    <w:rsid w:val="42241E58"/>
    <w:rsid w:val="43FE5537"/>
    <w:rsid w:val="444F6953"/>
    <w:rsid w:val="46074E6F"/>
    <w:rsid w:val="475236D6"/>
    <w:rsid w:val="47FA4B15"/>
    <w:rsid w:val="486E6A48"/>
    <w:rsid w:val="48DF5615"/>
    <w:rsid w:val="49795F4F"/>
    <w:rsid w:val="4C085F54"/>
    <w:rsid w:val="4D3B4D2A"/>
    <w:rsid w:val="4E404E34"/>
    <w:rsid w:val="5102008C"/>
    <w:rsid w:val="545024E7"/>
    <w:rsid w:val="54ED05F5"/>
    <w:rsid w:val="561028AF"/>
    <w:rsid w:val="58A26AC3"/>
    <w:rsid w:val="591A3CBB"/>
    <w:rsid w:val="59C15FD0"/>
    <w:rsid w:val="59CB7FEE"/>
    <w:rsid w:val="5A443CC2"/>
    <w:rsid w:val="5A77512C"/>
    <w:rsid w:val="5B270529"/>
    <w:rsid w:val="5C022D5A"/>
    <w:rsid w:val="5D331816"/>
    <w:rsid w:val="5D8575EF"/>
    <w:rsid w:val="5F0B25FD"/>
    <w:rsid w:val="5F2B23E5"/>
    <w:rsid w:val="612F1C23"/>
    <w:rsid w:val="61CD583B"/>
    <w:rsid w:val="639F7F2C"/>
    <w:rsid w:val="63D22886"/>
    <w:rsid w:val="658848A0"/>
    <w:rsid w:val="66F420EE"/>
    <w:rsid w:val="6A525BC2"/>
    <w:rsid w:val="6A8E1D3A"/>
    <w:rsid w:val="6AA82BFB"/>
    <w:rsid w:val="6AD30B34"/>
    <w:rsid w:val="6BC07FE5"/>
    <w:rsid w:val="6CD51E8B"/>
    <w:rsid w:val="6F843F6D"/>
    <w:rsid w:val="713926A3"/>
    <w:rsid w:val="72A95138"/>
    <w:rsid w:val="762D1EBF"/>
    <w:rsid w:val="771B455C"/>
    <w:rsid w:val="79D52CF9"/>
    <w:rsid w:val="7BF72953"/>
    <w:rsid w:val="7C766D2D"/>
    <w:rsid w:val="7C94754B"/>
    <w:rsid w:val="7D4F259B"/>
    <w:rsid w:val="7EED5B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2020-01-08T03:24:54Z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