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000000" w:themeColor="text1"/>
          <w:sz w:val="44"/>
          <w:szCs w:val="44"/>
          <w:lang w:val="en-US" w:eastAsia="zh-CN"/>
          <w14:textFill>
            <w14:solidFill>
              <w14:schemeClr w14:val="tx1"/>
            </w14:solidFill>
          </w14:textFill>
        </w:rPr>
      </w:pPr>
      <w:r>
        <w:rPr>
          <w:rFonts w:hint="eastAsia" w:ascii="方正小标宋简体" w:hAnsi="方正小标宋简体" w:eastAsia="方正小标宋简体" w:cs="方正小标宋简体"/>
          <w:b w:val="0"/>
          <w:bCs w:val="0"/>
          <w:color w:val="000000" w:themeColor="text1"/>
          <w:sz w:val="44"/>
          <w:szCs w:val="44"/>
          <w:lang w:val="en-US" w:eastAsia="zh-CN"/>
          <w14:textFill>
            <w14:solidFill>
              <w14:schemeClr w14:val="tx1"/>
            </w14:solidFill>
          </w14:textFill>
        </w:rPr>
        <w:t>安全生产举报奖励项目绩效评价报告</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华文楷体" w:eastAsia="华文楷体"/>
          <w:color w:val="000000" w:themeColor="text1"/>
          <w:sz w:val="32"/>
          <w:szCs w:val="32"/>
          <w:lang w:eastAsia="zh-CN"/>
          <w14:textFill>
            <w14:solidFill>
              <w14:schemeClr w14:val="tx1"/>
            </w14:solidFill>
          </w14:textFill>
        </w:rPr>
      </w:pP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根据《</w:t>
      </w:r>
      <w:r>
        <w:rPr>
          <w:rFonts w:hint="eastAsia" w:ascii="仿宋_GB2312" w:eastAsia="仿宋_GB2312"/>
          <w:color w:val="000000" w:themeColor="text1"/>
          <w:sz w:val="32"/>
          <w:szCs w:val="32"/>
          <w:lang w:eastAsia="zh-CN"/>
          <w14:textFill>
            <w14:solidFill>
              <w14:schemeClr w14:val="tx1"/>
            </w14:solidFill>
          </w14:textFill>
        </w:rPr>
        <w:t>石家庄市鹿泉区区级部门预算绩效管理办法</w:t>
      </w: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lang w:eastAsia="zh-CN"/>
          <w14:textFill>
            <w14:solidFill>
              <w14:schemeClr w14:val="tx1"/>
            </w14:solidFill>
          </w14:textFill>
        </w:rPr>
        <w:t>（鹿</w:t>
      </w:r>
      <w:r>
        <w:rPr>
          <w:rFonts w:hint="eastAsia" w:ascii="仿宋_GB2312" w:eastAsia="仿宋_GB2312"/>
          <w:color w:val="000000" w:themeColor="text1"/>
          <w:sz w:val="32"/>
          <w:szCs w:val="32"/>
          <w:lang w:val="en-US" w:eastAsia="zh-CN"/>
          <w14:textFill>
            <w14:solidFill>
              <w14:schemeClr w14:val="tx1"/>
            </w14:solidFill>
          </w14:textFill>
        </w:rPr>
        <w:t>财字[2019]65号）</w:t>
      </w:r>
      <w:r>
        <w:rPr>
          <w:rFonts w:hint="eastAsia" w:ascii="仿宋_GB2312" w:eastAsia="仿宋_GB2312"/>
          <w:color w:val="000000" w:themeColor="text1"/>
          <w:sz w:val="32"/>
          <w:szCs w:val="32"/>
          <w14:textFill>
            <w14:solidFill>
              <w14:schemeClr w14:val="tx1"/>
            </w14:solidFill>
          </w14:textFill>
        </w:rPr>
        <w:t>，遵循“科学性、规范性、客观性和公正性”的原则，对</w:t>
      </w:r>
      <w:r>
        <w:rPr>
          <w:rFonts w:hint="eastAsia" w:ascii="仿宋_GB2312" w:eastAsia="仿宋_GB2312"/>
          <w:color w:val="000000" w:themeColor="text1"/>
          <w:sz w:val="32"/>
          <w:szCs w:val="32"/>
          <w:lang w:eastAsia="zh-CN"/>
          <w14:textFill>
            <w14:solidFill>
              <w14:schemeClr w14:val="tx1"/>
            </w14:solidFill>
          </w14:textFill>
        </w:rPr>
        <w:t>安全生产举报奖励项目</w:t>
      </w:r>
      <w:r>
        <w:rPr>
          <w:rFonts w:hint="eastAsia" w:ascii="仿宋_GB2312" w:eastAsia="仿宋_GB2312"/>
          <w:color w:val="000000" w:themeColor="text1"/>
          <w:sz w:val="32"/>
          <w:szCs w:val="32"/>
          <w14:textFill>
            <w14:solidFill>
              <w14:schemeClr w14:val="tx1"/>
            </w14:solidFill>
          </w14:textFill>
        </w:rPr>
        <w:t>实施了</w:t>
      </w:r>
      <w:r>
        <w:rPr>
          <w:rFonts w:hint="eastAsia" w:ascii="仿宋_GB2312" w:eastAsia="仿宋_GB2312"/>
          <w:color w:val="000000" w:themeColor="text1"/>
          <w:sz w:val="32"/>
          <w:szCs w:val="32"/>
          <w:lang w:eastAsia="zh-CN"/>
          <w14:textFill>
            <w14:solidFill>
              <w14:schemeClr w14:val="tx1"/>
            </w14:solidFill>
          </w14:textFill>
        </w:rPr>
        <w:t>绩效</w:t>
      </w:r>
      <w:r>
        <w:rPr>
          <w:rFonts w:hint="eastAsia" w:ascii="仿宋_GB2312" w:eastAsia="仿宋_GB2312"/>
          <w:color w:val="000000" w:themeColor="text1"/>
          <w:sz w:val="32"/>
          <w:szCs w:val="32"/>
          <w14:textFill>
            <w14:solidFill>
              <w14:schemeClr w14:val="tx1"/>
            </w14:solidFill>
          </w14:textFill>
        </w:rPr>
        <w:t>评价，形成本评价报告。</w:t>
      </w:r>
    </w:p>
    <w:p>
      <w:pPr>
        <w:keepNext w:val="0"/>
        <w:keepLines w:val="0"/>
        <w:pageBreakBefore w:val="0"/>
        <w:widowControl w:val="0"/>
        <w:kinsoku/>
        <w:wordWrap/>
        <w:overflowPunct/>
        <w:topLinePunct w:val="0"/>
        <w:autoSpaceDE/>
        <w:bidi w:val="0"/>
        <w:adjustRightInd w:val="0"/>
        <w:snapToGrid w:val="0"/>
        <w:spacing w:line="578" w:lineRule="exact"/>
        <w:rPr>
          <w:rFonts w:hint="eastAsia" w:ascii="黑体" w:eastAsia="黑体"/>
          <w:b/>
          <w:bCs/>
          <w:color w:val="000000" w:themeColor="text1"/>
          <w:sz w:val="32"/>
          <w:szCs w:val="36"/>
          <w14:textFill>
            <w14:solidFill>
              <w14:schemeClr w14:val="tx1"/>
            </w14:solidFill>
          </w14:textFill>
        </w:rPr>
      </w:pPr>
      <w:r>
        <w:rPr>
          <w:rFonts w:hint="eastAsia" w:ascii="黑体" w:eastAsia="黑体"/>
          <w:color w:val="000000" w:themeColor="text1"/>
          <w:sz w:val="32"/>
          <w:szCs w:val="32"/>
          <w:lang w:val="en-US" w:eastAsia="zh-CN"/>
          <w14:textFill>
            <w14:solidFill>
              <w14:schemeClr w14:val="tx1"/>
            </w14:solidFill>
          </w14:textFill>
        </w:rPr>
        <w:t xml:space="preserve">    </w:t>
      </w:r>
      <w:r>
        <w:rPr>
          <w:rFonts w:hint="eastAsia" w:ascii="黑体" w:eastAsia="黑体"/>
          <w:b w:val="0"/>
          <w:bCs w:val="0"/>
          <w:color w:val="000000" w:themeColor="text1"/>
          <w:sz w:val="32"/>
          <w:szCs w:val="32"/>
          <w14:textFill>
            <w14:solidFill>
              <w14:schemeClr w14:val="tx1"/>
            </w14:solidFill>
          </w14:textFill>
        </w:rPr>
        <w:t>一、</w:t>
      </w:r>
      <w:r>
        <w:rPr>
          <w:rFonts w:hint="eastAsia" w:ascii="黑体" w:eastAsia="黑体"/>
          <w:b w:val="0"/>
          <w:bCs w:val="0"/>
          <w:color w:val="000000" w:themeColor="text1"/>
          <w:sz w:val="32"/>
          <w:szCs w:val="32"/>
          <w:lang w:eastAsia="zh-CN"/>
          <w14:textFill>
            <w14:solidFill>
              <w14:schemeClr w14:val="tx1"/>
            </w14:solidFill>
          </w14:textFill>
        </w:rPr>
        <w:t>项目</w:t>
      </w:r>
      <w:r>
        <w:rPr>
          <w:rFonts w:hint="eastAsia" w:ascii="黑体" w:eastAsia="黑体"/>
          <w:b w:val="0"/>
          <w:bCs w:val="0"/>
          <w:color w:val="000000" w:themeColor="text1"/>
          <w:sz w:val="32"/>
          <w:szCs w:val="36"/>
          <w14:textFill>
            <w14:solidFill>
              <w14:schemeClr w14:val="tx1"/>
            </w14:solidFill>
          </w14:textFill>
        </w:rPr>
        <w:t>基本情况</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楷体_GB2312" w:hAnsi="楷体_GB2312" w:eastAsia="楷体_GB2312" w:cs="楷体_GB2312"/>
          <w:b w:val="0"/>
          <w:bCs w:val="0"/>
          <w:color w:val="000000" w:themeColor="text1"/>
          <w:sz w:val="32"/>
          <w:szCs w:val="32"/>
          <w14:textFill>
            <w14:solidFill>
              <w14:schemeClr w14:val="tx1"/>
            </w14:solidFill>
          </w14:textFill>
        </w:rPr>
      </w:pPr>
      <w:r>
        <w:rPr>
          <w:rFonts w:hint="eastAsia" w:ascii="楷体_GB2312" w:hAnsi="楷体_GB2312" w:eastAsia="楷体_GB2312" w:cs="楷体_GB2312"/>
          <w:b w:val="0"/>
          <w:bCs w:val="0"/>
          <w:color w:val="000000" w:themeColor="text1"/>
          <w:sz w:val="32"/>
          <w:szCs w:val="32"/>
          <w14:textFill>
            <w14:solidFill>
              <w14:schemeClr w14:val="tx1"/>
            </w14:solidFill>
          </w14:textFill>
        </w:rPr>
        <w:t>（一）项目概况</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lang w:val="en-US" w:eastAsia="zh-CN"/>
          <w14:textFill>
            <w14:solidFill>
              <w14:schemeClr w14:val="tx1"/>
            </w14:solidFill>
          </w14:textFill>
        </w:rPr>
        <w:t>.</w:t>
      </w:r>
      <w:r>
        <w:rPr>
          <w:rFonts w:hint="eastAsia" w:ascii="仿宋_GB2312" w:eastAsia="仿宋_GB2312"/>
          <w:color w:val="000000" w:themeColor="text1"/>
          <w:sz w:val="32"/>
          <w:szCs w:val="32"/>
          <w:lang w:eastAsia="zh-CN"/>
          <w14:textFill>
            <w14:solidFill>
              <w14:schemeClr w14:val="tx1"/>
            </w14:solidFill>
          </w14:textFill>
        </w:rPr>
        <w:t>项目实施单位</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）项目实施单位：石家庄市鹿泉区应急管理局</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color w:val="000000" w:themeColor="text1"/>
          <w:sz w:val="32"/>
          <w:szCs w:val="32"/>
          <w:lang w:eastAsia="zh-CN"/>
          <w14:textFill>
            <w14:solidFill>
              <w14:schemeClr w14:val="tx1"/>
            </w14:solidFill>
          </w14:textFill>
        </w:rPr>
        <w:t>）项目概况：依据《中华人民共和国安全生产法》、省安监局、省财政厅印发的《河北省安全生产领域举报奖励办法》第二条：“本办法适用于河北省县级以上人民政府安全生产监督管理部门和负有安全生产监督管理职责的部门受理的本省行政区域内各行业领域瞒报谎报生产安全事故、安全生产非法违法行为和重大事故隐患举报。”鼓励社会各界和广大群众对煤矿、非煤矿山、危险化学品、烟花爆竹、金属冶炼、液氨制冷、道路交通、建筑施工、消防、水上交通、农业机械、特种设备、油气管道、民爆物品、城市轨道交通、城镇燃气、粉尘涉爆、旅游、气代煤、电代煤、等行业领域安全生产举报，并按照本办法的规定予以奖励。第四条：“负有安全监管职责的部门开展举报奖励工作，应当遵循“合法举报、适当奖励、属地管理、分经负责”和“谁受理、谁奖励”的原则。给予举报人的资金纳入同经财政预算，通过现有的资金渠道安全排，并接受审计、监察等部门的监督。”</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 xml:space="preserve"> 2.项目主要实施内容和范围</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石家庄市鹿泉区安全生产举报奖励办法》（以下简称《办法》）已经于2016年10月31日召开的区政府第十二次政府常务会议通过，《办法》第十五条规定：“区政府设立安全生产举报奖励专项”资金，全区安全生产举报奖励专项资金由区安委办统一办理，设置在区应急管理局。用于对隐患和事故举报人员的奖励。</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3.项目资金投入情况</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楷体_GB2312" w:hAnsi="楷体_GB2312" w:eastAsia="楷体_GB2312" w:cs="楷体_GB2312"/>
          <w:b w:val="0"/>
          <w:bCs w:val="0"/>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需要资金5万元，专款专用。</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楷体_GB2312" w:hAnsi="楷体_GB2312" w:eastAsia="楷体_GB2312" w:cs="楷体_GB2312"/>
          <w:b/>
          <w:bCs/>
          <w:color w:val="000000" w:themeColor="text1"/>
          <w:sz w:val="32"/>
          <w:szCs w:val="32"/>
          <w14:textFill>
            <w14:solidFill>
              <w14:schemeClr w14:val="tx1"/>
            </w14:solidFill>
          </w14:textFill>
        </w:rPr>
      </w:pPr>
      <w:r>
        <w:rPr>
          <w:rFonts w:hint="eastAsia" w:ascii="楷体_GB2312" w:hAnsi="楷体_GB2312" w:eastAsia="楷体_GB2312" w:cs="楷体_GB2312"/>
          <w:b w:val="0"/>
          <w:bCs w:val="0"/>
          <w:color w:val="000000" w:themeColor="text1"/>
          <w:sz w:val="32"/>
          <w:szCs w:val="32"/>
          <w14:textFill>
            <w14:solidFill>
              <w14:schemeClr w14:val="tx1"/>
            </w14:solidFill>
          </w14:textFill>
        </w:rPr>
        <w:t>（二）项目</w:t>
      </w:r>
      <w:r>
        <w:rPr>
          <w:rFonts w:hint="eastAsia" w:ascii="楷体_GB2312" w:hAnsi="楷体_GB2312" w:eastAsia="楷体_GB2312" w:cs="楷体_GB2312"/>
          <w:b w:val="0"/>
          <w:bCs w:val="0"/>
          <w:color w:val="000000" w:themeColor="text1"/>
          <w:sz w:val="32"/>
          <w:szCs w:val="32"/>
          <w:lang w:eastAsia="zh-CN"/>
          <w14:textFill>
            <w14:solidFill>
              <w14:schemeClr w14:val="tx1"/>
            </w14:solidFill>
          </w14:textFill>
        </w:rPr>
        <w:t>预期</w:t>
      </w:r>
      <w:r>
        <w:rPr>
          <w:rFonts w:hint="eastAsia" w:ascii="楷体_GB2312" w:hAnsi="楷体_GB2312" w:eastAsia="楷体_GB2312" w:cs="楷体_GB2312"/>
          <w:b w:val="0"/>
          <w:bCs w:val="0"/>
          <w:color w:val="000000" w:themeColor="text1"/>
          <w:sz w:val="32"/>
          <w:szCs w:val="32"/>
          <w14:textFill>
            <w14:solidFill>
              <w14:schemeClr w14:val="tx1"/>
            </w14:solidFill>
          </w14:textFill>
        </w:rPr>
        <w:t>绩效目标</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rPr>
          <w:rFonts w:hint="eastAsia" w:ascii="仿宋_GB2312" w:eastAsia="仿宋_GB2312"/>
          <w:color w:val="000000" w:themeColor="text1"/>
          <w:sz w:val="32"/>
          <w:szCs w:val="32"/>
          <w14:textFill>
            <w14:solidFill>
              <w14:schemeClr w14:val="tx1"/>
            </w14:solidFill>
          </w14:textFill>
        </w:rPr>
        <w:tab/>
      </w:r>
      <w:r>
        <w:rPr>
          <w:rFonts w:hint="eastAsia" w:ascii="仿宋_GB2312" w:eastAsia="仿宋_GB2312"/>
          <w:color w:val="000000" w:themeColor="text1"/>
          <w:sz w:val="32"/>
          <w:szCs w:val="32"/>
          <w14:textFill>
            <w14:solidFill>
              <w14:schemeClr w14:val="tx1"/>
            </w14:solidFill>
          </w14:textFill>
        </w:rPr>
        <w:tab/>
      </w:r>
      <w:r>
        <w:rPr>
          <w:rFonts w:hint="eastAsia" w:ascii="仿宋_GB2312" w:eastAsia="仿宋_GB2312"/>
          <w:color w:val="000000" w:themeColor="text1"/>
          <w:sz w:val="32"/>
          <w:szCs w:val="32"/>
          <w14:textFill>
            <w14:solidFill>
              <w14:schemeClr w14:val="tx1"/>
            </w14:solidFill>
          </w14:textFill>
        </w:rPr>
        <w:tab/>
      </w:r>
      <w:r>
        <w:rPr>
          <w:rFonts w:hint="eastAsia" w:ascii="仿宋_GB2312" w:eastAsia="仿宋_GB2312"/>
          <w:color w:val="000000" w:themeColor="text1"/>
          <w:sz w:val="32"/>
          <w:szCs w:val="32"/>
          <w14:textFill>
            <w14:solidFill>
              <w14:schemeClr w14:val="tx1"/>
            </w14:solidFill>
          </w14:textFill>
        </w:rPr>
        <w:tab/>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黑体" w:hAnsi="黑体" w:eastAsia="黑体" w:cs="黑体"/>
          <w:b w:val="0"/>
          <w:bCs w:val="0"/>
          <w:color w:val="000000" w:themeColor="text1"/>
          <w:sz w:val="32"/>
          <w:szCs w:val="32"/>
          <w:lang w:eastAsia="zh-CN"/>
          <w14:textFill>
            <w14:solidFill>
              <w14:schemeClr w14:val="tx1"/>
            </w14:solidFill>
          </w14:textFill>
        </w:rPr>
      </w:pPr>
      <w:bookmarkStart w:id="0" w:name="_GoBack"/>
      <w:r>
        <w:rPr>
          <w:rFonts w:hint="eastAsia" w:ascii="黑体" w:hAnsi="黑体" w:eastAsia="黑体" w:cs="黑体"/>
          <w:b w:val="0"/>
          <w:bCs w:val="0"/>
          <w:color w:val="000000" w:themeColor="text1"/>
          <w:sz w:val="32"/>
          <w:szCs w:val="32"/>
          <w:lang w:eastAsia="zh-CN"/>
          <w14:textFill>
            <w14:solidFill>
              <w14:schemeClr w14:val="tx1"/>
            </w14:solidFill>
          </w14:textFill>
        </w:rPr>
        <w:t>二、绩效评价工作情况</w:t>
      </w:r>
    </w:p>
    <w:bookmarkEnd w:id="0"/>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（一）绩效评价的组织工作</w:t>
      </w:r>
    </w:p>
    <w:p>
      <w:pPr>
        <w:keepNext w:val="0"/>
        <w:keepLines w:val="0"/>
        <w:pageBreakBefore w:val="0"/>
        <w:widowControl w:val="0"/>
        <w:numPr>
          <w:ilvl w:val="0"/>
          <w:numId w:val="0"/>
        </w:numPr>
        <w:kinsoku/>
        <w:wordWrap/>
        <w:overflowPunct/>
        <w:topLinePunct w:val="0"/>
        <w:autoSpaceDE/>
        <w:bidi w:val="0"/>
        <w:spacing w:line="578" w:lineRule="exact"/>
        <w:ind w:firstLine="640"/>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按照绩效评价的要求收集相关资料，在分析资料的基础上，确定评价内容，并根据项目执行情况进行评评价，</w:t>
      </w:r>
      <w:r>
        <w:rPr>
          <w:rFonts w:hint="eastAsia" w:ascii="仿宋_GB2312" w:hAnsi="仿宋_GB2312" w:eastAsia="仿宋_GB2312" w:cs="仿宋_GB2312"/>
          <w:color w:val="000000" w:themeColor="text1"/>
          <w:sz w:val="32"/>
          <w:szCs w:val="32"/>
          <w:lang w:eastAsia="zh-CN"/>
          <w14:textFill>
            <w14:solidFill>
              <w14:schemeClr w14:val="tx1"/>
            </w14:solidFill>
          </w14:textFill>
        </w:rPr>
        <w:t>并得出</w:t>
      </w:r>
      <w:r>
        <w:rPr>
          <w:rFonts w:hint="eastAsia" w:ascii="仿宋_GB2312" w:hAnsi="仿宋_GB2312" w:eastAsia="仿宋_GB2312" w:cs="仿宋_GB2312"/>
          <w:color w:val="000000" w:themeColor="text1"/>
          <w:sz w:val="32"/>
          <w:szCs w:val="32"/>
          <w14:textFill>
            <w14:solidFill>
              <w14:schemeClr w14:val="tx1"/>
            </w14:solidFill>
          </w14:textFill>
        </w:rPr>
        <w:t>结论</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仿宋_GB2312" w:eastAsia="仿宋_GB2312"/>
          <w:b/>
          <w:bCs/>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（二）绩效评价的方法和过程</w:t>
      </w:r>
    </w:p>
    <w:p>
      <w:pPr>
        <w:ind w:firstLine="64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本着科学、规范、独立、客观、公正的原则，对项目进行综合评价。</w:t>
      </w:r>
    </w:p>
    <w:p>
      <w:pPr>
        <w:keepNext w:val="0"/>
        <w:keepLines w:val="0"/>
        <w:pageBreakBefore w:val="0"/>
        <w:widowControl w:val="0"/>
        <w:numPr>
          <w:ilvl w:val="0"/>
          <w:numId w:val="0"/>
        </w:numPr>
        <w:kinsoku/>
        <w:wordWrap/>
        <w:overflowPunct/>
        <w:topLinePunct w:val="0"/>
        <w:autoSpaceDE/>
        <w:bidi w:val="0"/>
        <w:spacing w:line="578" w:lineRule="exact"/>
        <w:ind w:leftChars="0" w:right="0" w:rightChars="0"/>
        <w:jc w:val="both"/>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（三）建立绩效评价指标体系</w:t>
      </w:r>
    </w:p>
    <w:p>
      <w:pPr>
        <w:keepNext w:val="0"/>
        <w:keepLines w:val="0"/>
        <w:pageBreakBefore w:val="0"/>
        <w:widowControl w:val="0"/>
        <w:kinsoku/>
        <w:wordWrap/>
        <w:overflowPunct/>
        <w:topLinePunct w:val="0"/>
        <w:autoSpaceDE/>
        <w:bidi w:val="0"/>
        <w:spacing w:line="578" w:lineRule="exact"/>
        <w:ind w:left="0" w:leftChars="0" w:right="0" w:rightChars="0" w:firstLine="640" w:firstLineChars="200"/>
        <w:jc w:val="both"/>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建立了举报核查率和奖金支付率两项指标。</w:t>
      </w:r>
    </w:p>
    <w:p>
      <w:pPr>
        <w:keepNext w:val="0"/>
        <w:keepLines w:val="0"/>
        <w:pageBreakBefore w:val="0"/>
        <w:widowControl w:val="0"/>
        <w:kinsoku/>
        <w:wordWrap/>
        <w:overflowPunct/>
        <w:topLinePunct w:val="0"/>
        <w:autoSpaceDE/>
        <w:bidi w:val="0"/>
        <w:spacing w:line="578" w:lineRule="exact"/>
        <w:rPr>
          <w:rFonts w:hint="eastAsia" w:ascii="黑体" w:hAnsi="黑体" w:eastAsia="黑体" w:cs="黑体"/>
          <w:b/>
          <w:bCs/>
          <w:color w:val="000000" w:themeColor="text1"/>
          <w:sz w:val="32"/>
          <w:szCs w:val="32"/>
          <w:lang w:eastAsia="zh-CN"/>
          <w14:textFill>
            <w14:solidFill>
              <w14:schemeClr w14:val="tx1"/>
            </w14:solidFill>
          </w14:textFill>
        </w:rPr>
      </w:pPr>
      <w:r>
        <w:rPr>
          <w:rFonts w:hint="eastAsia" w:ascii="仿宋_GB2312" w:eastAsia="仿宋_GB2312"/>
          <w:b/>
          <w:bCs/>
          <w:color w:val="000000" w:themeColor="text1"/>
          <w:sz w:val="32"/>
          <w:szCs w:val="32"/>
          <w:lang w:val="en-US" w:eastAsia="zh-CN"/>
          <w14:textFill>
            <w14:solidFill>
              <w14:schemeClr w14:val="tx1"/>
            </w14:solidFill>
          </w14:textFill>
        </w:rPr>
        <w:t xml:space="preserve">    </w:t>
      </w:r>
      <w:r>
        <w:rPr>
          <w:rFonts w:hint="eastAsia" w:ascii="黑体" w:hAnsi="黑体" w:eastAsia="黑体" w:cs="黑体"/>
          <w:b w:val="0"/>
          <w:bCs w:val="0"/>
          <w:color w:val="000000" w:themeColor="text1"/>
          <w:sz w:val="32"/>
          <w:szCs w:val="32"/>
          <w:lang w:val="en-US" w:eastAsia="zh-CN"/>
          <w14:textFill>
            <w14:solidFill>
              <w14:schemeClr w14:val="tx1"/>
            </w14:solidFill>
          </w14:textFill>
        </w:rPr>
        <w:t>三、</w:t>
      </w:r>
      <w:r>
        <w:rPr>
          <w:rFonts w:hint="eastAsia" w:ascii="黑体" w:hAnsi="黑体" w:eastAsia="黑体" w:cs="黑体"/>
          <w:b w:val="0"/>
          <w:bCs w:val="0"/>
          <w:color w:val="000000" w:themeColor="text1"/>
          <w:sz w:val="32"/>
          <w:szCs w:val="32"/>
          <w:lang w:eastAsia="zh-CN"/>
          <w14:textFill>
            <w14:solidFill>
              <w14:schemeClr w14:val="tx1"/>
            </w14:solidFill>
          </w14:textFill>
        </w:rPr>
        <w:t>项目执行及绩效实现情况</w:t>
      </w:r>
    </w:p>
    <w:p>
      <w:pPr>
        <w:keepNext w:val="0"/>
        <w:keepLines w:val="0"/>
        <w:pageBreakBefore w:val="0"/>
        <w:widowControl w:val="0"/>
        <w:kinsoku/>
        <w:wordWrap/>
        <w:overflowPunct/>
        <w:topLinePunct w:val="0"/>
        <w:autoSpaceDE/>
        <w:bidi w:val="0"/>
        <w:spacing w:line="578" w:lineRule="exact"/>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 xml:space="preserve">   （一）项目投入</w:t>
      </w:r>
    </w:p>
    <w:p>
      <w:pPr>
        <w:keepNext w:val="0"/>
        <w:keepLines w:val="0"/>
        <w:pageBreakBefore w:val="0"/>
        <w:widowControl w:val="0"/>
        <w:numPr>
          <w:ilvl w:val="0"/>
          <w:numId w:val="1"/>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default" w:ascii="仿宋_GB2312" w:eastAsia="仿宋_GB2312"/>
          <w:b w:val="0"/>
          <w:bCs w:val="0"/>
          <w:color w:val="000000" w:themeColor="text1"/>
          <w:sz w:val="32"/>
          <w:szCs w:val="32"/>
          <w:lang w:val="en-US" w:eastAsia="zh-CN"/>
          <w14:textFill>
            <w14:solidFill>
              <w14:schemeClr w14:val="tx1"/>
            </w14:solidFill>
          </w14:textFill>
        </w:rPr>
        <w:t>项目</w:t>
      </w:r>
      <w:r>
        <w:rPr>
          <w:rFonts w:hint="eastAsia" w:ascii="仿宋_GB2312" w:eastAsia="仿宋_GB2312"/>
          <w:b w:val="0"/>
          <w:bCs w:val="0"/>
          <w:color w:val="000000" w:themeColor="text1"/>
          <w:sz w:val="32"/>
          <w:szCs w:val="32"/>
          <w:lang w:val="en-US" w:eastAsia="zh-CN"/>
          <w14:textFill>
            <w14:solidFill>
              <w14:schemeClr w14:val="tx1"/>
            </w14:solidFill>
          </w14:textFill>
        </w:rPr>
        <w:t>立项情况分析</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按照规定的程序申请设立，事前经过必要的可行性研究。</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textAlignment w:val="auto"/>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2.资金落实情况分析。</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default"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资金到位率100%。</w:t>
      </w:r>
    </w:p>
    <w:p>
      <w:pPr>
        <w:keepNext w:val="0"/>
        <w:keepLines w:val="0"/>
        <w:pageBreakBefore w:val="0"/>
        <w:widowControl w:val="0"/>
        <w:kinsoku/>
        <w:wordWrap/>
        <w:overflowPunct/>
        <w:topLinePunct w:val="0"/>
        <w:autoSpaceDE/>
        <w:bidi w:val="0"/>
        <w:spacing w:line="578" w:lineRule="exact"/>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（二）项目实施过程</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业务管理情况分析：业务管理制度合法、合规、完整。</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财务管理情况分析：资金使用严格规范，资金的拨付有完整的审批程序和手续，不存在违法违规问题。</w:t>
      </w:r>
    </w:p>
    <w:p>
      <w:pPr>
        <w:keepNext w:val="0"/>
        <w:keepLines w:val="0"/>
        <w:pageBreakBefore w:val="0"/>
        <w:widowControl w:val="0"/>
        <w:numPr>
          <w:ilvl w:val="0"/>
          <w:numId w:val="0"/>
        </w:numPr>
        <w:kinsoku/>
        <w:wordWrap/>
        <w:overflowPunct/>
        <w:topLinePunct w:val="0"/>
        <w:autoSpaceDE/>
        <w:bidi w:val="0"/>
        <w:spacing w:line="578" w:lineRule="exact"/>
        <w:rPr>
          <w:rFonts w:hint="eastAsia" w:ascii="仿宋_GB2312" w:eastAsia="仿宋_GB2312"/>
          <w:b/>
          <w:bCs/>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 xml:space="preserve">   </w:t>
      </w:r>
      <w:r>
        <w:rPr>
          <w:rFonts w:hint="eastAsia" w:ascii="仿宋_GB2312" w:eastAsia="仿宋_GB2312"/>
          <w:b/>
          <w:bCs/>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（三）项目产出</w:t>
      </w:r>
    </w:p>
    <w:p>
      <w:pPr>
        <w:keepNext w:val="0"/>
        <w:keepLines w:val="0"/>
        <w:pageBreakBefore w:val="0"/>
        <w:widowControl w:val="0"/>
        <w:numPr>
          <w:ilvl w:val="0"/>
          <w:numId w:val="0"/>
        </w:numPr>
        <w:kinsoku/>
        <w:wordWrap/>
        <w:overflowPunct/>
        <w:topLinePunct w:val="0"/>
        <w:autoSpaceDE/>
        <w:bidi w:val="0"/>
        <w:spacing w:line="578" w:lineRule="exact"/>
        <w:ind w:firstLine="640"/>
        <w:rPr>
          <w:rFonts w:hint="default"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sz w:val="32"/>
          <w:szCs w:val="32"/>
        </w:rPr>
        <w:t>对举报瞒报谎报生产安全事故、安全生产非法违法行为、重大事故隐患，经核查属实的，</w:t>
      </w:r>
      <w:r>
        <w:rPr>
          <w:rFonts w:hint="eastAsia" w:ascii="仿宋_GB2312" w:eastAsia="仿宋_GB2312"/>
          <w:sz w:val="32"/>
          <w:szCs w:val="32"/>
          <w:lang w:eastAsia="zh-CN"/>
        </w:rPr>
        <w:t>按奖励标准</w:t>
      </w:r>
      <w:r>
        <w:rPr>
          <w:rFonts w:hint="eastAsia" w:ascii="仿宋_GB2312" w:eastAsia="仿宋_GB2312"/>
          <w:sz w:val="32"/>
          <w:szCs w:val="32"/>
        </w:rPr>
        <w:t>予以奖励。</w:t>
      </w:r>
    </w:p>
    <w:p>
      <w:pPr>
        <w:keepNext w:val="0"/>
        <w:keepLines w:val="0"/>
        <w:pageBreakBefore w:val="0"/>
        <w:widowControl w:val="0"/>
        <w:numPr>
          <w:ilvl w:val="0"/>
          <w:numId w:val="0"/>
        </w:numPr>
        <w:kinsoku/>
        <w:wordWrap/>
        <w:overflowPunct/>
        <w:topLinePunct w:val="0"/>
        <w:autoSpaceDE/>
        <w:bidi w:val="0"/>
        <w:spacing w:line="578" w:lineRule="exact"/>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bCs/>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（四）项目效果</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黑体" w:hAnsi="黑体" w:eastAsia="黑体"/>
          <w:b w:val="0"/>
          <w:bCs w:val="0"/>
          <w:color w:val="000000" w:themeColor="text1"/>
          <w:sz w:val="32"/>
          <w:szCs w:val="32"/>
          <w:lang w:val="en-US" w:eastAsia="zh-CN"/>
          <w14:textFill>
            <w14:solidFill>
              <w14:schemeClr w14:val="tx1"/>
            </w14:solidFill>
          </w14:textFill>
        </w:rPr>
      </w:pPr>
      <w:r>
        <w:rPr>
          <w:rFonts w:hint="eastAsia" w:ascii="仿宋_GB2312" w:eastAsia="仿宋_GB2312"/>
          <w:sz w:val="32"/>
          <w:szCs w:val="32"/>
        </w:rPr>
        <w:t>通过安全生产举报奖励政策，激发和调动广大人民群众参与安全生产举报的积极性，对安全生产非法违法行为等形成强大的震慑作用，减少安全隐患事故的发生，维护社会稳定。</w:t>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黑体" w:hAnsi="黑体" w:eastAsia="黑体"/>
          <w:b w:val="0"/>
          <w:bCs w:val="0"/>
          <w:color w:val="000000" w:themeColor="text1"/>
          <w:sz w:val="32"/>
          <w:szCs w:val="32"/>
          <w:lang w:val="en-US" w:eastAsia="zh-CN"/>
          <w14:textFill>
            <w14:solidFill>
              <w14:schemeClr w14:val="tx1"/>
            </w14:solidFill>
          </w14:textFill>
        </w:rPr>
        <w:t>四、项目综合评价结论和评价等级</w:t>
      </w:r>
    </w:p>
    <w:p>
      <w:pPr>
        <w:numPr>
          <w:ilvl w:val="0"/>
          <w:numId w:val="0"/>
        </w:numPr>
        <w:ind w:firstLine="640" w:firstLineChars="200"/>
        <w:rPr>
          <w:rFonts w:hint="default"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根据项目执行情况和项目绩效情况，项目综合绩效评价等级</w:t>
      </w:r>
      <w:r>
        <w:rPr>
          <w:rFonts w:hint="eastAsia" w:ascii="仿宋_GB2312" w:eastAsia="仿宋_GB2312"/>
          <w:color w:val="000000" w:themeColor="text1"/>
          <w:sz w:val="32"/>
          <w:szCs w:val="32"/>
          <w14:textFill>
            <w14:solidFill>
              <w14:schemeClr w14:val="tx1"/>
            </w14:solidFill>
          </w14:textFill>
        </w:rPr>
        <w:t>为优秀。</w:t>
      </w:r>
    </w:p>
    <w:p>
      <w:pPr>
        <w:keepNext w:val="0"/>
        <w:keepLines w:val="0"/>
        <w:pageBreakBefore w:val="0"/>
        <w:widowControl w:val="0"/>
        <w:numPr>
          <w:ilvl w:val="0"/>
          <w:numId w:val="0"/>
        </w:numPr>
        <w:kinsoku/>
        <w:wordWrap w:val="0"/>
        <w:overflowPunct/>
        <w:topLinePunct w:val="0"/>
        <w:autoSpaceDE/>
        <w:bidi w:val="0"/>
        <w:spacing w:line="578" w:lineRule="exact"/>
        <w:ind w:firstLine="640" w:firstLineChars="200"/>
        <w:jc w:val="right"/>
        <w:rPr>
          <w:rFonts w:hint="eastAsia"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 xml:space="preserve">石家庄市鹿泉区应急管理局    </w:t>
      </w:r>
    </w:p>
    <w:p>
      <w:pPr>
        <w:keepNext w:val="0"/>
        <w:keepLines w:val="0"/>
        <w:pageBreakBefore w:val="0"/>
        <w:widowControl w:val="0"/>
        <w:numPr>
          <w:ilvl w:val="0"/>
          <w:numId w:val="0"/>
        </w:numPr>
        <w:kinsoku/>
        <w:wordWrap w:val="0"/>
        <w:overflowPunct/>
        <w:topLinePunct w:val="0"/>
        <w:autoSpaceDE/>
        <w:bidi w:val="0"/>
        <w:spacing w:line="578" w:lineRule="exact"/>
        <w:ind w:firstLine="640" w:firstLineChars="200"/>
        <w:jc w:val="right"/>
        <w:rPr>
          <w:rFonts w:hint="default" w:ascii="仿宋_GB2312" w:eastAsia="仿宋_GB2312"/>
          <w:b w:val="0"/>
          <w:bCs w:val="0"/>
          <w:color w:val="000000" w:themeColor="text1"/>
          <w:sz w:val="32"/>
          <w:szCs w:val="32"/>
          <w:lang w:val="en-US" w:eastAsia="zh-CN"/>
          <w14:textFill>
            <w14:solidFill>
              <w14:schemeClr w14:val="tx1"/>
            </w14:solidFill>
          </w14:textFill>
        </w:rPr>
      </w:pPr>
      <w:r>
        <w:rPr>
          <w:rFonts w:hint="eastAsia" w:ascii="仿宋_GB2312" w:eastAsia="仿宋_GB2312"/>
          <w:b w:val="0"/>
          <w:bCs w:val="0"/>
          <w:color w:val="000000" w:themeColor="text1"/>
          <w:sz w:val="32"/>
          <w:szCs w:val="32"/>
          <w:lang w:val="en-US" w:eastAsia="zh-CN"/>
          <w14:textFill>
            <w14:solidFill>
              <w14:schemeClr w14:val="tx1"/>
            </w14:solidFill>
          </w14:textFill>
        </w:rPr>
        <w:t xml:space="preserve">2020年1月         </w:t>
      </w:r>
    </w:p>
    <w:sectPr>
      <w:footerReference r:id="rId5" w:type="first"/>
      <w:footerReference r:id="rId3" w:type="default"/>
      <w:footerReference r:id="rId4" w:type="even"/>
      <w:pgSz w:w="11906" w:h="16838"/>
      <w:pgMar w:top="1361" w:right="1644" w:bottom="1361" w:left="164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宋体"/>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360B"/>
    <w:multiLevelType w:val="singleLevel"/>
    <w:tmpl w:val="5E14360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4043D32"/>
    <w:rsid w:val="061B4F12"/>
    <w:rsid w:val="12F60EAD"/>
    <w:rsid w:val="153B0A22"/>
    <w:rsid w:val="1C8873A1"/>
    <w:rsid w:val="1DB65199"/>
    <w:rsid w:val="29CD4053"/>
    <w:rsid w:val="2A2941B7"/>
    <w:rsid w:val="2B4422D8"/>
    <w:rsid w:val="2BCA3FD0"/>
    <w:rsid w:val="32B60D00"/>
    <w:rsid w:val="37182ABA"/>
    <w:rsid w:val="54040C87"/>
    <w:rsid w:val="554E4EC7"/>
    <w:rsid w:val="5FC43E2B"/>
    <w:rsid w:val="692868ED"/>
    <w:rsid w:val="69E957C8"/>
    <w:rsid w:val="6D2A0062"/>
    <w:rsid w:val="7E3D1E3C"/>
    <w:rsid w:val="7F1B12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2020-01-08T07:22:27Z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