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安全生产应急救援专项资金项目绩效评价报告</w:t>
      </w:r>
    </w:p>
    <w:p>
      <w:pPr>
        <w:keepNext w:val="0"/>
        <w:keepLines w:val="0"/>
        <w:pageBreakBefore w:val="0"/>
        <w:widowControl w:val="0"/>
        <w:kinsoku/>
        <w:overflowPunct/>
        <w:topLinePunct w:val="0"/>
        <w:autoSpaceDE/>
        <w:autoSpaceDN/>
        <w:bidi w:val="0"/>
        <w:spacing w:line="578" w:lineRule="exact"/>
        <w:ind w:left="0" w:leftChars="0" w:right="0" w:rightChars="0" w:firstLine="0" w:firstLineChars="0"/>
        <w:jc w:val="center"/>
        <w:textAlignment w:val="auto"/>
        <w:rPr>
          <w:rFonts w:hint="eastAsia" w:ascii="华文楷体" w:eastAsia="华文楷体"/>
          <w:sz w:val="32"/>
          <w:szCs w:val="32"/>
          <w:lang w:eastAsia="zh-CN"/>
        </w:rPr>
      </w:pP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 w:hAnsi="仿宋" w:eastAsia="仿宋" w:cs="仿宋"/>
          <w:sz w:val="32"/>
          <w:szCs w:val="32"/>
          <w:u w:val="none"/>
          <w:lang w:val="en-US" w:eastAsia="zh-CN"/>
        </w:rPr>
        <w:t>应急救援专项资金</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项目实施单位：石家庄市鹿泉区应急管理局</w:t>
      </w:r>
    </w:p>
    <w:p>
      <w:pPr>
        <w:keepNext w:val="0"/>
        <w:keepLines w:val="0"/>
        <w:pageBreakBefore w:val="0"/>
        <w:widowControl w:val="0"/>
        <w:numPr>
          <w:ilvl w:val="0"/>
          <w:numId w:val="0"/>
        </w:numPr>
        <w:kinsoku/>
        <w:overflowPunct/>
        <w:topLinePunct w:val="0"/>
        <w:autoSpaceDE/>
        <w:autoSpaceDN/>
        <w:bidi w:val="0"/>
        <w:spacing w:line="578" w:lineRule="exact"/>
        <w:ind w:firstLine="640" w:firstLineChars="200"/>
        <w:textAlignment w:val="auto"/>
        <w:rPr>
          <w:rFonts w:hint="eastAsia" w:ascii="仿宋" w:hAnsi="仿宋" w:eastAsia="仿宋" w:cs="仿宋"/>
          <w:sz w:val="32"/>
          <w:szCs w:val="32"/>
          <w:u w:val="none"/>
          <w:lang w:val="en-US" w:eastAsia="zh-CN"/>
        </w:rPr>
      </w:pPr>
      <w:r>
        <w:rPr>
          <w:rFonts w:hint="eastAsia" w:ascii="仿宋_GB2312" w:eastAsia="仿宋_GB2312"/>
          <w:sz w:val="32"/>
          <w:szCs w:val="32"/>
          <w:lang w:eastAsia="zh-CN"/>
        </w:rPr>
        <w:t>项目立项：</w:t>
      </w:r>
      <w:r>
        <w:rPr>
          <w:rFonts w:hint="eastAsia" w:ascii="仿宋" w:hAnsi="仿宋" w:eastAsia="仿宋" w:cs="仿宋"/>
          <w:sz w:val="32"/>
          <w:szCs w:val="32"/>
        </w:rPr>
        <w:t>依据《生产安全事故应急条例》第八条规定，县级以上地方人民政府以及县级以上人民政府负有安全生产监督管理职责的部门，定期组织生产安全事故应急救援预案演练，易燃易爆物品、危险化学品等危险物品的生产经营。储存单位、建筑工地、人员密集场所经营单位，应当至少每半年组织1次应急预案演练。生产安全事故应急救援预案是处置突发事件的重要前提，是预防发生突发事件的重要保障，区级、乡镇、部门和个生产经营单位每年都要针对行业领域突出特点进行2-3次演练，用来预防突发事件的发生，增强从业人员的安全意识和提高从业人员安全保障。做好演练能使从业人员掌握危险区域，逃生路线，救治地点，保障部门，从而提高从业人员的安全意识。</w:t>
      </w: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keepNext w:val="0"/>
        <w:keepLines w:val="0"/>
        <w:pageBreakBefore w:val="0"/>
        <w:widowControl w:val="0"/>
        <w:kinsoku/>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 w:hAnsi="仿宋" w:eastAsia="仿宋" w:cs="仿宋"/>
          <w:sz w:val="32"/>
          <w:szCs w:val="32"/>
          <w:u w:val="none"/>
          <w:lang w:val="en-US" w:eastAsia="zh-CN"/>
        </w:rPr>
        <w:t>提高应急处置能力，各应急小组分</w:t>
      </w:r>
      <w:bookmarkStart w:id="0" w:name="_GoBack"/>
      <w:bookmarkEnd w:id="0"/>
      <w:r>
        <w:rPr>
          <w:rFonts w:hint="eastAsia" w:ascii="仿宋" w:hAnsi="仿宋" w:eastAsia="仿宋" w:cs="仿宋"/>
          <w:sz w:val="32"/>
          <w:szCs w:val="32"/>
          <w:u w:val="none"/>
          <w:lang w:val="en-US" w:eastAsia="zh-CN"/>
        </w:rPr>
        <w:t>工明确，配合得当，发现演练预案中的缺陷及时修改。</w:t>
      </w: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w:t>
      </w: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需财政拨应急救援专项</w:t>
      </w:r>
      <w:r>
        <w:rPr>
          <w:rFonts w:hint="eastAsia" w:ascii="仿宋_GB2312" w:eastAsia="仿宋_GB2312"/>
          <w:sz w:val="32"/>
          <w:szCs w:val="32"/>
          <w:lang w:val="en-US" w:eastAsia="zh-CN"/>
        </w:rPr>
        <w:t>资金5万元。</w:t>
      </w: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提升应急处置能力，增强组织协调能力，提高应急救援效果。</w:t>
      </w:r>
    </w:p>
    <w:p>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keepNext w:val="0"/>
        <w:keepLines w:val="0"/>
        <w:pageBreakBefore w:val="0"/>
        <w:widowControl w:val="0"/>
        <w:kinsoku/>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kinsoku/>
        <w:overflowPunct/>
        <w:topLinePunct w:val="0"/>
        <w:autoSpaceDE/>
        <w:autoSpaceDN/>
        <w:bidi w:val="0"/>
        <w:spacing w:line="578"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项目评价资料收集、评价过程、评价工作管理组织均由</w:t>
      </w:r>
      <w:r>
        <w:rPr>
          <w:rFonts w:hint="eastAsia" w:ascii="仿宋_GB2312" w:eastAsia="仿宋_GB2312"/>
          <w:sz w:val="32"/>
          <w:szCs w:val="32"/>
          <w:lang w:eastAsia="zh-CN"/>
        </w:rPr>
        <w:t>应急管理局</w:t>
      </w:r>
      <w:r>
        <w:rPr>
          <w:rFonts w:hint="eastAsia" w:ascii="仿宋_GB2312" w:eastAsia="仿宋_GB2312"/>
          <w:sz w:val="32"/>
          <w:szCs w:val="32"/>
        </w:rPr>
        <w:t>组织实施。</w:t>
      </w:r>
    </w:p>
    <w:p>
      <w:pPr>
        <w:keepNext w:val="0"/>
        <w:keepLines w:val="0"/>
        <w:pageBreakBefore w:val="0"/>
        <w:widowControl w:val="0"/>
        <w:kinsoku/>
        <w:overflowPunct/>
        <w:topLinePunct w:val="0"/>
        <w:autoSpaceDE/>
        <w:autoSpaceDN/>
        <w:bidi w:val="0"/>
        <w:spacing w:line="578" w:lineRule="exact"/>
        <w:ind w:firstLine="640" w:firstLineChars="20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kinsoku/>
        <w:overflowPunct/>
        <w:topLinePunct w:val="0"/>
        <w:autoSpaceDE/>
        <w:autoSpaceDN/>
        <w:bidi w:val="0"/>
        <w:spacing w:line="578" w:lineRule="exact"/>
        <w:ind w:left="0" w:leftChars="0" w:right="0" w:rightChars="0" w:firstLine="0" w:firstLineChars="0"/>
        <w:jc w:val="both"/>
        <w:textAlignment w:val="auto"/>
        <w:rPr>
          <w:rFonts w:hint="eastAsia" w:ascii="仿宋_GB2312" w:eastAsia="仿宋_GB2312"/>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eastAsia="仿宋_GB2312"/>
          <w:sz w:val="32"/>
          <w:szCs w:val="32"/>
          <w:lang w:val="en-US" w:eastAsia="zh-CN"/>
        </w:rPr>
        <w:t>根据项目进度进行绩效评价。</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bCs/>
          <w:sz w:val="32"/>
          <w:szCs w:val="32"/>
          <w:lang w:val="en-US" w:eastAsia="zh-CN"/>
        </w:rPr>
      </w:pPr>
      <w:r>
        <w:rPr>
          <w:rFonts w:hint="eastAsia" w:ascii="仿宋_GB2312" w:eastAsia="仿宋_GB2312"/>
          <w:b w:val="0"/>
          <w:bCs w:val="0"/>
          <w:sz w:val="32"/>
          <w:szCs w:val="32"/>
          <w:lang w:val="en-US" w:eastAsia="zh-CN"/>
        </w:rPr>
        <w:t>设置了应急预案演练完成率、演练次数等指标。</w:t>
      </w:r>
      <w:r>
        <w:rPr>
          <w:rFonts w:hint="eastAsia" w:ascii="仿宋_GB2312" w:eastAsia="仿宋_GB2312"/>
          <w:b/>
          <w:bCs/>
          <w:sz w:val="32"/>
          <w:szCs w:val="32"/>
          <w:lang w:val="en-US" w:eastAsia="zh-CN"/>
        </w:rPr>
        <w:t xml:space="preserve">    </w:t>
      </w:r>
    </w:p>
    <w:p>
      <w:pPr>
        <w:keepNext w:val="0"/>
        <w:keepLines w:val="0"/>
        <w:pageBreakBefore w:val="0"/>
        <w:widowControl w:val="0"/>
        <w:kinsoku/>
        <w:overflowPunct/>
        <w:topLinePunct w:val="0"/>
        <w:autoSpaceDE/>
        <w:autoSpaceDN/>
        <w:bidi w:val="0"/>
        <w:spacing w:line="578" w:lineRule="exact"/>
        <w:ind w:left="0" w:leftChars="0" w:right="0" w:rightChars="0" w:firstLine="640" w:firstLineChars="200"/>
        <w:textAlignment w:val="auto"/>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overflowPunct/>
        <w:topLinePunct w:val="0"/>
        <w:autoSpaceDE/>
        <w:autoSpaceDN/>
        <w:bidi w:val="0"/>
        <w:spacing w:line="578" w:lineRule="exact"/>
        <w:ind w:left="0" w:leftChars="0" w:right="0" w:rightChars="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numPr>
          <w:ilvl w:val="0"/>
          <w:numId w:val="1"/>
        </w:numPr>
        <w:kinsoku/>
        <w:wordWrap/>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default" w:ascii="仿宋_GB2312" w:eastAsia="仿宋_GB2312"/>
          <w:b w:val="0"/>
          <w:bCs w:val="0"/>
          <w:color w:val="000000" w:themeColor="text1"/>
          <w:sz w:val="32"/>
          <w:szCs w:val="32"/>
          <w:lang w:val="en-US" w:eastAsia="zh-CN"/>
          <w14:textFill>
            <w14:solidFill>
              <w14:schemeClr w14:val="tx1"/>
            </w14:solidFill>
          </w14:textFill>
        </w:rPr>
        <w:t>项目</w:t>
      </w:r>
      <w:r>
        <w:rPr>
          <w:rFonts w:hint="eastAsia" w:ascii="仿宋_GB2312" w:eastAsia="仿宋_GB2312"/>
          <w:b w:val="0"/>
          <w:bCs w:val="0"/>
          <w:color w:val="000000" w:themeColor="text1"/>
          <w:sz w:val="32"/>
          <w:szCs w:val="32"/>
          <w:lang w:val="en-US" w:eastAsia="zh-CN"/>
          <w14:textFill>
            <w14:solidFill>
              <w14:schemeClr w14:val="tx1"/>
            </w14:solidFill>
          </w14:textFill>
        </w:rPr>
        <w:t>立项情况分析</w:t>
      </w:r>
    </w:p>
    <w:p>
      <w:pPr>
        <w:keepNext w:val="0"/>
        <w:keepLines w:val="0"/>
        <w:pageBreakBefore w:val="0"/>
        <w:widowControl w:val="0"/>
        <w:kinsoku/>
        <w:overflowPunct/>
        <w:topLinePunct w:val="0"/>
        <w:autoSpaceDE/>
        <w:autoSpaceDN/>
        <w:bidi w:val="0"/>
        <w:spacing w:line="578"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按照规定的程序申请设立，事前经过必要的可行性研究。</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textAlignment w:val="auto"/>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2.资金落实情况分析。</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项目资金计划安排5万元，实际到位资金5万元，资金到位率100%。</w:t>
      </w:r>
    </w:p>
    <w:p>
      <w:pPr>
        <w:keepNext w:val="0"/>
        <w:keepLines w:val="0"/>
        <w:pageBreakBefore w:val="0"/>
        <w:widowControl w:val="0"/>
        <w:kinsoku/>
        <w:overflowPunct/>
        <w:topLinePunct w:val="0"/>
        <w:autoSpaceDE/>
        <w:autoSpaceDN/>
        <w:bidi w:val="0"/>
        <w:spacing w:line="578" w:lineRule="exact"/>
        <w:ind w:left="0" w:leftChars="0" w:right="0" w:rightChars="0"/>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2"/>
        </w:numPr>
        <w:kinsoku/>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业务管理情况分析</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严格按照项目要求推进项目进度，确保按时完成。</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健全财务管理制度，实行专款管理，按照进度控制醒目经费的支出。</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项目完成及时率100%。</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rPr>
          <w:rFonts w:hint="eastAsia" w:ascii="仿宋" w:hAnsi="仿宋" w:eastAsia="仿宋" w:cs="仿宋"/>
          <w:sz w:val="32"/>
          <w:szCs w:val="32"/>
          <w:u w:val="none"/>
          <w:lang w:val="en-US" w:eastAsia="zh-CN"/>
        </w:rPr>
      </w:pPr>
      <w:r>
        <w:rPr>
          <w:rFonts w:hint="eastAsia" w:ascii="仿宋_GB2312" w:eastAsia="仿宋_GB2312"/>
          <w:b w:val="0"/>
          <w:bCs w:val="0"/>
          <w:sz w:val="32"/>
          <w:szCs w:val="32"/>
          <w:lang w:val="en-US" w:eastAsia="zh-CN"/>
        </w:rPr>
        <w:t>项目实施后，开展了应急演练等内容，切实</w:t>
      </w:r>
      <w:r>
        <w:rPr>
          <w:rFonts w:hint="eastAsia" w:ascii="仿宋" w:hAnsi="仿宋" w:eastAsia="仿宋" w:cs="仿宋"/>
          <w:sz w:val="32"/>
          <w:szCs w:val="32"/>
          <w:u w:val="none"/>
          <w:lang w:val="en-US" w:eastAsia="zh-CN"/>
        </w:rPr>
        <w:t>提高了应急处置能力。</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根据项目执行情况和项目绩效情况，综合评价得分95分，项目综合绩效评价等级为优秀。</w:t>
      </w: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jc w:val="both"/>
        <w:textAlignment w:val="auto"/>
        <w:outlineLvl w:val="9"/>
        <w:rPr>
          <w:rFonts w:hint="eastAsia" w:ascii="仿宋_GB2312" w:eastAsia="仿宋_GB2312"/>
          <w:b w:val="0"/>
          <w:bCs w:val="0"/>
          <w:sz w:val="32"/>
          <w:szCs w:val="32"/>
          <w:lang w:val="en-US" w:eastAsia="zh-CN"/>
        </w:rPr>
      </w:pP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outlineLvl w:val="9"/>
        <w:rPr>
          <w:rFonts w:hint="eastAsia" w:ascii="仿宋_GB2312" w:eastAsia="仿宋_GB2312"/>
          <w:b w:val="0"/>
          <w:bCs w:val="0"/>
          <w:sz w:val="32"/>
          <w:szCs w:val="32"/>
          <w:lang w:val="en-US" w:eastAsia="zh-CN"/>
        </w:rPr>
      </w:pP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石家庄市鹿泉区应急管理局    </w:t>
      </w:r>
    </w:p>
    <w:p>
      <w:pPr>
        <w:keepNext w:val="0"/>
        <w:keepLines w:val="0"/>
        <w:pageBreakBefore w:val="0"/>
        <w:widowControl w:val="0"/>
        <w:kinsoku/>
        <w:wordWrap w:val="0"/>
        <w:overflowPunct/>
        <w:topLinePunct w:val="0"/>
        <w:autoSpaceDE/>
        <w:autoSpaceDN/>
        <w:bidi w:val="0"/>
        <w:spacing w:line="578" w:lineRule="exact"/>
        <w:ind w:left="0" w:leftChars="0" w:right="0" w:rightChars="0"/>
        <w:jc w:val="right"/>
        <w:textAlignment w:val="auto"/>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 xml:space="preserve">2020年1月         </w:t>
      </w:r>
    </w:p>
    <w:p>
      <w:pPr>
        <w:keepNext w:val="0"/>
        <w:keepLines w:val="0"/>
        <w:pageBreakBefore w:val="0"/>
        <w:widowControl w:val="0"/>
        <w:kinsoku/>
        <w:overflowPunct/>
        <w:topLinePunct w:val="0"/>
        <w:autoSpaceDE/>
        <w:autoSpaceDN/>
        <w:bidi w:val="0"/>
        <w:spacing w:line="578" w:lineRule="exact"/>
        <w:ind w:left="0" w:leftChars="0" w:right="0" w:rightChars="0"/>
        <w:textAlignment w:val="auto"/>
      </w:pPr>
    </w:p>
    <w:sectPr>
      <w:footerReference r:id="rId5" w:type="first"/>
      <w:footerReference r:id="rId3" w:type="default"/>
      <w:footerReference r:id="rId4" w:type="even"/>
      <w:pgSz w:w="11906" w:h="16838"/>
      <w:pgMar w:top="2098" w:right="1474" w:bottom="1984" w:left="1587"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4360B"/>
    <w:multiLevelType w:val="singleLevel"/>
    <w:tmpl w:val="5E14360B"/>
    <w:lvl w:ilvl="0" w:tentative="0">
      <w:start w:val="1"/>
      <w:numFmt w:val="decimal"/>
      <w:suff w:val="nothing"/>
      <w:lvlText w:val="%1."/>
      <w:lvlJc w:val="left"/>
    </w:lvl>
  </w:abstractNum>
  <w:abstractNum w:abstractNumId="1">
    <w:nsid w:val="5E1436AC"/>
    <w:multiLevelType w:val="singleLevel"/>
    <w:tmpl w:val="5E1436AC"/>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A7F0D"/>
    <w:rsid w:val="0D291ADB"/>
    <w:rsid w:val="15764E0B"/>
    <w:rsid w:val="1705281A"/>
    <w:rsid w:val="229601DE"/>
    <w:rsid w:val="2A2941B7"/>
    <w:rsid w:val="36F052B9"/>
    <w:rsid w:val="37883FD0"/>
    <w:rsid w:val="743F6A95"/>
    <w:rsid w:val="752F232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2020-01-08T07:35:13Z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