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专家评审费和政府购买服务安全生产服务费</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项目</w:t>
      </w:r>
      <w:r>
        <w:rPr>
          <w:rFonts w:hint="eastAsia" w:ascii="方正小标宋简体" w:hAnsi="方正小标宋简体" w:eastAsia="方正小标宋简体" w:cs="方正小标宋简体"/>
          <w:b w:val="0"/>
          <w:bCs w:val="0"/>
          <w:sz w:val="44"/>
          <w:szCs w:val="44"/>
        </w:rPr>
        <w:t>绩效评价报告</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华文楷体" w:eastAsia="华文楷体"/>
          <w:sz w:val="32"/>
          <w:szCs w:val="32"/>
          <w:lang w:eastAsia="zh-CN"/>
        </w:rPr>
      </w:pP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石家庄市鹿泉区区级部门预算绩效管理办法》（鹿</w:t>
      </w:r>
      <w:r>
        <w:rPr>
          <w:rFonts w:hint="eastAsia" w:ascii="仿宋_GB2312" w:eastAsia="仿宋_GB2312"/>
          <w:sz w:val="32"/>
          <w:szCs w:val="32"/>
          <w:lang w:val="en-US" w:eastAsia="zh-CN"/>
        </w:rPr>
        <w:t>财字[2019]65号）</w:t>
      </w:r>
      <w:r>
        <w:rPr>
          <w:rFonts w:hint="eastAsia" w:ascii="仿宋_GB2312" w:eastAsia="仿宋_GB2312"/>
          <w:sz w:val="32"/>
          <w:szCs w:val="32"/>
          <w:lang w:eastAsia="zh-CN"/>
        </w:rPr>
        <w:t>，遵循“科学性、规范性、客观性和公正性”的原则，对专家评审费和政府购买服务安全生产服务费项目实施了绩效评价，形成本评价报告。</w:t>
      </w:r>
    </w:p>
    <w:p>
      <w:pPr>
        <w:keepNext w:val="0"/>
        <w:keepLines w:val="0"/>
        <w:pageBreakBefore w:val="0"/>
        <w:widowControl w:val="0"/>
        <w:kinsoku/>
        <w:wordWrap/>
        <w:overflowPunct/>
        <w:topLinePunct w:val="0"/>
        <w:autoSpaceDE/>
        <w:bidi w:val="0"/>
        <w:adjustRightInd w:val="0"/>
        <w:snapToGrid w:val="0"/>
        <w:spacing w:line="578" w:lineRule="exact"/>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bidi w:val="0"/>
        <w:adjustRightInd w:val="0"/>
        <w:snapToGrid w:val="0"/>
        <w:spacing w:line="578" w:lineRule="exact"/>
        <w:ind w:left="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p>
    <w:p>
      <w:pPr>
        <w:keepNext w:val="0"/>
        <w:keepLines w:val="0"/>
        <w:pageBreakBefore w:val="0"/>
        <w:widowControl w:val="0"/>
        <w:kinsoku/>
        <w:wordWrap/>
        <w:overflowPunct/>
        <w:topLinePunct w:val="0"/>
        <w:autoSpaceDE/>
        <w:bidi w:val="0"/>
        <w:adjustRightInd w:val="0"/>
        <w:snapToGrid w:val="0"/>
        <w:spacing w:line="578" w:lineRule="exact"/>
        <w:ind w:left="0"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）项目实施单位：石家庄市鹿泉区应急管理局</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项目概况：依据《河北省企业安全生产诚信管理办法（试行）》在全区范围内开展安全生产诚信评定培训和审核，需要聘请第三方中介机构进行企业安全生产诚信培训和现场评定；根据石家庄市安委办《石家庄市安委办关于进一步加强工贸行业涉氨制冷专项治理工作的通知》（石安委办【2019】49号）、和石家庄市《年全市冶金等工贸行业安全监管工作要点》要求，开展涉氨制冷、涉爆粉尘、涉有限空间等重点行业专项整治，目前统计全区工贸行业涉氨制冷企业8家，涉爆粉尘13家，涉有限空间供58家，在上述重点行业领域开展一次专项整治行动，需聘请第三方机构进行技术支撑；根据《河北省化工行业安全生产整治攻坚行动方案》要求，聘请第三方机构对我区化工行业攻坚行动，“四个一批”工作进行验收，保证企业良性循环运营，实现正常的社会经济效益，完成实施攻坚阶段、验收考核阶段、总结巩固阶段任务；年初与第三方中介机构签订合同，开展对全区安全生产检查，将安全生产专业服务融入安全执法监察中，提高安全生产执法监察责任和专业技术，对安全执法检查中能够及时发现安全隐患，有效遏制事故的发生。</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对全区生产经营单位的安全检查；对我区涉有限空间、涉氨制冷、涉爆粉尘企业，按期组织专家进行排查，完成隐患整改；对企业进行安全生产诚信培训和现场评定等。</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w:t>
      </w:r>
    </w:p>
    <w:p>
      <w:pPr>
        <w:keepNext w:val="0"/>
        <w:keepLines w:val="0"/>
        <w:pageBreakBefore w:val="0"/>
        <w:widowControl w:val="0"/>
        <w:kinsoku/>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需财政拨资金10万元，用于拨付专家评审费和政府购买服务安全生产服务费。</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按期对企业进行检查，及时发现安全隐患并进行整改，有效遏制事故发生。</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eastAsia="仿宋_GB2312"/>
          <w:sz w:val="32"/>
          <w:szCs w:val="32"/>
        </w:rPr>
      </w:pPr>
      <w:r>
        <w:rPr>
          <w:rFonts w:hint="eastAsia" w:ascii="仿宋_GB2312" w:eastAsia="仿宋_GB2312"/>
          <w:sz w:val="32"/>
          <w:szCs w:val="32"/>
          <w:lang w:val="en-US" w:eastAsia="zh-CN"/>
        </w:rPr>
        <w:t xml:space="preserve">   通过购买中介机构的安全生产服务提高安全监</w:t>
      </w:r>
      <w:bookmarkStart w:id="0" w:name="_GoBack"/>
      <w:bookmarkEnd w:id="0"/>
      <w:r>
        <w:rPr>
          <w:rFonts w:hint="eastAsia" w:ascii="仿宋_GB2312" w:eastAsia="仿宋_GB2312"/>
          <w:sz w:val="32"/>
          <w:szCs w:val="32"/>
          <w:lang w:val="en-US" w:eastAsia="zh-CN"/>
        </w:rPr>
        <w:t>管能力。</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按照进度进行支付。</w:t>
      </w:r>
    </w:p>
    <w:p>
      <w:pPr>
        <w:keepNext w:val="0"/>
        <w:keepLines w:val="0"/>
        <w:pageBreakBefore w:val="0"/>
        <w:widowControl w:val="0"/>
        <w:numPr>
          <w:ilvl w:val="0"/>
          <w:numId w:val="0"/>
        </w:numPr>
        <w:kinsoku/>
        <w:wordWrap/>
        <w:overflowPunct/>
        <w:topLinePunct w:val="0"/>
        <w:autoSpaceDE/>
        <w:bidi w:val="0"/>
        <w:spacing w:line="578" w:lineRule="exact"/>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bidi w:val="0"/>
        <w:spacing w:line="578" w:lineRule="exact"/>
        <w:ind w:firstLine="640" w:firstLineChars="200"/>
        <w:rPr>
          <w:rFonts w:hint="eastAsia" w:ascii="仿宋_GB2312" w:eastAsia="仿宋_GB2312"/>
          <w:b/>
          <w:bCs/>
          <w:sz w:val="32"/>
          <w:szCs w:val="32"/>
          <w:lang w:val="en-US" w:eastAsia="zh-CN"/>
        </w:rPr>
      </w:pPr>
      <w:r>
        <w:rPr>
          <w:rFonts w:hint="eastAsia" w:ascii="仿宋_GB2312" w:eastAsia="仿宋_GB2312"/>
          <w:sz w:val="32"/>
          <w:szCs w:val="32"/>
        </w:rPr>
        <w:t>针对具体绩效评价对象的特点，设计具体的绩效评价指标体系</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bidi w:val="0"/>
        <w:spacing w:line="578" w:lineRule="exact"/>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bidi w:val="0"/>
        <w:spacing w:line="578" w:lineRule="exact"/>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szCs w:val="32"/>
        </w:rPr>
        <w:t>按照规定的程序申请设立，事前经过必要的可行性研究。</w:t>
      </w:r>
    </w:p>
    <w:p>
      <w:pPr>
        <w:keepNext w:val="0"/>
        <w:keepLines w:val="0"/>
        <w:pageBreakBefore w:val="0"/>
        <w:widowControl w:val="0"/>
        <w:kinsoku/>
        <w:wordWrap/>
        <w:overflowPunct/>
        <w:topLinePunct w:val="0"/>
        <w:autoSpaceDE/>
        <w:bidi w:val="0"/>
        <w:spacing w:line="578" w:lineRule="exact"/>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2.资金落实情况分析：资金到位率100%。</w:t>
      </w:r>
    </w:p>
    <w:p>
      <w:pPr>
        <w:keepNext w:val="0"/>
        <w:keepLines w:val="0"/>
        <w:pageBreakBefore w:val="0"/>
        <w:widowControl w:val="0"/>
        <w:kinsoku/>
        <w:wordWrap/>
        <w:overflowPunct/>
        <w:topLinePunct w:val="0"/>
        <w:autoSpaceDE/>
        <w:bidi w:val="0"/>
        <w:spacing w:line="578" w:lineRule="exact"/>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1.业务管理情况分析：项目实施过程符合相关业务管理规定，可以保障项目顺利实施。</w:t>
      </w:r>
    </w:p>
    <w:p>
      <w:pPr>
        <w:keepNext w:val="0"/>
        <w:keepLines w:val="0"/>
        <w:pageBreakBefore w:val="0"/>
        <w:widowControl w:val="0"/>
        <w:kinsoku/>
        <w:wordWrap/>
        <w:overflowPunct/>
        <w:topLinePunct w:val="0"/>
        <w:autoSpaceDE/>
        <w:bidi w:val="0"/>
        <w:adjustRightInd w:val="0"/>
        <w:snapToGrid w:val="0"/>
        <w:spacing w:line="578" w:lineRule="exact"/>
        <w:ind w:firstLine="640" w:firstLineChars="200"/>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eastAsia="仿宋_GB2312"/>
          <w:sz w:val="32"/>
          <w:szCs w:val="32"/>
        </w:rPr>
        <w:t>该项资金</w:t>
      </w:r>
      <w:r>
        <w:rPr>
          <w:rFonts w:hint="eastAsia" w:ascii="仿宋_GB2312" w:eastAsia="仿宋_GB2312"/>
          <w:sz w:val="32"/>
          <w:szCs w:val="32"/>
          <w:lang w:eastAsia="zh-CN"/>
        </w:rPr>
        <w:t>的</w:t>
      </w:r>
      <w:r>
        <w:rPr>
          <w:rFonts w:hint="eastAsia" w:ascii="仿宋_GB2312" w:eastAsia="仿宋_GB2312"/>
          <w:sz w:val="32"/>
          <w:szCs w:val="32"/>
        </w:rPr>
        <w:t>拨付经过相关申请和审批手续</w:t>
      </w:r>
      <w:r>
        <w:rPr>
          <w:rFonts w:hint="eastAsia" w:ascii="仿宋_GB2312" w:eastAsia="仿宋_GB2312"/>
          <w:sz w:val="32"/>
          <w:szCs w:val="32"/>
          <w:lang w:eastAsia="zh-CN"/>
        </w:rPr>
        <w:t>，确保合法有效。</w:t>
      </w:r>
    </w:p>
    <w:p>
      <w:pPr>
        <w:keepNext w:val="0"/>
        <w:keepLines w:val="0"/>
        <w:pageBreakBefore w:val="0"/>
        <w:widowControl w:val="0"/>
        <w:numPr>
          <w:ilvl w:val="0"/>
          <w:numId w:val="0"/>
        </w:numPr>
        <w:kinsoku/>
        <w:wordWrap/>
        <w:overflowPunct/>
        <w:topLinePunct w:val="0"/>
        <w:autoSpaceDE/>
        <w:bidi w:val="0"/>
        <w:spacing w:line="578" w:lineRule="exact"/>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项目质量达标率100%。</w:t>
      </w:r>
    </w:p>
    <w:p>
      <w:pPr>
        <w:keepNext w:val="0"/>
        <w:keepLines w:val="0"/>
        <w:pageBreakBefore w:val="0"/>
        <w:widowControl w:val="0"/>
        <w:numPr>
          <w:ilvl w:val="0"/>
          <w:numId w:val="0"/>
        </w:numPr>
        <w:kinsoku/>
        <w:wordWrap/>
        <w:overflowPunct/>
        <w:topLinePunct w:val="0"/>
        <w:autoSpaceDE/>
        <w:bidi w:val="0"/>
        <w:spacing w:line="578" w:lineRule="exact"/>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黑体" w:hAnsi="黑体" w:eastAsia="黑体"/>
          <w:b w:val="0"/>
          <w:bCs w:val="0"/>
          <w:sz w:val="32"/>
          <w:szCs w:val="32"/>
          <w:lang w:val="en-US" w:eastAsia="zh-CN"/>
        </w:rPr>
      </w:pPr>
      <w:r>
        <w:rPr>
          <w:rFonts w:hint="eastAsia" w:ascii="仿宋_GB2312" w:eastAsia="仿宋_GB2312"/>
          <w:sz w:val="32"/>
          <w:szCs w:val="32"/>
          <w:lang w:eastAsia="zh-CN"/>
        </w:rPr>
        <w:t>未发生生产安全事故，对安全执法检查中发现的安全隐患及时整改，有效遏制事故的发生。</w:t>
      </w:r>
    </w:p>
    <w:p>
      <w:pPr>
        <w:keepNext w:val="0"/>
        <w:keepLines w:val="0"/>
        <w:pageBreakBefore w:val="0"/>
        <w:widowControl w:val="0"/>
        <w:numPr>
          <w:ilvl w:val="0"/>
          <w:numId w:val="0"/>
        </w:numPr>
        <w:kinsoku/>
        <w:wordWrap/>
        <w:overflowPunct/>
        <w:topLinePunct w:val="0"/>
        <w:autoSpaceDE/>
        <w:bidi w:val="0"/>
        <w:spacing w:line="578" w:lineRule="exact"/>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根据项目执行情况和项目绩效情况，项目综合绩效评价等级</w:t>
      </w:r>
      <w:r>
        <w:rPr>
          <w:rFonts w:hint="eastAsia" w:ascii="仿宋_GB2312" w:eastAsia="仿宋_GB2312"/>
          <w:sz w:val="32"/>
          <w:szCs w:val="32"/>
        </w:rPr>
        <w:t>为优秀。</w:t>
      </w: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石家庄市鹿泉区应急管理局    </w:t>
      </w:r>
    </w:p>
    <w:p>
      <w:pPr>
        <w:numPr>
          <w:ilvl w:val="0"/>
          <w:numId w:val="0"/>
        </w:numPr>
        <w:wordWrap w:val="0"/>
        <w:ind w:firstLine="640" w:firstLineChars="200"/>
        <w:jc w:val="right"/>
      </w:pPr>
      <w:r>
        <w:rPr>
          <w:rFonts w:hint="eastAsia" w:ascii="仿宋_GB2312" w:eastAsia="仿宋_GB2312"/>
          <w:b w:val="0"/>
          <w:bCs w:val="0"/>
          <w:sz w:val="32"/>
          <w:szCs w:val="32"/>
          <w:lang w:val="en-US" w:eastAsia="zh-CN"/>
        </w:rPr>
        <w:t xml:space="preserve">2020年1月      </w:t>
      </w:r>
    </w:p>
    <w:sectPr>
      <w:footerReference r:id="rId5" w:type="first"/>
      <w:footerReference r:id="rId3" w:type="default"/>
      <w:footerReference r:id="rId4" w:type="even"/>
      <w:pgSz w:w="11906" w:h="16838"/>
      <w:pgMar w:top="2098" w:right="1474" w:bottom="1984" w:left="1587"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A2941B7"/>
    <w:rsid w:val="30657F9E"/>
    <w:rsid w:val="39E838A2"/>
    <w:rsid w:val="44F004F2"/>
    <w:rsid w:val="4645627D"/>
    <w:rsid w:val="4FC60946"/>
    <w:rsid w:val="60053C3C"/>
    <w:rsid w:val="69BC7485"/>
    <w:rsid w:val="6CBF4534"/>
    <w:rsid w:val="73216D8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2020-01-07T09:41:00Z</cp:lastPrinted>
  <dcterms:modified xsi:type="dcterms:W3CDTF">2020-01-08T07:20:33Z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