
<file path=[Content_Types].xml><?xml version="1.0" encoding="utf-8"?>
<Types xmlns="http://schemas.openxmlformats.org/package/2006/content-types">
  <Default Extension="xml" ContentType="application/xml"/>
  <Default Extension="xlsx" ContentType="application/vnd.openxmlformats-officedocument.spreadsheetml.sheet"/>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ind w:firstLine="883"/>
        <w:jc w:val="center"/>
        <w:rPr>
          <w:rFonts w:ascii="宋体" w:hAnsi="宋体" w:eastAsia="宋体"/>
          <w:b/>
          <w:sz w:val="44"/>
          <w:szCs w:val="44"/>
        </w:rPr>
      </w:pPr>
    </w:p>
    <w:p>
      <w:pPr>
        <w:ind w:firstLine="0" w:firstLineChars="0"/>
        <w:rPr>
          <w:rFonts w:ascii="宋体" w:hAnsi="宋体" w:eastAsia="宋体"/>
          <w:b/>
          <w:sz w:val="72"/>
          <w:szCs w:val="72"/>
        </w:rPr>
      </w:pPr>
    </w:p>
    <w:p>
      <w:pPr>
        <w:ind w:firstLine="0" w:firstLineChars="0"/>
        <w:rPr>
          <w:rFonts w:ascii="宋体" w:hAnsi="宋体" w:eastAsia="宋体"/>
          <w:b/>
          <w:sz w:val="72"/>
          <w:szCs w:val="72"/>
        </w:rPr>
      </w:pPr>
    </w:p>
    <w:p>
      <w:pPr>
        <w:widowControl/>
        <w:spacing w:line="580" w:lineRule="atLeast"/>
        <w:ind w:firstLine="880"/>
        <w:jc w:val="center"/>
        <w:rPr>
          <w:rFonts w:ascii="宋体" w:hAnsi="宋体" w:cs="宋体"/>
          <w:b/>
          <w:kern w:val="0"/>
          <w:sz w:val="44"/>
          <w:szCs w:val="44"/>
        </w:rPr>
      </w:pPr>
      <w:r>
        <w:rPr>
          <w:rFonts w:hint="eastAsia" w:ascii="宋体" w:hAnsi="宋体" w:cs="宋体"/>
          <w:b/>
          <w:kern w:val="0"/>
          <w:sz w:val="44"/>
          <w:szCs w:val="44"/>
        </w:rPr>
        <w:t>2017年度石家庄市鹿泉区区级部门决算</w:t>
      </w:r>
    </w:p>
    <w:p>
      <w:pPr>
        <w:widowControl/>
        <w:spacing w:line="580" w:lineRule="atLeast"/>
        <w:ind w:firstLine="880"/>
        <w:jc w:val="center"/>
        <w:rPr>
          <w:rFonts w:ascii="宋体" w:hAnsi="宋体" w:cs="宋体"/>
          <w:b/>
          <w:kern w:val="0"/>
          <w:sz w:val="44"/>
          <w:szCs w:val="44"/>
        </w:rPr>
      </w:pPr>
      <w:r>
        <w:rPr>
          <w:rFonts w:hint="eastAsia" w:ascii="宋体" w:hAnsi="宋体" w:cs="宋体"/>
          <w:b/>
          <w:kern w:val="0"/>
          <w:sz w:val="44"/>
          <w:szCs w:val="44"/>
        </w:rPr>
        <w:t>公开情况说明</w:t>
      </w:r>
    </w:p>
    <w:p>
      <w:pPr>
        <w:widowControl/>
        <w:spacing w:line="580" w:lineRule="atLeast"/>
        <w:ind w:firstLine="880"/>
        <w:jc w:val="center"/>
        <w:rPr>
          <w:rFonts w:ascii="宋体" w:hAnsi="宋体" w:cs="宋体"/>
          <w:b/>
          <w:kern w:val="0"/>
          <w:sz w:val="44"/>
          <w:szCs w:val="44"/>
        </w:rPr>
      </w:pPr>
    </w:p>
    <w:p>
      <w:pPr>
        <w:widowControl/>
        <w:spacing w:line="580" w:lineRule="atLeast"/>
        <w:ind w:firstLine="880"/>
        <w:jc w:val="center"/>
        <w:rPr>
          <w:rFonts w:ascii="宋体" w:hAnsi="宋体" w:cs="宋体"/>
          <w:b/>
          <w:kern w:val="0"/>
          <w:sz w:val="44"/>
          <w:szCs w:val="44"/>
        </w:rPr>
      </w:pPr>
    </w:p>
    <w:p>
      <w:pPr>
        <w:widowControl/>
        <w:spacing w:line="580" w:lineRule="atLeast"/>
        <w:ind w:firstLine="880"/>
        <w:jc w:val="center"/>
        <w:rPr>
          <w:rFonts w:ascii="宋体" w:hAnsi="宋体" w:cs="宋体"/>
          <w:b/>
          <w:kern w:val="0"/>
          <w:sz w:val="44"/>
          <w:szCs w:val="44"/>
        </w:rPr>
      </w:pPr>
    </w:p>
    <w:p>
      <w:pPr>
        <w:widowControl/>
        <w:spacing w:line="580" w:lineRule="atLeast"/>
        <w:ind w:firstLine="880"/>
        <w:jc w:val="center"/>
        <w:rPr>
          <w:rFonts w:ascii="宋体" w:hAnsi="宋体" w:cs="宋体"/>
          <w:b/>
          <w:kern w:val="0"/>
          <w:sz w:val="44"/>
          <w:szCs w:val="44"/>
        </w:rPr>
      </w:pPr>
    </w:p>
    <w:p>
      <w:pPr>
        <w:widowControl/>
        <w:spacing w:line="580" w:lineRule="atLeast"/>
        <w:ind w:firstLine="880"/>
        <w:jc w:val="center"/>
        <w:rPr>
          <w:rFonts w:ascii="宋体" w:hAnsi="宋体" w:cs="宋体"/>
          <w:b/>
          <w:kern w:val="0"/>
          <w:sz w:val="44"/>
          <w:szCs w:val="44"/>
        </w:rPr>
      </w:pPr>
    </w:p>
    <w:p>
      <w:pPr>
        <w:widowControl/>
        <w:spacing w:line="580" w:lineRule="atLeast"/>
        <w:ind w:firstLine="880"/>
        <w:jc w:val="center"/>
        <w:rPr>
          <w:rFonts w:ascii="宋体" w:hAnsi="宋体" w:cs="宋体"/>
          <w:b/>
          <w:kern w:val="0"/>
          <w:sz w:val="44"/>
          <w:szCs w:val="44"/>
        </w:rPr>
      </w:pPr>
    </w:p>
    <w:p>
      <w:pPr>
        <w:widowControl/>
        <w:spacing w:line="580" w:lineRule="atLeast"/>
        <w:ind w:firstLine="880"/>
        <w:jc w:val="center"/>
        <w:rPr>
          <w:rFonts w:ascii="宋体" w:hAnsi="宋体" w:cs="宋体"/>
          <w:b/>
          <w:kern w:val="0"/>
          <w:sz w:val="44"/>
          <w:szCs w:val="44"/>
        </w:rPr>
      </w:pPr>
    </w:p>
    <w:p>
      <w:pPr>
        <w:widowControl/>
        <w:spacing w:line="580" w:lineRule="atLeast"/>
        <w:ind w:firstLine="880"/>
        <w:jc w:val="center"/>
        <w:rPr>
          <w:rFonts w:ascii="宋体" w:hAnsi="宋体" w:cs="宋体"/>
          <w:b/>
          <w:kern w:val="0"/>
          <w:sz w:val="44"/>
          <w:szCs w:val="44"/>
        </w:rPr>
      </w:pPr>
    </w:p>
    <w:p>
      <w:pPr>
        <w:widowControl/>
        <w:spacing w:line="580" w:lineRule="atLeast"/>
        <w:ind w:firstLine="880"/>
        <w:jc w:val="center"/>
        <w:rPr>
          <w:rFonts w:ascii="宋体" w:hAnsi="宋体" w:cs="宋体"/>
          <w:b/>
          <w:kern w:val="0"/>
          <w:sz w:val="44"/>
          <w:szCs w:val="44"/>
        </w:rPr>
      </w:pPr>
    </w:p>
    <w:p>
      <w:pPr>
        <w:widowControl/>
        <w:spacing w:line="580" w:lineRule="atLeast"/>
        <w:ind w:firstLine="640"/>
        <w:rPr>
          <w:rFonts w:ascii="宋体" w:hAnsi="宋体" w:cs="宋体"/>
          <w:b/>
          <w:kern w:val="0"/>
          <w:sz w:val="28"/>
          <w:szCs w:val="28"/>
        </w:rPr>
      </w:pPr>
      <w:r>
        <w:rPr>
          <w:rFonts w:ascii="宋体" w:hAnsi="宋体"/>
        </w:rPr>
        <w:t xml:space="preserve"> </w:t>
      </w:r>
    </w:p>
    <w:p>
      <w:pPr>
        <w:ind w:firstLine="643"/>
        <w:jc w:val="center"/>
        <w:rPr>
          <w:rFonts w:ascii="方正楷体_GBK"/>
          <w:b/>
        </w:rPr>
      </w:pPr>
      <w:r>
        <w:rPr>
          <w:rFonts w:hint="eastAsia" w:ascii="方正楷体_GBK" w:eastAsia="方正楷体_GBK"/>
          <w:b/>
        </w:rPr>
        <w:t>石家庄市鹿泉区质量技术监督局</w:t>
      </w:r>
    </w:p>
    <w:p>
      <w:pPr>
        <w:ind w:firstLine="643"/>
        <w:jc w:val="center"/>
        <w:rPr>
          <w:rFonts w:ascii="宋体" w:hAnsi="宋体" w:eastAsia="宋体"/>
          <w:b/>
          <w:szCs w:val="32"/>
        </w:rPr>
      </w:pPr>
      <w:r>
        <w:rPr>
          <w:rFonts w:hint="eastAsia" w:ascii="宋体" w:hAnsi="宋体" w:eastAsia="宋体"/>
          <w:b/>
          <w:szCs w:val="32"/>
        </w:rPr>
        <w:t>2018年9月3日</w:t>
      </w:r>
    </w:p>
    <w:p>
      <w:pPr>
        <w:ind w:firstLine="640"/>
        <w:jc w:val="center"/>
        <w:rPr>
          <w:rFonts w:ascii="宋体" w:hAnsi="宋体" w:eastAsia="宋体"/>
          <w:szCs w:val="32"/>
        </w:rPr>
      </w:pPr>
    </w:p>
    <w:p>
      <w:pPr>
        <w:ind w:firstLine="640"/>
        <w:jc w:val="center"/>
        <w:rPr>
          <w:rFonts w:ascii="宋体" w:hAnsi="宋体" w:eastAsia="宋体"/>
          <w:szCs w:val="32"/>
        </w:rPr>
      </w:pPr>
    </w:p>
    <w:p>
      <w:pPr>
        <w:ind w:firstLine="640"/>
        <w:jc w:val="center"/>
        <w:rPr>
          <w:rFonts w:ascii="宋体" w:hAnsi="宋体" w:eastAsia="宋体"/>
          <w:szCs w:val="32"/>
        </w:rPr>
      </w:pPr>
    </w:p>
    <w:p>
      <w:pPr>
        <w:ind w:firstLine="640"/>
        <w:jc w:val="center"/>
        <w:rPr>
          <w:rFonts w:ascii="宋体" w:hAnsi="宋体" w:eastAsia="宋体"/>
          <w:szCs w:val="32"/>
        </w:rPr>
      </w:pPr>
    </w:p>
    <w:p>
      <w:pPr>
        <w:ind w:firstLine="880"/>
        <w:jc w:val="center"/>
        <w:rPr>
          <w:rFonts w:ascii="方正小标宋_GBK" w:eastAsia="方正小标宋_GBK"/>
          <w:sz w:val="44"/>
          <w:szCs w:val="44"/>
        </w:rPr>
      </w:pPr>
    </w:p>
    <w:p>
      <w:pPr>
        <w:pStyle w:val="5"/>
        <w:shd w:val="clear" w:color="auto" w:fill="FFFFFF"/>
        <w:spacing w:before="0" w:beforeAutospacing="0" w:after="0" w:afterAutospacing="0" w:line="384" w:lineRule="atLeast"/>
        <w:ind w:firstLine="660"/>
        <w:jc w:val="center"/>
        <w:rPr>
          <w:rFonts w:asciiTheme="majorEastAsia" w:hAnsiTheme="majorEastAsia" w:eastAsiaTheme="majorEastAsia"/>
          <w:b/>
          <w:sz w:val="44"/>
          <w:szCs w:val="44"/>
        </w:rPr>
      </w:pPr>
      <w:r>
        <w:rPr>
          <w:rFonts w:hint="eastAsia" w:asciiTheme="majorEastAsia" w:hAnsiTheme="majorEastAsia" w:eastAsiaTheme="majorEastAsia"/>
          <w:b/>
          <w:sz w:val="44"/>
          <w:szCs w:val="44"/>
        </w:rPr>
        <w:t>部门决算公开目录</w:t>
      </w:r>
    </w:p>
    <w:p>
      <w:pPr>
        <w:pStyle w:val="5"/>
        <w:shd w:val="clear" w:color="auto" w:fill="FFFFFF"/>
        <w:spacing w:before="0" w:beforeAutospacing="0" w:after="0" w:afterAutospacing="0" w:line="384" w:lineRule="atLeast"/>
        <w:ind w:firstLine="885"/>
        <w:rPr>
          <w:rFonts w:ascii="微软雅黑" w:hAnsi="微软雅黑" w:eastAsia="微软雅黑"/>
        </w:rPr>
      </w:pPr>
    </w:p>
    <w:p>
      <w:pPr>
        <w:pStyle w:val="5"/>
        <w:shd w:val="clear" w:color="auto" w:fill="FFFFFF"/>
        <w:spacing w:before="0" w:beforeAutospacing="0" w:after="0" w:afterAutospacing="0" w:line="384" w:lineRule="atLeast"/>
        <w:ind w:firstLine="640" w:firstLineChars="200"/>
        <w:rPr>
          <w:rFonts w:asciiTheme="majorEastAsia" w:hAnsiTheme="majorEastAsia" w:eastAsiaTheme="majorEastAsia"/>
          <w:b/>
          <w:sz w:val="32"/>
          <w:szCs w:val="32"/>
        </w:rPr>
      </w:pPr>
      <w:r>
        <w:rPr>
          <w:rFonts w:hint="eastAsia" w:asciiTheme="majorEastAsia" w:hAnsiTheme="majorEastAsia" w:eastAsiaTheme="majorEastAsia"/>
          <w:b/>
          <w:sz w:val="32"/>
          <w:szCs w:val="32"/>
        </w:rPr>
        <w:t>第一部分  本部门概况</w:t>
      </w:r>
    </w:p>
    <w:p>
      <w:pPr>
        <w:pStyle w:val="5"/>
        <w:shd w:val="clear" w:color="auto" w:fill="FFFFFF"/>
        <w:spacing w:before="0" w:beforeAutospacing="0" w:after="0" w:afterAutospacing="0" w:line="384" w:lineRule="atLeast"/>
        <w:ind w:firstLine="1280" w:firstLineChars="400"/>
        <w:rPr>
          <w:rFonts w:ascii="仿宋" w:hAnsi="仿宋" w:eastAsia="仿宋"/>
          <w:sz w:val="32"/>
          <w:szCs w:val="32"/>
        </w:rPr>
      </w:pPr>
      <w:r>
        <w:rPr>
          <w:rFonts w:hint="eastAsia" w:ascii="仿宋" w:hAnsi="仿宋" w:eastAsia="仿宋"/>
          <w:sz w:val="32"/>
          <w:szCs w:val="32"/>
        </w:rPr>
        <w:t>一、部门职责</w:t>
      </w:r>
    </w:p>
    <w:p>
      <w:pPr>
        <w:pStyle w:val="5"/>
        <w:shd w:val="clear" w:color="auto" w:fill="FFFFFF"/>
        <w:spacing w:before="0" w:beforeAutospacing="0" w:after="0" w:afterAutospacing="0" w:line="384" w:lineRule="atLeast"/>
        <w:ind w:firstLine="1280" w:firstLineChars="400"/>
        <w:rPr>
          <w:rFonts w:ascii="仿宋" w:hAnsi="仿宋" w:eastAsia="仿宋"/>
          <w:sz w:val="32"/>
          <w:szCs w:val="32"/>
        </w:rPr>
      </w:pPr>
      <w:r>
        <w:rPr>
          <w:rFonts w:hint="eastAsia" w:ascii="仿宋" w:hAnsi="仿宋" w:eastAsia="仿宋"/>
          <w:sz w:val="32"/>
          <w:szCs w:val="32"/>
        </w:rPr>
        <w:t>二、部门决算单位构成</w:t>
      </w:r>
    </w:p>
    <w:p>
      <w:pPr>
        <w:pStyle w:val="5"/>
        <w:shd w:val="clear" w:color="auto" w:fill="FFFFFF"/>
        <w:spacing w:before="0" w:beforeAutospacing="0" w:after="0" w:afterAutospacing="0" w:line="384" w:lineRule="atLeast"/>
        <w:ind w:firstLine="640" w:firstLineChars="200"/>
        <w:rPr>
          <w:rFonts w:asciiTheme="majorEastAsia" w:hAnsiTheme="majorEastAsia" w:eastAsiaTheme="majorEastAsia"/>
          <w:b/>
          <w:sz w:val="32"/>
          <w:szCs w:val="32"/>
        </w:rPr>
      </w:pPr>
      <w:r>
        <w:rPr>
          <w:rFonts w:hint="eastAsia" w:asciiTheme="majorEastAsia" w:hAnsiTheme="majorEastAsia" w:eastAsiaTheme="majorEastAsia"/>
          <w:b/>
          <w:sz w:val="32"/>
          <w:szCs w:val="32"/>
        </w:rPr>
        <w:t>第二部分  本部门2017年度部门决算报表</w:t>
      </w:r>
    </w:p>
    <w:p>
      <w:pPr>
        <w:pStyle w:val="5"/>
        <w:shd w:val="clear" w:color="auto" w:fill="FFFFFF"/>
        <w:spacing w:before="0" w:beforeAutospacing="0" w:after="0" w:afterAutospacing="0" w:line="384" w:lineRule="atLeast"/>
        <w:ind w:firstLine="1280" w:firstLineChars="400"/>
        <w:rPr>
          <w:rFonts w:ascii="仿宋" w:hAnsi="仿宋" w:eastAsia="仿宋"/>
          <w:sz w:val="32"/>
          <w:szCs w:val="32"/>
        </w:rPr>
      </w:pPr>
      <w:r>
        <w:rPr>
          <w:rFonts w:hint="eastAsia" w:ascii="仿宋" w:hAnsi="仿宋" w:eastAsia="仿宋"/>
          <w:sz w:val="32"/>
          <w:szCs w:val="32"/>
        </w:rPr>
        <w:t>一、收入支出决算总表</w:t>
      </w:r>
    </w:p>
    <w:p>
      <w:pPr>
        <w:pStyle w:val="5"/>
        <w:shd w:val="clear" w:color="auto" w:fill="FFFFFF"/>
        <w:spacing w:before="0" w:beforeAutospacing="0" w:after="0" w:afterAutospacing="0" w:line="384" w:lineRule="atLeast"/>
        <w:ind w:firstLine="1280" w:firstLineChars="400"/>
        <w:rPr>
          <w:rFonts w:ascii="仿宋" w:hAnsi="仿宋" w:eastAsia="仿宋"/>
          <w:sz w:val="32"/>
          <w:szCs w:val="32"/>
        </w:rPr>
      </w:pPr>
      <w:r>
        <w:rPr>
          <w:rFonts w:hint="eastAsia" w:ascii="仿宋" w:hAnsi="仿宋" w:eastAsia="仿宋"/>
          <w:sz w:val="32"/>
          <w:szCs w:val="32"/>
        </w:rPr>
        <w:t>二、收入决算表</w:t>
      </w:r>
    </w:p>
    <w:p>
      <w:pPr>
        <w:pStyle w:val="5"/>
        <w:shd w:val="clear" w:color="auto" w:fill="FFFFFF"/>
        <w:spacing w:before="0" w:beforeAutospacing="0" w:after="0" w:afterAutospacing="0" w:line="384" w:lineRule="atLeast"/>
        <w:ind w:firstLine="1280" w:firstLineChars="400"/>
        <w:rPr>
          <w:rFonts w:ascii="仿宋" w:hAnsi="仿宋" w:eastAsia="仿宋"/>
          <w:sz w:val="32"/>
          <w:szCs w:val="32"/>
        </w:rPr>
      </w:pPr>
      <w:r>
        <w:rPr>
          <w:rFonts w:hint="eastAsia" w:ascii="仿宋" w:hAnsi="仿宋" w:eastAsia="仿宋"/>
          <w:sz w:val="32"/>
          <w:szCs w:val="32"/>
        </w:rPr>
        <w:t>三、支出决算表</w:t>
      </w:r>
    </w:p>
    <w:p>
      <w:pPr>
        <w:pStyle w:val="5"/>
        <w:shd w:val="clear" w:color="auto" w:fill="FFFFFF"/>
        <w:spacing w:before="0" w:beforeAutospacing="0" w:after="0" w:afterAutospacing="0" w:line="384" w:lineRule="atLeast"/>
        <w:ind w:firstLine="1280" w:firstLineChars="400"/>
        <w:rPr>
          <w:rFonts w:ascii="仿宋" w:hAnsi="仿宋" w:eastAsia="仿宋"/>
          <w:sz w:val="32"/>
          <w:szCs w:val="32"/>
        </w:rPr>
      </w:pPr>
      <w:r>
        <w:rPr>
          <w:rFonts w:hint="eastAsia" w:ascii="仿宋" w:hAnsi="仿宋" w:eastAsia="仿宋"/>
          <w:sz w:val="32"/>
          <w:szCs w:val="32"/>
        </w:rPr>
        <w:t>四、财政拨款收入支出决算总表</w:t>
      </w:r>
    </w:p>
    <w:p>
      <w:pPr>
        <w:pStyle w:val="5"/>
        <w:shd w:val="clear" w:color="auto" w:fill="FFFFFF"/>
        <w:spacing w:before="0" w:beforeAutospacing="0" w:after="0" w:afterAutospacing="0" w:line="384" w:lineRule="atLeast"/>
        <w:ind w:firstLine="1280" w:firstLineChars="400"/>
        <w:rPr>
          <w:rFonts w:ascii="仿宋" w:hAnsi="仿宋" w:eastAsia="仿宋"/>
          <w:sz w:val="32"/>
          <w:szCs w:val="32"/>
        </w:rPr>
      </w:pPr>
      <w:r>
        <w:rPr>
          <w:rFonts w:hint="eastAsia" w:ascii="仿宋" w:hAnsi="仿宋" w:eastAsia="仿宋"/>
          <w:sz w:val="32"/>
          <w:szCs w:val="32"/>
        </w:rPr>
        <w:t>五、一般公共预算财政拨款支出决算表</w:t>
      </w:r>
    </w:p>
    <w:p>
      <w:pPr>
        <w:pStyle w:val="5"/>
        <w:shd w:val="clear" w:color="auto" w:fill="FFFFFF"/>
        <w:spacing w:before="0" w:beforeAutospacing="0" w:after="0" w:afterAutospacing="0" w:line="384" w:lineRule="atLeast"/>
        <w:ind w:firstLine="1280" w:firstLineChars="400"/>
        <w:rPr>
          <w:rFonts w:ascii="仿宋" w:hAnsi="仿宋" w:eastAsia="仿宋"/>
          <w:sz w:val="32"/>
          <w:szCs w:val="32"/>
        </w:rPr>
      </w:pPr>
      <w:r>
        <w:rPr>
          <w:rFonts w:hint="eastAsia" w:ascii="仿宋" w:hAnsi="仿宋" w:eastAsia="仿宋"/>
          <w:sz w:val="32"/>
          <w:szCs w:val="32"/>
        </w:rPr>
        <w:t>六、一般公共预算财政拨款基本支出决算经济分类表</w:t>
      </w:r>
    </w:p>
    <w:p>
      <w:pPr>
        <w:pStyle w:val="5"/>
        <w:shd w:val="clear" w:color="auto" w:fill="FFFFFF"/>
        <w:spacing w:before="0" w:beforeAutospacing="0" w:after="0" w:afterAutospacing="0" w:line="384" w:lineRule="atLeast"/>
        <w:ind w:firstLine="1280" w:firstLineChars="400"/>
        <w:rPr>
          <w:rFonts w:ascii="仿宋" w:hAnsi="仿宋" w:eastAsia="仿宋"/>
          <w:sz w:val="32"/>
          <w:szCs w:val="32"/>
        </w:rPr>
      </w:pPr>
      <w:r>
        <w:rPr>
          <w:rFonts w:hint="eastAsia" w:ascii="仿宋" w:hAnsi="仿宋" w:eastAsia="仿宋"/>
          <w:sz w:val="32"/>
          <w:szCs w:val="32"/>
        </w:rPr>
        <w:t>七、政府性基金预算财政拨款收入支出决算表</w:t>
      </w:r>
    </w:p>
    <w:p>
      <w:pPr>
        <w:pStyle w:val="5"/>
        <w:shd w:val="clear" w:color="auto" w:fill="FFFFFF"/>
        <w:spacing w:before="0" w:beforeAutospacing="0" w:after="0" w:afterAutospacing="0" w:line="384" w:lineRule="atLeast"/>
        <w:ind w:firstLine="1280" w:firstLineChars="400"/>
        <w:rPr>
          <w:rFonts w:ascii="仿宋" w:hAnsi="仿宋" w:eastAsia="仿宋"/>
          <w:sz w:val="32"/>
          <w:szCs w:val="32"/>
        </w:rPr>
      </w:pPr>
      <w:r>
        <w:rPr>
          <w:rFonts w:hint="eastAsia" w:ascii="仿宋" w:hAnsi="仿宋" w:eastAsia="仿宋"/>
          <w:sz w:val="32"/>
          <w:szCs w:val="32"/>
        </w:rPr>
        <w:t>八、国有资本经营预算财政拨款收入支出决算表</w:t>
      </w:r>
    </w:p>
    <w:p>
      <w:pPr>
        <w:pStyle w:val="5"/>
        <w:shd w:val="clear" w:color="auto" w:fill="FFFFFF"/>
        <w:spacing w:before="0" w:beforeAutospacing="0" w:after="0" w:afterAutospacing="0" w:line="384" w:lineRule="atLeast"/>
        <w:ind w:firstLine="1280" w:firstLineChars="400"/>
        <w:rPr>
          <w:rFonts w:ascii="仿宋" w:hAnsi="仿宋" w:eastAsia="仿宋"/>
          <w:sz w:val="32"/>
          <w:szCs w:val="32"/>
        </w:rPr>
      </w:pPr>
      <w:r>
        <w:rPr>
          <w:rFonts w:hint="eastAsia" w:ascii="仿宋" w:hAnsi="仿宋" w:eastAsia="仿宋"/>
          <w:sz w:val="32"/>
          <w:szCs w:val="32"/>
        </w:rPr>
        <w:t>九、“三公”经费等相关信息统计表</w:t>
      </w:r>
    </w:p>
    <w:p>
      <w:pPr>
        <w:pStyle w:val="5"/>
        <w:shd w:val="clear" w:color="auto" w:fill="FFFFFF"/>
        <w:spacing w:before="0" w:beforeAutospacing="0" w:after="0" w:afterAutospacing="0" w:line="384" w:lineRule="atLeast"/>
        <w:ind w:firstLine="1280" w:firstLineChars="400"/>
        <w:rPr>
          <w:rFonts w:ascii="仿宋" w:hAnsi="仿宋" w:eastAsia="仿宋"/>
          <w:sz w:val="32"/>
          <w:szCs w:val="32"/>
        </w:rPr>
      </w:pPr>
      <w:r>
        <w:rPr>
          <w:rFonts w:hint="eastAsia" w:ascii="仿宋" w:hAnsi="仿宋" w:eastAsia="仿宋"/>
          <w:sz w:val="32"/>
          <w:szCs w:val="32"/>
        </w:rPr>
        <w:t>十、政府采购情况表</w:t>
      </w:r>
    </w:p>
    <w:p>
      <w:pPr>
        <w:pStyle w:val="5"/>
        <w:shd w:val="clear" w:color="auto" w:fill="FFFFFF"/>
        <w:spacing w:before="0" w:beforeAutospacing="0" w:after="0" w:afterAutospacing="0" w:line="384" w:lineRule="atLeast"/>
        <w:ind w:firstLine="640" w:firstLineChars="200"/>
        <w:rPr>
          <w:rFonts w:asciiTheme="majorEastAsia" w:hAnsiTheme="majorEastAsia" w:eastAsiaTheme="majorEastAsia"/>
          <w:b/>
          <w:sz w:val="32"/>
          <w:szCs w:val="32"/>
        </w:rPr>
      </w:pPr>
      <w:r>
        <w:rPr>
          <w:rFonts w:hint="eastAsia" w:asciiTheme="majorEastAsia" w:hAnsiTheme="majorEastAsia" w:eastAsiaTheme="majorEastAsia"/>
          <w:b/>
          <w:sz w:val="32"/>
          <w:szCs w:val="32"/>
        </w:rPr>
        <w:t>第三部分  本部门2017年度部门决算情况说明</w:t>
      </w:r>
    </w:p>
    <w:p>
      <w:pPr>
        <w:pStyle w:val="5"/>
        <w:shd w:val="clear" w:color="auto" w:fill="FFFFFF"/>
        <w:spacing w:before="0" w:beforeAutospacing="0" w:after="0" w:afterAutospacing="0" w:line="384" w:lineRule="atLeast"/>
        <w:ind w:firstLine="1280" w:firstLineChars="400"/>
        <w:rPr>
          <w:rFonts w:ascii="仿宋" w:hAnsi="仿宋" w:eastAsia="仿宋"/>
          <w:b/>
          <w:sz w:val="32"/>
          <w:szCs w:val="32"/>
        </w:rPr>
      </w:pPr>
      <w:r>
        <w:rPr>
          <w:rFonts w:hint="eastAsia" w:ascii="仿宋" w:hAnsi="仿宋" w:eastAsia="仿宋"/>
          <w:sz w:val="32"/>
          <w:szCs w:val="32"/>
        </w:rPr>
        <w:t>一、收入支出决算总体情况说明</w:t>
      </w:r>
    </w:p>
    <w:p>
      <w:pPr>
        <w:pStyle w:val="5"/>
        <w:shd w:val="clear" w:color="auto" w:fill="FFFFFF"/>
        <w:spacing w:before="0" w:beforeAutospacing="0" w:after="0" w:afterAutospacing="0" w:line="384" w:lineRule="atLeast"/>
        <w:ind w:firstLine="1280" w:firstLineChars="400"/>
        <w:rPr>
          <w:rFonts w:ascii="仿宋" w:hAnsi="仿宋" w:eastAsia="仿宋"/>
          <w:sz w:val="32"/>
          <w:szCs w:val="32"/>
        </w:rPr>
      </w:pPr>
      <w:r>
        <w:rPr>
          <w:rFonts w:hint="eastAsia" w:ascii="仿宋" w:hAnsi="仿宋" w:eastAsia="仿宋"/>
          <w:sz w:val="32"/>
          <w:szCs w:val="32"/>
        </w:rPr>
        <w:t>二、收入决算情况说明</w:t>
      </w:r>
    </w:p>
    <w:p>
      <w:pPr>
        <w:pStyle w:val="5"/>
        <w:shd w:val="clear" w:color="auto" w:fill="FFFFFF"/>
        <w:spacing w:before="0" w:beforeAutospacing="0" w:after="0" w:afterAutospacing="0" w:line="384" w:lineRule="atLeast"/>
        <w:ind w:firstLine="1280" w:firstLineChars="400"/>
        <w:rPr>
          <w:rFonts w:ascii="仿宋" w:hAnsi="仿宋" w:eastAsia="仿宋"/>
          <w:sz w:val="32"/>
          <w:szCs w:val="32"/>
        </w:rPr>
      </w:pPr>
      <w:r>
        <w:rPr>
          <w:rFonts w:hint="eastAsia" w:ascii="仿宋" w:hAnsi="仿宋" w:eastAsia="仿宋"/>
          <w:sz w:val="32"/>
          <w:szCs w:val="32"/>
        </w:rPr>
        <w:t>三、支出决算情况说明</w:t>
      </w:r>
    </w:p>
    <w:p>
      <w:pPr>
        <w:pStyle w:val="5"/>
        <w:shd w:val="clear" w:color="auto" w:fill="FFFFFF"/>
        <w:spacing w:before="0" w:beforeAutospacing="0" w:after="0" w:afterAutospacing="0" w:line="384" w:lineRule="atLeast"/>
        <w:ind w:firstLine="1280" w:firstLineChars="400"/>
        <w:rPr>
          <w:rFonts w:ascii="仿宋" w:hAnsi="仿宋" w:eastAsia="仿宋"/>
          <w:sz w:val="32"/>
          <w:szCs w:val="32"/>
        </w:rPr>
      </w:pPr>
      <w:r>
        <w:rPr>
          <w:rFonts w:hint="eastAsia" w:ascii="仿宋" w:hAnsi="仿宋" w:eastAsia="仿宋"/>
          <w:sz w:val="32"/>
          <w:szCs w:val="32"/>
        </w:rPr>
        <w:t>四、财政拨款收入支出决算总体情况说明</w:t>
      </w:r>
    </w:p>
    <w:p>
      <w:pPr>
        <w:pStyle w:val="5"/>
        <w:shd w:val="clear" w:color="auto" w:fill="FFFFFF"/>
        <w:spacing w:before="0" w:beforeAutospacing="0" w:after="0" w:afterAutospacing="0" w:line="384" w:lineRule="atLeast"/>
        <w:ind w:firstLine="1280" w:firstLineChars="400"/>
        <w:rPr>
          <w:rFonts w:ascii="仿宋" w:hAnsi="仿宋" w:eastAsia="仿宋"/>
          <w:sz w:val="32"/>
          <w:szCs w:val="32"/>
        </w:rPr>
      </w:pPr>
      <w:r>
        <w:rPr>
          <w:rFonts w:hint="eastAsia" w:ascii="仿宋" w:hAnsi="仿宋" w:eastAsia="仿宋"/>
          <w:sz w:val="32"/>
          <w:szCs w:val="32"/>
        </w:rPr>
        <w:t>五、“三公”经费支出决算情况说明</w:t>
      </w:r>
    </w:p>
    <w:p>
      <w:pPr>
        <w:pStyle w:val="5"/>
        <w:shd w:val="clear" w:color="auto" w:fill="FFFFFF"/>
        <w:spacing w:before="0" w:beforeAutospacing="0" w:after="0" w:afterAutospacing="0" w:line="384" w:lineRule="atLeast"/>
        <w:ind w:firstLine="1280" w:firstLineChars="400"/>
        <w:rPr>
          <w:rFonts w:ascii="仿宋" w:hAnsi="仿宋" w:eastAsia="仿宋"/>
          <w:sz w:val="32"/>
          <w:szCs w:val="32"/>
        </w:rPr>
      </w:pPr>
      <w:r>
        <w:rPr>
          <w:rFonts w:hint="eastAsia" w:ascii="仿宋" w:hAnsi="仿宋" w:eastAsia="仿宋"/>
          <w:sz w:val="32"/>
          <w:szCs w:val="32"/>
        </w:rPr>
        <w:t>六、预算绩效管理工作开展情况说明</w:t>
      </w:r>
    </w:p>
    <w:p>
      <w:pPr>
        <w:pStyle w:val="5"/>
        <w:shd w:val="clear" w:color="auto" w:fill="FFFFFF"/>
        <w:spacing w:before="0" w:beforeAutospacing="0" w:after="0" w:afterAutospacing="0" w:line="384" w:lineRule="atLeast"/>
        <w:ind w:firstLine="1280" w:firstLineChars="400"/>
        <w:rPr>
          <w:rFonts w:ascii="仿宋" w:hAnsi="仿宋" w:eastAsia="仿宋"/>
          <w:sz w:val="32"/>
          <w:szCs w:val="32"/>
        </w:rPr>
      </w:pPr>
      <w:r>
        <w:rPr>
          <w:rFonts w:hint="eastAsia" w:ascii="仿宋" w:hAnsi="仿宋" w:eastAsia="仿宋"/>
          <w:sz w:val="32"/>
          <w:szCs w:val="32"/>
        </w:rPr>
        <w:t>七、其它重要事项的说明</w:t>
      </w:r>
    </w:p>
    <w:p>
      <w:pPr>
        <w:pStyle w:val="5"/>
        <w:shd w:val="clear" w:color="auto" w:fill="FFFFFF"/>
        <w:spacing w:before="0" w:beforeAutospacing="0" w:after="0" w:afterAutospacing="0" w:line="384" w:lineRule="atLeast"/>
        <w:ind w:firstLine="1920" w:firstLineChars="600"/>
        <w:rPr>
          <w:rFonts w:ascii="仿宋" w:hAnsi="仿宋" w:eastAsia="仿宋"/>
          <w:sz w:val="32"/>
          <w:szCs w:val="32"/>
        </w:rPr>
      </w:pPr>
      <w:r>
        <w:rPr>
          <w:rFonts w:hint="eastAsia" w:ascii="仿宋" w:hAnsi="仿宋" w:eastAsia="仿宋"/>
          <w:sz w:val="32"/>
          <w:szCs w:val="32"/>
        </w:rPr>
        <w:t>1、机关运行经费情况</w:t>
      </w:r>
    </w:p>
    <w:p>
      <w:pPr>
        <w:pStyle w:val="5"/>
        <w:shd w:val="clear" w:color="auto" w:fill="FFFFFF"/>
        <w:spacing w:before="0" w:beforeAutospacing="0" w:after="0" w:afterAutospacing="0" w:line="384" w:lineRule="atLeast"/>
        <w:ind w:firstLine="1920" w:firstLineChars="600"/>
        <w:rPr>
          <w:rFonts w:ascii="仿宋" w:hAnsi="仿宋" w:eastAsia="仿宋"/>
          <w:sz w:val="32"/>
          <w:szCs w:val="32"/>
        </w:rPr>
      </w:pPr>
      <w:r>
        <w:rPr>
          <w:rFonts w:hint="eastAsia" w:ascii="仿宋" w:hAnsi="仿宋" w:eastAsia="仿宋"/>
          <w:sz w:val="32"/>
          <w:szCs w:val="32"/>
        </w:rPr>
        <w:t>2、政府采购情况</w:t>
      </w:r>
    </w:p>
    <w:p>
      <w:pPr>
        <w:pStyle w:val="5"/>
        <w:shd w:val="clear" w:color="auto" w:fill="FFFFFF"/>
        <w:spacing w:before="0" w:beforeAutospacing="0" w:after="0" w:afterAutospacing="0" w:line="384" w:lineRule="atLeast"/>
        <w:ind w:firstLine="1920" w:firstLineChars="600"/>
        <w:rPr>
          <w:rFonts w:ascii="仿宋" w:hAnsi="仿宋" w:eastAsia="仿宋"/>
          <w:sz w:val="32"/>
          <w:szCs w:val="32"/>
        </w:rPr>
      </w:pPr>
      <w:r>
        <w:rPr>
          <w:rFonts w:hint="eastAsia" w:ascii="仿宋" w:hAnsi="仿宋" w:eastAsia="仿宋"/>
          <w:sz w:val="32"/>
          <w:szCs w:val="32"/>
        </w:rPr>
        <w:t>3、国有资产占用情况</w:t>
      </w:r>
    </w:p>
    <w:p>
      <w:pPr>
        <w:pStyle w:val="5"/>
        <w:shd w:val="clear" w:color="auto" w:fill="FFFFFF"/>
        <w:spacing w:before="0" w:beforeAutospacing="0" w:after="0" w:afterAutospacing="0" w:line="384" w:lineRule="atLeast"/>
        <w:ind w:firstLine="1920" w:firstLineChars="600"/>
        <w:rPr>
          <w:rFonts w:ascii="仿宋" w:hAnsi="仿宋" w:eastAsia="仿宋"/>
          <w:sz w:val="32"/>
          <w:szCs w:val="32"/>
        </w:rPr>
      </w:pPr>
      <w:r>
        <w:rPr>
          <w:rFonts w:hint="eastAsia" w:ascii="仿宋" w:hAnsi="仿宋" w:eastAsia="仿宋"/>
          <w:sz w:val="32"/>
          <w:szCs w:val="32"/>
        </w:rPr>
        <w:t>4、其它需要说明的情况</w:t>
      </w:r>
    </w:p>
    <w:p>
      <w:pPr>
        <w:pStyle w:val="5"/>
        <w:shd w:val="clear" w:color="auto" w:fill="FFFFFF"/>
        <w:spacing w:before="0" w:beforeAutospacing="0" w:after="0" w:afterAutospacing="0" w:line="384" w:lineRule="atLeast"/>
        <w:ind w:firstLine="640" w:firstLineChars="200"/>
        <w:rPr>
          <w:rFonts w:asciiTheme="majorEastAsia" w:hAnsiTheme="majorEastAsia" w:eastAsiaTheme="majorEastAsia"/>
          <w:b/>
          <w:sz w:val="32"/>
          <w:szCs w:val="32"/>
        </w:rPr>
      </w:pPr>
      <w:r>
        <w:rPr>
          <w:rFonts w:hint="eastAsia" w:asciiTheme="majorEastAsia" w:hAnsiTheme="majorEastAsia" w:eastAsiaTheme="majorEastAsia"/>
          <w:b/>
          <w:sz w:val="32"/>
          <w:szCs w:val="32"/>
        </w:rPr>
        <w:t>第四部分  名词解释</w:t>
      </w:r>
    </w:p>
    <w:p>
      <w:pPr>
        <w:pStyle w:val="5"/>
        <w:shd w:val="clear" w:color="auto" w:fill="FFFFFF"/>
        <w:spacing w:before="0" w:beforeAutospacing="0" w:after="0" w:afterAutospacing="0" w:line="384" w:lineRule="atLeast"/>
        <w:ind w:left="537" w:leftChars="168" w:firstLine="640" w:firstLineChars="200"/>
        <w:rPr>
          <w:rFonts w:ascii="仿宋" w:hAnsi="仿宋" w:eastAsia="仿宋"/>
          <w:sz w:val="32"/>
          <w:szCs w:val="32"/>
        </w:rPr>
      </w:pPr>
      <w:r>
        <w:rPr>
          <w:rFonts w:hint="eastAsia" w:ascii="仿宋" w:hAnsi="仿宋" w:eastAsia="仿宋"/>
          <w:sz w:val="32"/>
          <w:szCs w:val="32"/>
        </w:rPr>
        <w:t>对专业性较强的名词进行解释（比如：财政拨款收入、事业收入、基本支出、项目支出、“三公”经费支出、机关运行经费支出等）</w:t>
      </w:r>
    </w:p>
    <w:p>
      <w:pPr>
        <w:ind w:firstLine="880"/>
        <w:jc w:val="center"/>
        <w:rPr>
          <w:rFonts w:ascii="仿宋" w:hAnsi="仿宋" w:eastAsia="仿宋"/>
          <w:sz w:val="44"/>
          <w:szCs w:val="44"/>
        </w:rPr>
      </w:pPr>
    </w:p>
    <w:p>
      <w:pPr>
        <w:ind w:firstLine="880"/>
        <w:jc w:val="center"/>
        <w:rPr>
          <w:rFonts w:ascii="方正小标宋_GBK" w:eastAsia="方正小标宋_GBK"/>
          <w:sz w:val="44"/>
          <w:szCs w:val="44"/>
        </w:rPr>
      </w:pPr>
    </w:p>
    <w:p>
      <w:pPr>
        <w:ind w:firstLine="880"/>
        <w:jc w:val="center"/>
        <w:rPr>
          <w:rFonts w:ascii="方正小标宋_GBK" w:eastAsia="方正小标宋_GBK"/>
          <w:sz w:val="44"/>
          <w:szCs w:val="44"/>
        </w:rPr>
      </w:pPr>
    </w:p>
    <w:p>
      <w:pPr>
        <w:ind w:firstLine="880"/>
        <w:jc w:val="center"/>
        <w:rPr>
          <w:rFonts w:ascii="方正小标宋_GBK" w:eastAsia="方正小标宋_GBK"/>
          <w:sz w:val="44"/>
          <w:szCs w:val="44"/>
        </w:rPr>
      </w:pPr>
    </w:p>
    <w:p>
      <w:pPr>
        <w:ind w:firstLine="880"/>
        <w:jc w:val="center"/>
        <w:rPr>
          <w:rFonts w:ascii="方正小标宋_GBK" w:eastAsia="方正小标宋_GBK"/>
          <w:sz w:val="44"/>
          <w:szCs w:val="44"/>
        </w:rPr>
      </w:pPr>
    </w:p>
    <w:p>
      <w:pPr>
        <w:ind w:firstLine="880"/>
        <w:jc w:val="center"/>
        <w:rPr>
          <w:rFonts w:ascii="方正小标宋_GBK" w:eastAsia="方正小标宋_GBK"/>
          <w:sz w:val="44"/>
          <w:szCs w:val="44"/>
        </w:rPr>
      </w:pPr>
    </w:p>
    <w:p>
      <w:pPr>
        <w:ind w:firstLine="880"/>
        <w:jc w:val="center"/>
        <w:rPr>
          <w:rFonts w:ascii="方正小标宋_GBK" w:eastAsia="方正小标宋_GBK"/>
          <w:sz w:val="44"/>
          <w:szCs w:val="44"/>
        </w:rPr>
      </w:pPr>
    </w:p>
    <w:p>
      <w:pPr>
        <w:ind w:firstLine="880"/>
        <w:jc w:val="center"/>
        <w:rPr>
          <w:rFonts w:ascii="方正小标宋_GBK" w:eastAsia="方正小标宋_GBK"/>
          <w:sz w:val="44"/>
          <w:szCs w:val="44"/>
        </w:rPr>
      </w:pPr>
    </w:p>
    <w:p>
      <w:pPr>
        <w:ind w:firstLine="0" w:firstLineChars="0"/>
        <w:rPr>
          <w:rFonts w:ascii="方正小标宋_GBK" w:eastAsia="方正小标宋_GBK"/>
          <w:sz w:val="44"/>
          <w:szCs w:val="44"/>
        </w:rPr>
      </w:pPr>
    </w:p>
    <w:p>
      <w:pPr>
        <w:ind w:firstLine="0" w:firstLineChars="0"/>
        <w:rPr>
          <w:rFonts w:ascii="方正小标宋_GBK" w:eastAsia="方正小标宋_GBK"/>
          <w:sz w:val="44"/>
          <w:szCs w:val="44"/>
        </w:rPr>
      </w:pPr>
    </w:p>
    <w:p>
      <w:pPr>
        <w:ind w:firstLine="880"/>
        <w:jc w:val="center"/>
        <w:rPr>
          <w:rFonts w:ascii="方正小标宋_GBK" w:eastAsia="方正小标宋_GBK"/>
          <w:sz w:val="44"/>
          <w:szCs w:val="44"/>
        </w:rPr>
      </w:pPr>
    </w:p>
    <w:p>
      <w:pPr>
        <w:pStyle w:val="12"/>
        <w:widowControl/>
        <w:spacing w:line="580" w:lineRule="atLeast"/>
        <w:ind w:firstLine="0" w:firstLineChars="0"/>
        <w:jc w:val="center"/>
        <w:rPr>
          <w:rFonts w:ascii="宋体" w:hAnsi="宋体" w:cs="宋体"/>
          <w:b/>
          <w:kern w:val="0"/>
          <w:sz w:val="44"/>
          <w:szCs w:val="44"/>
        </w:rPr>
      </w:pPr>
      <w:r>
        <w:rPr>
          <w:rFonts w:hint="eastAsia" w:ascii="宋体" w:hAnsi="宋体" w:cs="宋体"/>
          <w:b/>
          <w:kern w:val="0"/>
          <w:sz w:val="44"/>
          <w:szCs w:val="44"/>
        </w:rPr>
        <w:t>第一部分  部门概况</w:t>
      </w:r>
    </w:p>
    <w:p>
      <w:pPr>
        <w:ind w:firstLine="0" w:firstLineChars="0"/>
        <w:rPr>
          <w:rFonts w:ascii="黑体" w:hAnsi="黑体" w:eastAsia="黑体"/>
          <w:szCs w:val="32"/>
        </w:rPr>
      </w:pPr>
    </w:p>
    <w:p>
      <w:pPr>
        <w:ind w:firstLine="313" w:firstLineChars="98"/>
        <w:rPr>
          <w:rFonts w:asciiTheme="majorEastAsia" w:hAnsiTheme="majorEastAsia" w:eastAsiaTheme="majorEastAsia"/>
          <w:b/>
          <w:szCs w:val="32"/>
        </w:rPr>
      </w:pPr>
      <w:r>
        <w:rPr>
          <w:rFonts w:hint="eastAsia" w:asciiTheme="majorEastAsia" w:hAnsiTheme="majorEastAsia" w:eastAsiaTheme="majorEastAsia"/>
          <w:b/>
          <w:szCs w:val="32"/>
        </w:rPr>
        <w:t>一、部门职责</w:t>
      </w:r>
    </w:p>
    <w:p>
      <w:pPr>
        <w:ind w:firstLine="480" w:firstLineChars="150"/>
        <w:rPr>
          <w:rFonts w:ascii="仿宋" w:hAnsi="仿宋" w:eastAsia="仿宋"/>
          <w:szCs w:val="32"/>
        </w:rPr>
      </w:pPr>
      <w:r>
        <w:rPr>
          <w:rFonts w:hint="eastAsia" w:ascii="仿宋" w:hAnsi="仿宋" w:eastAsia="仿宋"/>
          <w:szCs w:val="32"/>
        </w:rPr>
        <w:t>1、</w:t>
      </w:r>
      <w:r>
        <w:rPr>
          <w:rFonts w:hint="eastAsia" w:ascii="仿宋" w:hAnsi="仿宋" w:eastAsia="仿宋" w:cs="宋体"/>
          <w:szCs w:val="32"/>
        </w:rPr>
        <w:t>负责拟订提高本辖区质量水平的发展规划及政策措施并组织实施，负责与质量技术监督有关的技术规范工作。</w:t>
      </w:r>
    </w:p>
    <w:p>
      <w:pPr>
        <w:ind w:firstLine="480" w:firstLineChars="150"/>
        <w:rPr>
          <w:rFonts w:ascii="仿宋" w:hAnsi="仿宋" w:eastAsia="仿宋"/>
          <w:szCs w:val="32"/>
        </w:rPr>
      </w:pPr>
      <w:r>
        <w:rPr>
          <w:rFonts w:hint="eastAsia" w:ascii="仿宋" w:hAnsi="仿宋" w:eastAsia="仿宋"/>
          <w:szCs w:val="32"/>
        </w:rPr>
        <w:t>2、</w:t>
      </w:r>
      <w:r>
        <w:rPr>
          <w:rFonts w:hint="eastAsia" w:ascii="仿宋" w:hAnsi="仿宋" w:eastAsia="仿宋" w:cs="宋体"/>
          <w:szCs w:val="32"/>
        </w:rPr>
        <w:t>负责辖区内质量宏观管理工作，拟订并组织实施当地质量发展规划，推进名牌发展战略，承担本辖区产品质量诚信体系建设工作，会同有关部门组织实施重大工程设备质量监理制度</w:t>
      </w:r>
      <w:r>
        <w:rPr>
          <w:rFonts w:hint="eastAsia" w:ascii="仿宋" w:hAnsi="仿宋" w:eastAsia="仿宋"/>
          <w:szCs w:val="32"/>
        </w:rPr>
        <w:t xml:space="preserve">, </w:t>
      </w:r>
      <w:r>
        <w:rPr>
          <w:rFonts w:hint="eastAsia" w:ascii="仿宋" w:hAnsi="仿宋" w:eastAsia="仿宋" w:cs="宋体"/>
          <w:szCs w:val="32"/>
        </w:rPr>
        <w:t>组织重大产品质量事故调查，实施缺陷产品和不安全产品召回制度，监督管理产品防伪工作。</w:t>
      </w:r>
    </w:p>
    <w:p>
      <w:pPr>
        <w:ind w:firstLine="480" w:firstLineChars="150"/>
        <w:rPr>
          <w:rFonts w:ascii="仿宋" w:hAnsi="仿宋" w:eastAsia="仿宋"/>
          <w:szCs w:val="32"/>
        </w:rPr>
      </w:pPr>
      <w:r>
        <w:rPr>
          <w:rFonts w:hint="eastAsia" w:ascii="仿宋" w:hAnsi="仿宋" w:eastAsia="仿宋"/>
          <w:szCs w:val="32"/>
        </w:rPr>
        <w:t>3、</w:t>
      </w:r>
      <w:r>
        <w:rPr>
          <w:rFonts w:hint="eastAsia" w:ascii="仿宋" w:hAnsi="仿宋" w:eastAsia="仿宋" w:cs="宋体"/>
          <w:szCs w:val="32"/>
        </w:rPr>
        <w:t>负责本辖区产品质量监督工作，组织开展辖区内产品质量安全强制检验、监督抽查等工作，负责辖区内工业产品生产许可证管理工作，监督管理产品质量仲裁检验、鉴定，组织开展生产领域产品质量安全专项整治工作，依法查处产品质量违法行为，按分工打击假冒伪劣违法活动，组织协调辖区内有关专项打假活动。</w:t>
      </w:r>
    </w:p>
    <w:p>
      <w:pPr>
        <w:ind w:firstLine="480" w:firstLineChars="150"/>
        <w:rPr>
          <w:rFonts w:ascii="仿宋" w:hAnsi="仿宋" w:eastAsia="仿宋"/>
          <w:szCs w:val="32"/>
        </w:rPr>
      </w:pPr>
      <w:r>
        <w:rPr>
          <w:rFonts w:hint="eastAsia" w:ascii="仿宋" w:hAnsi="仿宋" w:eastAsia="仿宋"/>
          <w:szCs w:val="32"/>
        </w:rPr>
        <w:t>4、</w:t>
      </w:r>
      <w:r>
        <w:rPr>
          <w:rFonts w:hint="eastAsia" w:ascii="仿宋" w:hAnsi="仿宋" w:eastAsia="仿宋" w:cs="宋体"/>
          <w:szCs w:val="32"/>
        </w:rPr>
        <w:t>统一监督管理本辖区标准化工作，贯彻有关标准化工作的法律、法规、方针、政策，并制定本辖区的具体实施办法；制定本辖区标准化工作的规划、计划；指导本辖区有关行政主管部门的标准化工作；组织制定有关地方标准；在本辖区内组织实施标准，并进行监督；管理企业产品标准备案，监督企业按标准组织生产；管理辖区内组织机构代码和商品条码工作。</w:t>
      </w:r>
    </w:p>
    <w:p>
      <w:pPr>
        <w:ind w:firstLine="480" w:firstLineChars="150"/>
        <w:rPr>
          <w:rFonts w:ascii="仿宋" w:hAnsi="仿宋" w:eastAsia="仿宋"/>
          <w:szCs w:val="32"/>
        </w:rPr>
      </w:pPr>
      <w:r>
        <w:rPr>
          <w:rFonts w:hint="eastAsia" w:ascii="仿宋" w:hAnsi="仿宋" w:eastAsia="仿宋"/>
          <w:szCs w:val="32"/>
        </w:rPr>
        <w:t>5、</w:t>
      </w:r>
      <w:r>
        <w:rPr>
          <w:rFonts w:hint="eastAsia" w:ascii="仿宋" w:hAnsi="仿宋" w:eastAsia="仿宋" w:cs="宋体"/>
          <w:szCs w:val="32"/>
        </w:rPr>
        <w:t>负责统一管理本辖区计量工作，推行法定计量单位和</w:t>
      </w:r>
      <w:r>
        <w:rPr>
          <w:rFonts w:hint="eastAsia" w:ascii="仿宋" w:hAnsi="仿宋" w:eastAsia="仿宋"/>
          <w:szCs w:val="32"/>
        </w:rPr>
        <w:t xml:space="preserve"> </w:t>
      </w:r>
      <w:r>
        <w:rPr>
          <w:rFonts w:hint="eastAsia" w:ascii="仿宋" w:hAnsi="仿宋" w:eastAsia="仿宋" w:cs="宋体"/>
          <w:szCs w:val="32"/>
        </w:rPr>
        <w:t>国家计量制度，建立和管理社会公用计量标准，依法管理计量器具，组织本地量值传递和比对工作，监督管理商品量、市场计量行为和计量仲裁检定。</w:t>
      </w:r>
    </w:p>
    <w:p>
      <w:pPr>
        <w:ind w:firstLine="480" w:firstLineChars="150"/>
        <w:rPr>
          <w:rFonts w:ascii="仿宋" w:hAnsi="仿宋" w:eastAsia="仿宋"/>
          <w:szCs w:val="32"/>
        </w:rPr>
      </w:pPr>
      <w:r>
        <w:rPr>
          <w:rFonts w:hint="eastAsia" w:ascii="仿宋" w:hAnsi="仿宋" w:eastAsia="仿宋"/>
          <w:szCs w:val="32"/>
        </w:rPr>
        <w:t>6、</w:t>
      </w:r>
      <w:r>
        <w:rPr>
          <w:rFonts w:hint="eastAsia" w:ascii="仿宋" w:hAnsi="仿宋" w:eastAsia="仿宋" w:cs="宋体"/>
          <w:szCs w:val="32"/>
        </w:rPr>
        <w:t>负责统一监督管理和协调本辖区认证认可工作，依法对辖区内实验室和检查机构进行监督管理，对认证认可相关的社会中介服务机构进行监督管理，协调和监督强制性认证和自愿性认证工作，引导企业按国际惯例进行各种认证。</w:t>
      </w:r>
    </w:p>
    <w:p>
      <w:pPr>
        <w:ind w:firstLine="480" w:firstLineChars="150"/>
        <w:rPr>
          <w:rFonts w:ascii="仿宋" w:hAnsi="仿宋" w:eastAsia="仿宋"/>
          <w:szCs w:val="32"/>
        </w:rPr>
      </w:pPr>
      <w:r>
        <w:rPr>
          <w:rFonts w:hint="eastAsia" w:ascii="仿宋" w:hAnsi="仿宋" w:eastAsia="仿宋"/>
          <w:szCs w:val="32"/>
        </w:rPr>
        <w:t>7、</w:t>
      </w:r>
      <w:r>
        <w:rPr>
          <w:rFonts w:hint="eastAsia" w:ascii="仿宋" w:hAnsi="仿宋" w:eastAsia="仿宋" w:cs="宋体"/>
          <w:szCs w:val="32"/>
        </w:rPr>
        <w:t>承担综合管理本辖区特种设备安全监察、监督工作的责任，监督检查高耗能特种设备节能标准的执行情况。</w:t>
      </w:r>
    </w:p>
    <w:p>
      <w:pPr>
        <w:ind w:firstLine="480" w:firstLineChars="150"/>
        <w:rPr>
          <w:rFonts w:ascii="仿宋" w:hAnsi="仿宋" w:eastAsia="仿宋" w:cs="宋体"/>
          <w:szCs w:val="32"/>
        </w:rPr>
      </w:pPr>
      <w:r>
        <w:rPr>
          <w:rFonts w:hint="eastAsia" w:ascii="仿宋" w:hAnsi="仿宋" w:eastAsia="仿宋"/>
          <w:szCs w:val="32"/>
        </w:rPr>
        <w:t>8、</w:t>
      </w:r>
      <w:r>
        <w:rPr>
          <w:rFonts w:hint="eastAsia" w:ascii="仿宋" w:hAnsi="仿宋" w:eastAsia="仿宋" w:cs="宋体"/>
          <w:szCs w:val="32"/>
        </w:rPr>
        <w:t>制定并组织实施本辖区质量技术监督事业发展、科技发展和技术机构建设规划，组织有关科研和技术引进工作。</w:t>
      </w:r>
    </w:p>
    <w:p>
      <w:pPr>
        <w:ind w:firstLine="480" w:firstLineChars="150"/>
        <w:rPr>
          <w:rFonts w:ascii="仿宋" w:hAnsi="仿宋" w:eastAsia="仿宋" w:cs="宋体"/>
          <w:szCs w:val="32"/>
        </w:rPr>
      </w:pPr>
      <w:r>
        <w:rPr>
          <w:rFonts w:hint="eastAsia" w:ascii="仿宋" w:hAnsi="仿宋" w:eastAsia="仿宋" w:cs="宋体"/>
          <w:szCs w:val="32"/>
        </w:rPr>
        <w:t>9、负责食品相关产品生产加工环节的质量安全监督管理工作。</w:t>
      </w:r>
    </w:p>
    <w:p>
      <w:pPr>
        <w:ind w:firstLine="480" w:firstLineChars="150"/>
        <w:rPr>
          <w:rFonts w:ascii="仿宋" w:hAnsi="仿宋" w:eastAsia="仿宋"/>
          <w:szCs w:val="32"/>
        </w:rPr>
      </w:pPr>
      <w:r>
        <w:rPr>
          <w:rFonts w:hint="eastAsia" w:ascii="仿宋" w:hAnsi="仿宋" w:eastAsia="仿宋"/>
          <w:szCs w:val="32"/>
        </w:rPr>
        <w:t>10、</w:t>
      </w:r>
      <w:r>
        <w:rPr>
          <w:rFonts w:hint="eastAsia" w:ascii="仿宋" w:hAnsi="仿宋" w:eastAsia="仿宋" w:cs="宋体"/>
          <w:szCs w:val="32"/>
        </w:rPr>
        <w:t>承办鹿泉区政府和省市质量技术监督局交办的其他事项。</w:t>
      </w:r>
    </w:p>
    <w:p>
      <w:pPr>
        <w:pStyle w:val="5"/>
        <w:shd w:val="clear" w:color="auto" w:fill="FFFFFF"/>
        <w:spacing w:before="0" w:beforeAutospacing="0" w:after="0" w:afterAutospacing="0" w:line="384" w:lineRule="atLeast"/>
        <w:ind w:firstLine="402"/>
        <w:rPr>
          <w:rFonts w:asciiTheme="majorEastAsia" w:hAnsiTheme="majorEastAsia" w:eastAsiaTheme="majorEastAsia"/>
          <w:b/>
          <w:sz w:val="32"/>
          <w:szCs w:val="32"/>
        </w:rPr>
      </w:pPr>
      <w:r>
        <w:rPr>
          <w:rFonts w:hint="eastAsia" w:asciiTheme="majorEastAsia" w:hAnsiTheme="majorEastAsia" w:eastAsiaTheme="majorEastAsia"/>
          <w:b/>
          <w:sz w:val="32"/>
          <w:szCs w:val="32"/>
        </w:rPr>
        <w:t>二、部门决算单位构成</w:t>
      </w:r>
    </w:p>
    <w:p>
      <w:pPr>
        <w:ind w:firstLine="640"/>
        <w:rPr>
          <w:rFonts w:ascii="仿宋" w:hAnsi="仿宋" w:eastAsia="仿宋"/>
          <w:szCs w:val="32"/>
        </w:rPr>
      </w:pPr>
      <w:r>
        <w:rPr>
          <w:rFonts w:hint="eastAsia" w:ascii="仿宋" w:hAnsi="仿宋" w:eastAsia="仿宋"/>
          <w:szCs w:val="32"/>
        </w:rPr>
        <w:t>2017年度，纳入本部门决算汇编范围的独立核算单位（以下简称“单位”）共1个，是石家庄市鹿泉区质量技术监督局，单位基本性质为行政机关单位，预算管理级次为一级预算单位，执行行政单位会计制度，较上年无增减变化。</w:t>
      </w:r>
    </w:p>
    <w:tbl>
      <w:tblPr>
        <w:tblStyle w:val="8"/>
        <w:tblW w:w="946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515"/>
        <w:gridCol w:w="900"/>
        <w:gridCol w:w="720"/>
        <w:gridCol w:w="900"/>
        <w:gridCol w:w="360"/>
        <w:gridCol w:w="540"/>
        <w:gridCol w:w="540"/>
        <w:gridCol w:w="360"/>
        <w:gridCol w:w="540"/>
        <w:gridCol w:w="720"/>
        <w:gridCol w:w="720"/>
        <w:gridCol w:w="1040"/>
        <w:gridCol w:w="595"/>
        <w:gridCol w:w="1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283" w:hRule="atLeast"/>
          <w:tblHeader/>
          <w:jc w:val="center"/>
        </w:trPr>
        <w:tc>
          <w:tcPr>
            <w:tcW w:w="1515" w:type="dxa"/>
            <w:vAlign w:val="center"/>
          </w:tcPr>
          <w:p>
            <w:pPr>
              <w:ind w:firstLine="361"/>
              <w:jc w:val="center"/>
              <w:rPr>
                <w:rFonts w:ascii="黑体" w:hAnsi="黑体" w:eastAsia="黑体"/>
                <w:b/>
                <w:sz w:val="18"/>
              </w:rPr>
            </w:pPr>
            <w:r>
              <w:rPr>
                <w:rFonts w:hint="eastAsia" w:ascii="黑体" w:hAnsi="黑体" w:eastAsia="黑体"/>
                <w:b/>
                <w:sz w:val="18"/>
              </w:rPr>
              <w:t>单位编码</w:t>
            </w:r>
          </w:p>
        </w:tc>
        <w:tc>
          <w:tcPr>
            <w:tcW w:w="2880" w:type="dxa"/>
            <w:gridSpan w:val="4"/>
            <w:tcBorders>
              <w:right w:val="single" w:color="auto" w:sz="4" w:space="0"/>
            </w:tcBorders>
            <w:vAlign w:val="center"/>
          </w:tcPr>
          <w:p>
            <w:pPr>
              <w:ind w:firstLine="711" w:firstLineChars="395"/>
              <w:rPr>
                <w:rFonts w:ascii="黑体" w:hAnsi="黑体" w:eastAsia="黑体"/>
                <w:b/>
                <w:sz w:val="18"/>
              </w:rPr>
            </w:pPr>
            <w:r>
              <w:rPr>
                <w:rFonts w:hint="eastAsia" w:ascii="黑体" w:hAnsi="黑体" w:eastAsia="黑体"/>
                <w:b/>
                <w:sz w:val="18"/>
              </w:rPr>
              <w:t>单位名称</w:t>
            </w:r>
          </w:p>
        </w:tc>
        <w:tc>
          <w:tcPr>
            <w:tcW w:w="1440" w:type="dxa"/>
            <w:gridSpan w:val="3"/>
            <w:tcBorders>
              <w:left w:val="single" w:color="auto" w:sz="4" w:space="0"/>
            </w:tcBorders>
            <w:vAlign w:val="center"/>
          </w:tcPr>
          <w:p>
            <w:pPr>
              <w:ind w:firstLine="361"/>
              <w:jc w:val="center"/>
              <w:rPr>
                <w:rFonts w:ascii="黑体" w:hAnsi="黑体" w:eastAsia="黑体"/>
                <w:b/>
                <w:sz w:val="18"/>
              </w:rPr>
            </w:pPr>
            <w:r>
              <w:rPr>
                <w:rFonts w:hint="eastAsia" w:ascii="黑体" w:hAnsi="黑体" w:eastAsia="黑体"/>
                <w:b/>
                <w:sz w:val="18"/>
              </w:rPr>
              <w:t>单位性质</w:t>
            </w:r>
          </w:p>
        </w:tc>
        <w:tc>
          <w:tcPr>
            <w:tcW w:w="1260" w:type="dxa"/>
            <w:gridSpan w:val="2"/>
            <w:vAlign w:val="center"/>
          </w:tcPr>
          <w:p>
            <w:pPr>
              <w:ind w:firstLine="0" w:firstLineChars="0"/>
              <w:rPr>
                <w:rFonts w:ascii="黑体" w:hAnsi="黑体" w:eastAsia="黑体"/>
                <w:b/>
                <w:sz w:val="18"/>
              </w:rPr>
            </w:pPr>
            <w:r>
              <w:rPr>
                <w:rFonts w:hint="eastAsia" w:ascii="黑体" w:hAnsi="黑体" w:eastAsia="黑体"/>
                <w:b/>
                <w:sz w:val="18"/>
              </w:rPr>
              <w:t>单位规格</w:t>
            </w:r>
          </w:p>
        </w:tc>
        <w:tc>
          <w:tcPr>
            <w:tcW w:w="2373" w:type="dxa"/>
            <w:gridSpan w:val="4"/>
            <w:vAlign w:val="center"/>
          </w:tcPr>
          <w:p>
            <w:pPr>
              <w:ind w:firstLine="361"/>
              <w:jc w:val="center"/>
              <w:rPr>
                <w:rFonts w:ascii="黑体" w:hAnsi="黑体" w:eastAsia="黑体"/>
                <w:b/>
                <w:sz w:val="18"/>
              </w:rPr>
            </w:pPr>
            <w:r>
              <w:rPr>
                <w:rFonts w:hint="eastAsia" w:ascii="黑体" w:hAnsi="黑体" w:eastAsia="黑体"/>
                <w:b/>
                <w:sz w:val="18"/>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716" w:hRule="atLeast"/>
          <w:jc w:val="center"/>
        </w:trPr>
        <w:tc>
          <w:tcPr>
            <w:tcW w:w="1515" w:type="dxa"/>
          </w:tcPr>
          <w:p>
            <w:pPr>
              <w:ind w:firstLine="360"/>
              <w:jc w:val="left"/>
              <w:rPr>
                <w:rFonts w:ascii="宋体" w:hAnsi="宋体"/>
                <w:sz w:val="18"/>
              </w:rPr>
            </w:pPr>
            <w:r>
              <w:rPr>
                <w:rFonts w:hint="eastAsia" w:ascii="宋体" w:hAnsi="宋体"/>
                <w:sz w:val="18"/>
              </w:rPr>
              <w:t>38402</w:t>
            </w:r>
          </w:p>
        </w:tc>
        <w:tc>
          <w:tcPr>
            <w:tcW w:w="2880" w:type="dxa"/>
            <w:gridSpan w:val="4"/>
            <w:tcBorders>
              <w:right w:val="single" w:color="auto" w:sz="4" w:space="0"/>
            </w:tcBorders>
          </w:tcPr>
          <w:p>
            <w:pPr>
              <w:ind w:firstLine="0" w:firstLineChars="0"/>
              <w:jc w:val="left"/>
              <w:rPr>
                <w:rFonts w:ascii="宋体" w:hAnsi="宋体"/>
                <w:sz w:val="18"/>
              </w:rPr>
            </w:pPr>
            <w:r>
              <w:rPr>
                <w:rFonts w:hint="eastAsia" w:ascii="宋体" w:hAnsi="宋体"/>
                <w:sz w:val="18"/>
              </w:rPr>
              <w:t>石家庄市鹿泉区质量技术监督局</w:t>
            </w:r>
          </w:p>
        </w:tc>
        <w:tc>
          <w:tcPr>
            <w:tcW w:w="1440" w:type="dxa"/>
            <w:gridSpan w:val="3"/>
            <w:tcBorders>
              <w:left w:val="single" w:color="auto" w:sz="4" w:space="0"/>
              <w:right w:val="single" w:color="auto" w:sz="4" w:space="0"/>
            </w:tcBorders>
          </w:tcPr>
          <w:p>
            <w:pPr>
              <w:ind w:firstLine="540" w:firstLineChars="300"/>
              <w:jc w:val="left"/>
              <w:rPr>
                <w:rFonts w:ascii="宋体" w:hAnsi="宋体"/>
                <w:sz w:val="18"/>
              </w:rPr>
            </w:pPr>
            <w:r>
              <w:rPr>
                <w:rFonts w:hint="eastAsia" w:ascii="宋体" w:hAnsi="宋体"/>
                <w:sz w:val="18"/>
              </w:rPr>
              <w:t>行政</w:t>
            </w:r>
          </w:p>
        </w:tc>
        <w:tc>
          <w:tcPr>
            <w:tcW w:w="1260" w:type="dxa"/>
            <w:gridSpan w:val="2"/>
            <w:tcBorders>
              <w:left w:val="single" w:color="auto" w:sz="4" w:space="0"/>
            </w:tcBorders>
          </w:tcPr>
          <w:p>
            <w:pPr>
              <w:ind w:firstLine="0" w:firstLineChars="0"/>
              <w:rPr>
                <w:rFonts w:ascii="宋体" w:hAnsi="宋体"/>
                <w:sz w:val="18"/>
              </w:rPr>
            </w:pPr>
            <w:r>
              <w:rPr>
                <w:rFonts w:hint="eastAsia" w:ascii="宋体" w:hAnsi="宋体"/>
                <w:sz w:val="18"/>
              </w:rPr>
              <w:t>正科级</w:t>
            </w:r>
          </w:p>
        </w:tc>
        <w:tc>
          <w:tcPr>
            <w:tcW w:w="2373" w:type="dxa"/>
            <w:gridSpan w:val="4"/>
          </w:tcPr>
          <w:p>
            <w:pPr>
              <w:ind w:firstLine="360"/>
              <w:jc w:val="left"/>
              <w:rPr>
                <w:rFonts w:ascii="宋体" w:hAnsi="宋体"/>
                <w:sz w:val="18"/>
              </w:rPr>
            </w:pPr>
            <w:r>
              <w:rPr>
                <w:rFonts w:hint="eastAsia" w:ascii="宋体" w:hAnsi="宋体"/>
                <w:sz w:val="18"/>
              </w:rPr>
              <w:t>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1"/>
          <w:wAfter w:w="18" w:type="dxa"/>
          <w:trHeight w:val="283" w:hRule="atLeast"/>
          <w:tblHeader/>
          <w:jc w:val="center"/>
        </w:trPr>
        <w:tc>
          <w:tcPr>
            <w:tcW w:w="7095" w:type="dxa"/>
            <w:gridSpan w:val="10"/>
            <w:tcBorders>
              <w:top w:val="single" w:color="FFFFFF" w:sz="6" w:space="0"/>
              <w:left w:val="single" w:color="FFFFFF" w:sz="6" w:space="0"/>
              <w:bottom w:val="single" w:color="000000" w:sz="6" w:space="0"/>
              <w:right w:val="single" w:color="FFFFFF" w:sz="6" w:space="0"/>
            </w:tcBorders>
            <w:vAlign w:val="center"/>
          </w:tcPr>
          <w:p>
            <w:pPr>
              <w:ind w:firstLine="361"/>
              <w:jc w:val="left"/>
              <w:rPr>
                <w:rFonts w:ascii="黑体" w:hAnsi="黑体" w:eastAsia="黑体"/>
                <w:b/>
                <w:sz w:val="18"/>
              </w:rPr>
            </w:pPr>
          </w:p>
        </w:tc>
        <w:tc>
          <w:tcPr>
            <w:tcW w:w="2355" w:type="dxa"/>
            <w:gridSpan w:val="3"/>
            <w:tcBorders>
              <w:top w:val="single" w:color="FFFFFF" w:sz="6" w:space="0"/>
              <w:left w:val="single" w:color="FFFFFF" w:sz="6" w:space="0"/>
              <w:bottom w:val="single" w:color="000000" w:sz="6" w:space="0"/>
              <w:right w:val="single" w:color="FFFFFF" w:sz="6" w:space="0"/>
            </w:tcBorders>
            <w:vAlign w:val="center"/>
          </w:tcPr>
          <w:p>
            <w:pPr>
              <w:ind w:firstLine="361"/>
              <w:jc w:val="right"/>
              <w:rPr>
                <w:rFonts w:ascii="黑体" w:hAnsi="黑体" w:eastAsia="黑体"/>
                <w:b/>
                <w:sz w:val="18"/>
              </w:rPr>
            </w:pPr>
            <w:r>
              <w:rPr>
                <w:rFonts w:hint="eastAsia" w:ascii="黑体" w:hAnsi="黑体" w:eastAsia="黑体"/>
                <w:b/>
                <w:sz w:val="18"/>
              </w:rPr>
              <w:t>单位：人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1"/>
          <w:wAfter w:w="18" w:type="dxa"/>
          <w:trHeight w:val="283" w:hRule="atLeast"/>
          <w:tblHeader/>
          <w:jc w:val="center"/>
        </w:trPr>
        <w:tc>
          <w:tcPr>
            <w:tcW w:w="1515" w:type="dxa"/>
            <w:vMerge w:val="restart"/>
            <w:tcBorders>
              <w:top w:val="single" w:color="000000" w:sz="6" w:space="0"/>
              <w:left w:val="single" w:color="000000" w:sz="6" w:space="0"/>
              <w:bottom w:val="single" w:color="000000" w:sz="6" w:space="0"/>
              <w:right w:val="single" w:color="000000" w:sz="6" w:space="0"/>
            </w:tcBorders>
            <w:vAlign w:val="center"/>
          </w:tcPr>
          <w:p>
            <w:pPr>
              <w:ind w:firstLine="361"/>
              <w:jc w:val="center"/>
              <w:rPr>
                <w:rFonts w:ascii="黑体" w:hAnsi="黑体" w:eastAsia="黑体"/>
                <w:b/>
                <w:sz w:val="18"/>
              </w:rPr>
            </w:pPr>
            <w:r>
              <w:rPr>
                <w:rFonts w:hint="eastAsia" w:ascii="黑体" w:hAnsi="黑体" w:eastAsia="黑体"/>
                <w:b/>
                <w:sz w:val="18"/>
              </w:rPr>
              <w:t>单位名称</w:t>
            </w:r>
          </w:p>
        </w:tc>
        <w:tc>
          <w:tcPr>
            <w:tcW w:w="2520" w:type="dxa"/>
            <w:gridSpan w:val="3"/>
            <w:tcBorders>
              <w:top w:val="single" w:color="000000" w:sz="6" w:space="0"/>
              <w:left w:val="single" w:color="000000" w:sz="6" w:space="0"/>
              <w:bottom w:val="single" w:color="000000" w:sz="6" w:space="0"/>
              <w:right w:val="single" w:color="000000" w:sz="6" w:space="0"/>
            </w:tcBorders>
            <w:vAlign w:val="center"/>
          </w:tcPr>
          <w:p>
            <w:pPr>
              <w:ind w:firstLine="0" w:firstLineChars="0"/>
              <w:rPr>
                <w:rFonts w:ascii="黑体" w:hAnsi="黑体" w:eastAsia="黑体"/>
                <w:b/>
                <w:sz w:val="18"/>
              </w:rPr>
            </w:pPr>
            <w:r>
              <w:rPr>
                <w:rFonts w:hint="eastAsia" w:ascii="黑体" w:hAnsi="黑体" w:eastAsia="黑体"/>
                <w:b/>
                <w:sz w:val="18"/>
              </w:rPr>
              <w:t>编制人数</w:t>
            </w:r>
          </w:p>
        </w:tc>
        <w:tc>
          <w:tcPr>
            <w:tcW w:w="2340" w:type="dxa"/>
            <w:gridSpan w:val="5"/>
            <w:tcBorders>
              <w:top w:val="single" w:color="000000" w:sz="6" w:space="0"/>
              <w:left w:val="single" w:color="000000" w:sz="6" w:space="0"/>
              <w:bottom w:val="single" w:color="000000" w:sz="6" w:space="0"/>
              <w:right w:val="single" w:color="000000" w:sz="6" w:space="0"/>
            </w:tcBorders>
            <w:vAlign w:val="center"/>
          </w:tcPr>
          <w:p>
            <w:pPr>
              <w:ind w:firstLine="0" w:firstLineChars="0"/>
              <w:rPr>
                <w:rFonts w:ascii="黑体" w:hAnsi="黑体" w:eastAsia="黑体"/>
                <w:b/>
                <w:sz w:val="18"/>
              </w:rPr>
            </w:pPr>
            <w:r>
              <w:rPr>
                <w:rFonts w:hint="eastAsia" w:ascii="黑体" w:hAnsi="黑体" w:eastAsia="黑体"/>
                <w:b/>
                <w:sz w:val="18"/>
              </w:rPr>
              <w:t>在职人数</w:t>
            </w:r>
          </w:p>
        </w:tc>
        <w:tc>
          <w:tcPr>
            <w:tcW w:w="720" w:type="dxa"/>
            <w:vMerge w:val="restart"/>
            <w:tcBorders>
              <w:top w:val="single" w:color="000000" w:sz="6" w:space="0"/>
              <w:left w:val="single" w:color="000000" w:sz="6" w:space="0"/>
              <w:bottom w:val="single" w:color="000000" w:sz="6" w:space="0"/>
              <w:right w:val="single" w:color="000000" w:sz="6" w:space="0"/>
            </w:tcBorders>
            <w:vAlign w:val="center"/>
          </w:tcPr>
          <w:p>
            <w:pPr>
              <w:ind w:firstLine="0" w:firstLineChars="0"/>
              <w:rPr>
                <w:rFonts w:ascii="黑体" w:hAnsi="黑体" w:eastAsia="黑体"/>
                <w:b/>
                <w:sz w:val="18"/>
              </w:rPr>
            </w:pPr>
            <w:r>
              <w:rPr>
                <w:rFonts w:hint="eastAsia" w:ascii="黑体" w:hAnsi="黑体" w:eastAsia="黑体"/>
                <w:b/>
                <w:sz w:val="18"/>
              </w:rPr>
              <w:t>非在职人数</w:t>
            </w:r>
          </w:p>
        </w:tc>
        <w:tc>
          <w:tcPr>
            <w:tcW w:w="2355" w:type="dxa"/>
            <w:gridSpan w:val="3"/>
            <w:tcBorders>
              <w:top w:val="single" w:color="000000" w:sz="6" w:space="0"/>
              <w:left w:val="single" w:color="000000" w:sz="6" w:space="0"/>
              <w:bottom w:val="single" w:color="000000" w:sz="6" w:space="0"/>
              <w:right w:val="single" w:color="000000" w:sz="6" w:space="0"/>
            </w:tcBorders>
            <w:vAlign w:val="center"/>
          </w:tcPr>
          <w:p>
            <w:pPr>
              <w:ind w:firstLine="361"/>
              <w:rPr>
                <w:rFonts w:ascii="黑体" w:hAnsi="黑体" w:eastAsia="黑体"/>
                <w:b/>
                <w:sz w:val="18"/>
              </w:rPr>
            </w:pPr>
            <w:r>
              <w:rPr>
                <w:rFonts w:hint="eastAsia" w:ascii="黑体" w:hAnsi="黑体" w:eastAsia="黑体"/>
                <w:b/>
                <w:sz w:val="18"/>
              </w:rPr>
              <w:t>离退人数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1"/>
          <w:wAfter w:w="18" w:type="dxa"/>
          <w:trHeight w:val="283" w:hRule="atLeast"/>
          <w:tblHeader/>
          <w:jc w:val="center"/>
        </w:trPr>
        <w:tc>
          <w:tcPr>
            <w:tcW w:w="1515" w:type="dxa"/>
            <w:vMerge w:val="continue"/>
            <w:tcBorders>
              <w:top w:val="single" w:color="000000" w:sz="6" w:space="0"/>
              <w:left w:val="single" w:color="000000" w:sz="6" w:space="0"/>
              <w:bottom w:val="single" w:color="000000" w:sz="6" w:space="0"/>
              <w:right w:val="single" w:color="000000" w:sz="6" w:space="0"/>
            </w:tcBorders>
            <w:vAlign w:val="center"/>
          </w:tcPr>
          <w:p>
            <w:pPr>
              <w:widowControl/>
              <w:ind w:firstLine="361"/>
              <w:jc w:val="left"/>
              <w:rPr>
                <w:rFonts w:ascii="黑体" w:hAnsi="黑体" w:eastAsia="黑体"/>
                <w:b/>
                <w:sz w:val="18"/>
              </w:rPr>
            </w:pPr>
          </w:p>
        </w:tc>
        <w:tc>
          <w:tcPr>
            <w:tcW w:w="900" w:type="dxa"/>
            <w:tcBorders>
              <w:top w:val="single" w:color="000000" w:sz="6" w:space="0"/>
              <w:left w:val="single" w:color="000000" w:sz="6" w:space="0"/>
              <w:bottom w:val="single" w:color="000000" w:sz="6" w:space="0"/>
              <w:right w:val="single" w:color="000000" w:sz="6" w:space="0"/>
            </w:tcBorders>
            <w:vAlign w:val="center"/>
          </w:tcPr>
          <w:p>
            <w:pPr>
              <w:ind w:firstLine="0" w:firstLineChars="0"/>
              <w:rPr>
                <w:rFonts w:ascii="黑体" w:hAnsi="黑体" w:eastAsia="黑体"/>
                <w:b/>
                <w:sz w:val="18"/>
              </w:rPr>
            </w:pPr>
            <w:r>
              <w:rPr>
                <w:rFonts w:hint="eastAsia" w:ascii="黑体" w:hAnsi="黑体" w:eastAsia="黑体"/>
                <w:b/>
                <w:sz w:val="18"/>
              </w:rPr>
              <w:t>行政</w:t>
            </w:r>
          </w:p>
        </w:tc>
        <w:tc>
          <w:tcPr>
            <w:tcW w:w="720" w:type="dxa"/>
            <w:tcBorders>
              <w:top w:val="single" w:color="000000" w:sz="6" w:space="0"/>
              <w:left w:val="single" w:color="000000" w:sz="6" w:space="0"/>
              <w:bottom w:val="single" w:color="000000" w:sz="6" w:space="0"/>
              <w:right w:val="single" w:color="000000" w:sz="6" w:space="0"/>
            </w:tcBorders>
            <w:vAlign w:val="center"/>
          </w:tcPr>
          <w:p>
            <w:pPr>
              <w:ind w:firstLine="0" w:firstLineChars="0"/>
              <w:rPr>
                <w:rFonts w:ascii="黑体" w:hAnsi="黑体" w:eastAsia="黑体"/>
                <w:b/>
                <w:sz w:val="18"/>
              </w:rPr>
            </w:pPr>
            <w:r>
              <w:rPr>
                <w:rFonts w:hint="eastAsia" w:ascii="黑体" w:hAnsi="黑体" w:eastAsia="黑体"/>
                <w:b/>
                <w:sz w:val="18"/>
              </w:rPr>
              <w:t>工勤</w:t>
            </w:r>
          </w:p>
        </w:tc>
        <w:tc>
          <w:tcPr>
            <w:tcW w:w="900" w:type="dxa"/>
            <w:tcBorders>
              <w:top w:val="single" w:color="000000" w:sz="6" w:space="0"/>
              <w:left w:val="single" w:color="000000" w:sz="6" w:space="0"/>
              <w:bottom w:val="single" w:color="000000" w:sz="6" w:space="0"/>
              <w:right w:val="single" w:color="000000" w:sz="6" w:space="0"/>
            </w:tcBorders>
            <w:vAlign w:val="center"/>
          </w:tcPr>
          <w:p>
            <w:pPr>
              <w:ind w:firstLine="0" w:firstLineChars="0"/>
              <w:rPr>
                <w:rFonts w:ascii="黑体" w:hAnsi="黑体" w:eastAsia="黑体"/>
                <w:b/>
                <w:sz w:val="18"/>
              </w:rPr>
            </w:pPr>
            <w:r>
              <w:rPr>
                <w:rFonts w:hint="eastAsia" w:ascii="黑体" w:hAnsi="黑体" w:eastAsia="黑体"/>
                <w:b/>
                <w:sz w:val="18"/>
              </w:rPr>
              <w:t>事业</w:t>
            </w:r>
          </w:p>
        </w:tc>
        <w:tc>
          <w:tcPr>
            <w:tcW w:w="900" w:type="dxa"/>
            <w:gridSpan w:val="2"/>
            <w:tcBorders>
              <w:top w:val="single" w:color="000000" w:sz="6" w:space="0"/>
              <w:left w:val="single" w:color="000000" w:sz="6" w:space="0"/>
              <w:bottom w:val="single" w:color="000000" w:sz="6" w:space="0"/>
              <w:right w:val="single" w:color="000000" w:sz="6" w:space="0"/>
            </w:tcBorders>
            <w:vAlign w:val="center"/>
          </w:tcPr>
          <w:p>
            <w:pPr>
              <w:ind w:firstLine="0" w:firstLineChars="0"/>
              <w:rPr>
                <w:rFonts w:ascii="黑体" w:hAnsi="黑体" w:eastAsia="黑体"/>
                <w:b/>
                <w:sz w:val="18"/>
              </w:rPr>
            </w:pPr>
            <w:r>
              <w:rPr>
                <w:rFonts w:hint="eastAsia" w:ascii="黑体" w:hAnsi="黑体" w:eastAsia="黑体"/>
                <w:b/>
                <w:sz w:val="18"/>
              </w:rPr>
              <w:t>行政</w:t>
            </w:r>
          </w:p>
        </w:tc>
        <w:tc>
          <w:tcPr>
            <w:tcW w:w="540" w:type="dxa"/>
            <w:tcBorders>
              <w:top w:val="single" w:color="000000" w:sz="6" w:space="0"/>
              <w:left w:val="single" w:color="000000" w:sz="6" w:space="0"/>
              <w:bottom w:val="single" w:color="000000" w:sz="6" w:space="0"/>
              <w:right w:val="single" w:color="000000" w:sz="6" w:space="0"/>
            </w:tcBorders>
            <w:vAlign w:val="center"/>
          </w:tcPr>
          <w:p>
            <w:pPr>
              <w:ind w:firstLine="0" w:firstLineChars="0"/>
              <w:rPr>
                <w:rFonts w:ascii="黑体" w:hAnsi="黑体" w:eastAsia="黑体"/>
                <w:b/>
                <w:sz w:val="18"/>
              </w:rPr>
            </w:pPr>
            <w:r>
              <w:rPr>
                <w:rFonts w:hint="eastAsia" w:ascii="黑体" w:hAnsi="黑体" w:eastAsia="黑体"/>
                <w:b/>
                <w:sz w:val="18"/>
              </w:rPr>
              <w:t>工勤</w:t>
            </w:r>
          </w:p>
        </w:tc>
        <w:tc>
          <w:tcPr>
            <w:tcW w:w="900" w:type="dxa"/>
            <w:gridSpan w:val="2"/>
            <w:tcBorders>
              <w:top w:val="single" w:color="000000" w:sz="6" w:space="0"/>
              <w:left w:val="single" w:color="000000" w:sz="6" w:space="0"/>
              <w:bottom w:val="single" w:color="000000" w:sz="6" w:space="0"/>
              <w:right w:val="single" w:color="000000" w:sz="6" w:space="0"/>
            </w:tcBorders>
            <w:vAlign w:val="center"/>
          </w:tcPr>
          <w:p>
            <w:pPr>
              <w:ind w:firstLine="0" w:firstLineChars="0"/>
              <w:rPr>
                <w:rFonts w:ascii="黑体" w:hAnsi="黑体" w:eastAsia="黑体"/>
                <w:b/>
                <w:sz w:val="18"/>
              </w:rPr>
            </w:pPr>
            <w:r>
              <w:rPr>
                <w:rFonts w:hint="eastAsia" w:ascii="黑体" w:hAnsi="黑体" w:eastAsia="黑体"/>
                <w:b/>
                <w:sz w:val="18"/>
              </w:rPr>
              <w:t>事业</w:t>
            </w:r>
          </w:p>
        </w:tc>
        <w:tc>
          <w:tcPr>
            <w:tcW w:w="720" w:type="dxa"/>
            <w:vMerge w:val="continue"/>
            <w:tcBorders>
              <w:top w:val="single" w:color="000000" w:sz="6" w:space="0"/>
              <w:left w:val="single" w:color="000000" w:sz="6" w:space="0"/>
              <w:bottom w:val="single" w:color="000000" w:sz="6" w:space="0"/>
              <w:right w:val="single" w:color="000000" w:sz="6" w:space="0"/>
            </w:tcBorders>
            <w:vAlign w:val="center"/>
          </w:tcPr>
          <w:p>
            <w:pPr>
              <w:widowControl/>
              <w:ind w:firstLine="361"/>
              <w:jc w:val="left"/>
              <w:rPr>
                <w:rFonts w:ascii="黑体" w:hAnsi="黑体" w:eastAsia="黑体"/>
                <w:b/>
                <w:sz w:val="18"/>
              </w:rPr>
            </w:pPr>
          </w:p>
        </w:tc>
        <w:tc>
          <w:tcPr>
            <w:tcW w:w="720" w:type="dxa"/>
            <w:tcBorders>
              <w:top w:val="single" w:color="000000" w:sz="6" w:space="0"/>
              <w:left w:val="single" w:color="000000" w:sz="6" w:space="0"/>
              <w:bottom w:val="single" w:color="000000" w:sz="6" w:space="0"/>
              <w:right w:val="single" w:color="000000" w:sz="6" w:space="0"/>
            </w:tcBorders>
            <w:vAlign w:val="center"/>
          </w:tcPr>
          <w:p>
            <w:pPr>
              <w:ind w:firstLine="0" w:firstLineChars="0"/>
              <w:rPr>
                <w:rFonts w:ascii="黑体" w:hAnsi="黑体" w:eastAsia="黑体"/>
                <w:b/>
                <w:sz w:val="18"/>
              </w:rPr>
            </w:pPr>
            <w:r>
              <w:rPr>
                <w:rFonts w:hint="eastAsia" w:ascii="黑体" w:hAnsi="黑体" w:eastAsia="黑体"/>
                <w:b/>
                <w:sz w:val="18"/>
              </w:rPr>
              <w:t>离休</w:t>
            </w:r>
          </w:p>
        </w:tc>
        <w:tc>
          <w:tcPr>
            <w:tcW w:w="1040" w:type="dxa"/>
            <w:tcBorders>
              <w:top w:val="single" w:color="000000" w:sz="6" w:space="0"/>
              <w:left w:val="single" w:color="000000" w:sz="6" w:space="0"/>
              <w:bottom w:val="single" w:color="000000" w:sz="6" w:space="0"/>
              <w:right w:val="single" w:color="000000" w:sz="6" w:space="0"/>
            </w:tcBorders>
            <w:vAlign w:val="center"/>
          </w:tcPr>
          <w:p>
            <w:pPr>
              <w:ind w:firstLine="0" w:firstLineChars="0"/>
              <w:rPr>
                <w:rFonts w:ascii="黑体" w:hAnsi="黑体" w:eastAsia="黑体"/>
                <w:b/>
                <w:sz w:val="18"/>
              </w:rPr>
            </w:pPr>
            <w:r>
              <w:rPr>
                <w:rFonts w:hint="eastAsia" w:ascii="黑体" w:hAnsi="黑体" w:eastAsia="黑体"/>
                <w:b/>
                <w:sz w:val="18"/>
              </w:rPr>
              <w:t>退休</w:t>
            </w:r>
          </w:p>
        </w:tc>
        <w:tc>
          <w:tcPr>
            <w:tcW w:w="595" w:type="dxa"/>
            <w:tcBorders>
              <w:top w:val="single" w:color="000000" w:sz="6" w:space="0"/>
              <w:left w:val="single" w:color="000000" w:sz="6" w:space="0"/>
              <w:bottom w:val="single" w:color="000000" w:sz="6" w:space="0"/>
              <w:right w:val="single" w:color="000000" w:sz="6" w:space="0"/>
            </w:tcBorders>
            <w:vAlign w:val="center"/>
          </w:tcPr>
          <w:p>
            <w:pPr>
              <w:ind w:firstLine="0" w:firstLineChars="0"/>
              <w:rPr>
                <w:rFonts w:ascii="黑体" w:hAnsi="黑体" w:eastAsia="黑体"/>
                <w:b/>
                <w:sz w:val="18"/>
              </w:rPr>
            </w:pPr>
            <w:r>
              <w:rPr>
                <w:rFonts w:hint="eastAsia" w:ascii="黑体" w:hAnsi="黑体" w:eastAsia="黑体"/>
                <w:b/>
                <w:sz w:val="18"/>
              </w:rPr>
              <w:t>退职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1"/>
          <w:wAfter w:w="18" w:type="dxa"/>
          <w:trHeight w:val="791" w:hRule="atLeast"/>
          <w:jc w:val="center"/>
        </w:trPr>
        <w:tc>
          <w:tcPr>
            <w:tcW w:w="1515" w:type="dxa"/>
            <w:tcBorders>
              <w:top w:val="single" w:color="000000" w:sz="6" w:space="0"/>
              <w:left w:val="single" w:color="000000" w:sz="6" w:space="0"/>
              <w:bottom w:val="single" w:color="000000" w:sz="6" w:space="0"/>
              <w:right w:val="single" w:color="000000" w:sz="6" w:space="0"/>
            </w:tcBorders>
          </w:tcPr>
          <w:p>
            <w:pPr>
              <w:ind w:firstLine="360"/>
              <w:jc w:val="center"/>
              <w:rPr>
                <w:rFonts w:ascii="宋体" w:hAnsi="宋体"/>
                <w:b/>
                <w:sz w:val="18"/>
              </w:rPr>
            </w:pPr>
            <w:r>
              <w:rPr>
                <w:rFonts w:hint="eastAsia" w:ascii="宋体" w:hAnsi="宋体"/>
                <w:b/>
                <w:sz w:val="18"/>
              </w:rPr>
              <w:t>合 计</w:t>
            </w:r>
          </w:p>
        </w:tc>
        <w:tc>
          <w:tcPr>
            <w:tcW w:w="900" w:type="dxa"/>
            <w:tcBorders>
              <w:top w:val="single" w:color="000000" w:sz="6" w:space="0"/>
              <w:left w:val="single" w:color="000000" w:sz="6" w:space="0"/>
              <w:bottom w:val="single" w:color="000000" w:sz="6" w:space="0"/>
              <w:right w:val="single" w:color="000000" w:sz="6" w:space="0"/>
            </w:tcBorders>
            <w:vAlign w:val="center"/>
          </w:tcPr>
          <w:p>
            <w:pPr>
              <w:ind w:right="360" w:firstLine="0" w:firstLineChars="0"/>
              <w:jc w:val="center"/>
              <w:rPr>
                <w:rFonts w:ascii="宋体" w:hAnsi="宋体"/>
                <w:sz w:val="18"/>
              </w:rPr>
            </w:pPr>
            <w:r>
              <w:rPr>
                <w:rFonts w:hint="eastAsia" w:ascii="宋体" w:hAnsi="宋体"/>
                <w:sz w:val="18"/>
              </w:rPr>
              <w:t>23</w:t>
            </w:r>
          </w:p>
        </w:tc>
        <w:tc>
          <w:tcPr>
            <w:tcW w:w="720" w:type="dxa"/>
            <w:tcBorders>
              <w:top w:val="single" w:color="000000" w:sz="6" w:space="0"/>
              <w:left w:val="single" w:color="000000" w:sz="6" w:space="0"/>
              <w:bottom w:val="single" w:color="000000" w:sz="6" w:space="0"/>
              <w:right w:val="single" w:color="000000" w:sz="6" w:space="0"/>
            </w:tcBorders>
            <w:vAlign w:val="center"/>
          </w:tcPr>
          <w:p>
            <w:pPr>
              <w:ind w:right="360" w:firstLineChars="111"/>
              <w:jc w:val="center"/>
              <w:rPr>
                <w:rFonts w:ascii="宋体" w:hAnsi="宋体"/>
                <w:sz w:val="18"/>
              </w:rPr>
            </w:pPr>
            <w:r>
              <w:rPr>
                <w:rFonts w:hint="eastAsia" w:ascii="宋体" w:hAnsi="宋体"/>
                <w:sz w:val="18"/>
              </w:rPr>
              <w:t>2</w:t>
            </w:r>
          </w:p>
        </w:tc>
        <w:tc>
          <w:tcPr>
            <w:tcW w:w="900" w:type="dxa"/>
            <w:tcBorders>
              <w:top w:val="single" w:color="000000" w:sz="6" w:space="0"/>
              <w:left w:val="single" w:color="000000" w:sz="6" w:space="0"/>
              <w:bottom w:val="single" w:color="000000" w:sz="6" w:space="0"/>
              <w:right w:val="single" w:color="000000" w:sz="6" w:space="0"/>
            </w:tcBorders>
            <w:vAlign w:val="center"/>
          </w:tcPr>
          <w:p>
            <w:pPr>
              <w:ind w:right="360" w:firstLine="90" w:firstLineChars="50"/>
              <w:rPr>
                <w:rFonts w:ascii="宋体" w:hAnsi="宋体"/>
                <w:sz w:val="18"/>
              </w:rPr>
            </w:pPr>
            <w:r>
              <w:rPr>
                <w:rFonts w:hint="eastAsia" w:ascii="宋体" w:hAnsi="宋体"/>
                <w:sz w:val="18"/>
              </w:rPr>
              <w:t xml:space="preserve">31 </w:t>
            </w:r>
          </w:p>
        </w:tc>
        <w:tc>
          <w:tcPr>
            <w:tcW w:w="900" w:type="dxa"/>
            <w:gridSpan w:val="2"/>
            <w:tcBorders>
              <w:top w:val="single" w:color="000000" w:sz="6" w:space="0"/>
              <w:left w:val="single" w:color="000000" w:sz="6" w:space="0"/>
              <w:bottom w:val="single" w:color="000000" w:sz="6" w:space="0"/>
              <w:right w:val="single" w:color="000000" w:sz="6" w:space="0"/>
            </w:tcBorders>
            <w:vAlign w:val="center"/>
          </w:tcPr>
          <w:p>
            <w:pPr>
              <w:ind w:right="360" w:firstLine="0" w:firstLineChars="0"/>
              <w:jc w:val="center"/>
              <w:rPr>
                <w:rFonts w:ascii="宋体" w:hAnsi="宋体"/>
                <w:sz w:val="18"/>
              </w:rPr>
            </w:pPr>
            <w:r>
              <w:rPr>
                <w:rFonts w:hint="eastAsia" w:ascii="宋体" w:hAnsi="宋体"/>
                <w:sz w:val="18"/>
              </w:rPr>
              <w:t>23</w:t>
            </w:r>
          </w:p>
        </w:tc>
        <w:tc>
          <w:tcPr>
            <w:tcW w:w="540" w:type="dxa"/>
            <w:tcBorders>
              <w:top w:val="single" w:color="000000" w:sz="6" w:space="0"/>
              <w:left w:val="single" w:color="000000" w:sz="6" w:space="0"/>
              <w:bottom w:val="single" w:color="000000" w:sz="6" w:space="0"/>
              <w:right w:val="single" w:color="000000" w:sz="6" w:space="0"/>
            </w:tcBorders>
            <w:vAlign w:val="center"/>
          </w:tcPr>
          <w:p>
            <w:pPr>
              <w:ind w:firstLine="90" w:firstLineChars="50"/>
              <w:rPr>
                <w:rFonts w:ascii="宋体" w:hAnsi="宋体"/>
                <w:sz w:val="18"/>
              </w:rPr>
            </w:pPr>
            <w:r>
              <w:rPr>
                <w:rFonts w:hint="eastAsia" w:ascii="宋体" w:hAnsi="宋体"/>
                <w:sz w:val="18"/>
              </w:rPr>
              <w:t>2</w:t>
            </w:r>
          </w:p>
        </w:tc>
        <w:tc>
          <w:tcPr>
            <w:tcW w:w="900" w:type="dxa"/>
            <w:gridSpan w:val="2"/>
            <w:tcBorders>
              <w:top w:val="single" w:color="000000" w:sz="6" w:space="0"/>
              <w:left w:val="single" w:color="000000" w:sz="6" w:space="0"/>
              <w:bottom w:val="single" w:color="000000" w:sz="6" w:space="0"/>
              <w:right w:val="single" w:color="000000" w:sz="6" w:space="0"/>
            </w:tcBorders>
            <w:vAlign w:val="center"/>
          </w:tcPr>
          <w:p>
            <w:pPr>
              <w:ind w:firstLineChars="111"/>
              <w:rPr>
                <w:rFonts w:ascii="宋体" w:hAnsi="宋体"/>
                <w:sz w:val="18"/>
              </w:rPr>
            </w:pPr>
            <w:r>
              <w:rPr>
                <w:rFonts w:hint="eastAsia" w:ascii="宋体" w:hAnsi="宋体"/>
                <w:sz w:val="18"/>
              </w:rPr>
              <w:t>29</w:t>
            </w:r>
          </w:p>
        </w:tc>
        <w:tc>
          <w:tcPr>
            <w:tcW w:w="720" w:type="dxa"/>
            <w:tcBorders>
              <w:top w:val="single" w:color="000000" w:sz="6" w:space="0"/>
              <w:left w:val="single" w:color="000000" w:sz="6" w:space="0"/>
              <w:bottom w:val="single" w:color="000000" w:sz="6" w:space="0"/>
              <w:right w:val="single" w:color="000000" w:sz="6" w:space="0"/>
            </w:tcBorders>
            <w:vAlign w:val="center"/>
          </w:tcPr>
          <w:p>
            <w:pPr>
              <w:ind w:firstLine="360"/>
              <w:jc w:val="center"/>
              <w:rPr>
                <w:rFonts w:ascii="宋体" w:hAnsi="宋体"/>
                <w:sz w:val="18"/>
              </w:rPr>
            </w:pPr>
            <w:r>
              <w:rPr>
                <w:rFonts w:hint="eastAsia" w:ascii="宋体" w:hAnsi="宋体"/>
                <w:sz w:val="18"/>
              </w:rPr>
              <w:t>0</w:t>
            </w:r>
          </w:p>
        </w:tc>
        <w:tc>
          <w:tcPr>
            <w:tcW w:w="720" w:type="dxa"/>
            <w:tcBorders>
              <w:top w:val="single" w:color="000000" w:sz="6" w:space="0"/>
              <w:left w:val="single" w:color="000000" w:sz="6" w:space="0"/>
              <w:bottom w:val="single" w:color="000000" w:sz="6" w:space="0"/>
              <w:right w:val="single" w:color="000000" w:sz="6" w:space="0"/>
            </w:tcBorders>
            <w:vAlign w:val="center"/>
          </w:tcPr>
          <w:p>
            <w:pPr>
              <w:ind w:firstLine="360"/>
              <w:jc w:val="center"/>
              <w:rPr>
                <w:rFonts w:ascii="宋体" w:hAnsi="宋体"/>
                <w:sz w:val="18"/>
              </w:rPr>
            </w:pPr>
          </w:p>
        </w:tc>
        <w:tc>
          <w:tcPr>
            <w:tcW w:w="1040" w:type="dxa"/>
            <w:tcBorders>
              <w:top w:val="single" w:color="000000" w:sz="6" w:space="0"/>
              <w:left w:val="single" w:color="000000" w:sz="6" w:space="0"/>
              <w:bottom w:val="single" w:color="000000" w:sz="6" w:space="0"/>
              <w:right w:val="single" w:color="000000" w:sz="6" w:space="0"/>
            </w:tcBorders>
            <w:vAlign w:val="center"/>
          </w:tcPr>
          <w:p>
            <w:pPr>
              <w:ind w:firstLine="180" w:firstLineChars="100"/>
              <w:rPr>
                <w:rFonts w:ascii="宋体" w:hAnsi="宋体"/>
                <w:sz w:val="18"/>
              </w:rPr>
            </w:pPr>
            <w:r>
              <w:rPr>
                <w:rFonts w:hint="eastAsia" w:ascii="宋体" w:hAnsi="宋体"/>
                <w:sz w:val="18"/>
              </w:rPr>
              <w:t>11</w:t>
            </w:r>
          </w:p>
        </w:tc>
        <w:tc>
          <w:tcPr>
            <w:tcW w:w="595" w:type="dxa"/>
            <w:tcBorders>
              <w:top w:val="single" w:color="000000" w:sz="6" w:space="0"/>
              <w:left w:val="single" w:color="000000" w:sz="6" w:space="0"/>
              <w:bottom w:val="single" w:color="000000" w:sz="6" w:space="0"/>
              <w:right w:val="single" w:color="000000" w:sz="6" w:space="0"/>
            </w:tcBorders>
            <w:vAlign w:val="center"/>
          </w:tcPr>
          <w:p>
            <w:pPr>
              <w:ind w:firstLine="360"/>
              <w:jc w:val="center"/>
              <w:rPr>
                <w:rFonts w:ascii="宋体" w:hAnsi="宋体"/>
                <w:sz w:val="18"/>
              </w:rPr>
            </w:pPr>
            <w:r>
              <w:rPr>
                <w:rFonts w:hint="eastAsia" w:ascii="宋体" w:hAnsi="宋体"/>
                <w:sz w:val="18"/>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1"/>
          <w:wAfter w:w="18" w:type="dxa"/>
          <w:trHeight w:val="531" w:hRule="atLeast"/>
          <w:jc w:val="center"/>
        </w:trPr>
        <w:tc>
          <w:tcPr>
            <w:tcW w:w="1515" w:type="dxa"/>
            <w:tcBorders>
              <w:top w:val="single" w:color="000000" w:sz="6" w:space="0"/>
              <w:left w:val="single" w:color="000000" w:sz="6" w:space="0"/>
              <w:bottom w:val="single" w:color="000000" w:sz="6" w:space="0"/>
              <w:right w:val="single" w:color="000000" w:sz="6" w:space="0"/>
            </w:tcBorders>
          </w:tcPr>
          <w:p>
            <w:pPr>
              <w:ind w:firstLine="0" w:firstLineChars="0"/>
              <w:jc w:val="left"/>
              <w:rPr>
                <w:rFonts w:ascii="宋体" w:hAnsi="宋体"/>
                <w:sz w:val="18"/>
              </w:rPr>
            </w:pPr>
            <w:r>
              <w:rPr>
                <w:rFonts w:hint="eastAsia" w:ascii="宋体" w:hAnsi="宋体"/>
                <w:sz w:val="18"/>
              </w:rPr>
              <w:t>石家庄市鹿泉区质量技术监督局</w:t>
            </w:r>
          </w:p>
        </w:tc>
        <w:tc>
          <w:tcPr>
            <w:tcW w:w="900" w:type="dxa"/>
            <w:tcBorders>
              <w:top w:val="single" w:color="000000" w:sz="6" w:space="0"/>
              <w:left w:val="single" w:color="000000" w:sz="6" w:space="0"/>
              <w:bottom w:val="single" w:color="000000" w:sz="6" w:space="0"/>
              <w:right w:val="single" w:color="000000" w:sz="6" w:space="0"/>
            </w:tcBorders>
            <w:vAlign w:val="center"/>
          </w:tcPr>
          <w:p>
            <w:pPr>
              <w:ind w:right="360" w:firstLine="0" w:firstLineChars="0"/>
              <w:jc w:val="center"/>
              <w:rPr>
                <w:rFonts w:ascii="宋体" w:hAnsi="宋体"/>
                <w:sz w:val="18"/>
              </w:rPr>
            </w:pPr>
            <w:r>
              <w:rPr>
                <w:rFonts w:hint="eastAsia" w:ascii="宋体" w:hAnsi="宋体"/>
                <w:sz w:val="18"/>
              </w:rPr>
              <w:t>23</w:t>
            </w:r>
          </w:p>
        </w:tc>
        <w:tc>
          <w:tcPr>
            <w:tcW w:w="720" w:type="dxa"/>
            <w:tcBorders>
              <w:top w:val="single" w:color="000000" w:sz="6" w:space="0"/>
              <w:left w:val="single" w:color="000000" w:sz="6" w:space="0"/>
              <w:bottom w:val="single" w:color="000000" w:sz="6" w:space="0"/>
              <w:right w:val="single" w:color="000000" w:sz="6" w:space="0"/>
            </w:tcBorders>
            <w:vAlign w:val="center"/>
          </w:tcPr>
          <w:p>
            <w:pPr>
              <w:ind w:right="360" w:firstLineChars="111"/>
              <w:rPr>
                <w:rFonts w:ascii="宋体" w:hAnsi="宋体"/>
                <w:sz w:val="18"/>
              </w:rPr>
            </w:pPr>
            <w:r>
              <w:rPr>
                <w:rFonts w:hint="eastAsia" w:ascii="宋体" w:hAnsi="宋体"/>
                <w:sz w:val="18"/>
              </w:rPr>
              <w:t>2</w:t>
            </w:r>
          </w:p>
        </w:tc>
        <w:tc>
          <w:tcPr>
            <w:tcW w:w="900" w:type="dxa"/>
            <w:tcBorders>
              <w:top w:val="single" w:color="000000" w:sz="6" w:space="0"/>
              <w:left w:val="single" w:color="000000" w:sz="6" w:space="0"/>
              <w:bottom w:val="single" w:color="000000" w:sz="6" w:space="0"/>
              <w:right w:val="single" w:color="000000" w:sz="6" w:space="0"/>
            </w:tcBorders>
            <w:vAlign w:val="center"/>
          </w:tcPr>
          <w:p>
            <w:pPr>
              <w:ind w:right="360" w:firstLine="90" w:firstLineChars="50"/>
              <w:rPr>
                <w:rFonts w:ascii="宋体" w:hAnsi="宋体"/>
                <w:sz w:val="18"/>
              </w:rPr>
            </w:pPr>
            <w:r>
              <w:rPr>
                <w:rFonts w:hint="eastAsia" w:ascii="宋体" w:hAnsi="宋体"/>
                <w:sz w:val="18"/>
              </w:rPr>
              <w:t>31</w:t>
            </w:r>
          </w:p>
        </w:tc>
        <w:tc>
          <w:tcPr>
            <w:tcW w:w="900" w:type="dxa"/>
            <w:gridSpan w:val="2"/>
            <w:tcBorders>
              <w:top w:val="single" w:color="000000" w:sz="6" w:space="0"/>
              <w:left w:val="single" w:color="000000" w:sz="6" w:space="0"/>
              <w:bottom w:val="single" w:color="000000" w:sz="6" w:space="0"/>
              <w:right w:val="single" w:color="000000" w:sz="6" w:space="0"/>
            </w:tcBorders>
            <w:vAlign w:val="center"/>
          </w:tcPr>
          <w:p>
            <w:pPr>
              <w:ind w:right="360" w:firstLine="90" w:firstLineChars="50"/>
              <w:rPr>
                <w:rFonts w:ascii="宋体" w:hAnsi="宋体"/>
                <w:sz w:val="18"/>
              </w:rPr>
            </w:pPr>
            <w:r>
              <w:rPr>
                <w:rFonts w:hint="eastAsia" w:ascii="宋体" w:hAnsi="宋体"/>
                <w:sz w:val="18"/>
              </w:rPr>
              <w:t>23</w:t>
            </w:r>
          </w:p>
        </w:tc>
        <w:tc>
          <w:tcPr>
            <w:tcW w:w="540" w:type="dxa"/>
            <w:tcBorders>
              <w:top w:val="single" w:color="000000" w:sz="6" w:space="0"/>
              <w:left w:val="single" w:color="000000" w:sz="6" w:space="0"/>
              <w:bottom w:val="single" w:color="000000" w:sz="6" w:space="0"/>
              <w:right w:val="single" w:color="000000" w:sz="6" w:space="0"/>
            </w:tcBorders>
            <w:vAlign w:val="center"/>
          </w:tcPr>
          <w:p>
            <w:pPr>
              <w:ind w:firstLine="90" w:firstLineChars="50"/>
              <w:rPr>
                <w:rFonts w:ascii="宋体" w:hAnsi="宋体"/>
                <w:sz w:val="18"/>
              </w:rPr>
            </w:pPr>
            <w:r>
              <w:rPr>
                <w:rFonts w:hint="eastAsia" w:ascii="宋体" w:hAnsi="宋体"/>
                <w:sz w:val="18"/>
              </w:rPr>
              <w:t>2</w:t>
            </w:r>
          </w:p>
        </w:tc>
        <w:tc>
          <w:tcPr>
            <w:tcW w:w="900" w:type="dxa"/>
            <w:gridSpan w:val="2"/>
            <w:tcBorders>
              <w:top w:val="single" w:color="000000" w:sz="6" w:space="0"/>
              <w:left w:val="single" w:color="000000" w:sz="6" w:space="0"/>
              <w:bottom w:val="single" w:color="000000" w:sz="6" w:space="0"/>
              <w:right w:val="single" w:color="000000" w:sz="6" w:space="0"/>
            </w:tcBorders>
            <w:vAlign w:val="center"/>
          </w:tcPr>
          <w:p>
            <w:pPr>
              <w:ind w:firstLineChars="111"/>
              <w:rPr>
                <w:rFonts w:ascii="宋体" w:hAnsi="宋体"/>
                <w:sz w:val="18"/>
              </w:rPr>
            </w:pPr>
            <w:r>
              <w:rPr>
                <w:rFonts w:hint="eastAsia" w:ascii="宋体" w:hAnsi="宋体"/>
                <w:sz w:val="18"/>
              </w:rPr>
              <w:t>29</w:t>
            </w:r>
          </w:p>
        </w:tc>
        <w:tc>
          <w:tcPr>
            <w:tcW w:w="720" w:type="dxa"/>
            <w:tcBorders>
              <w:top w:val="single" w:color="000000" w:sz="6" w:space="0"/>
              <w:left w:val="single" w:color="000000" w:sz="6" w:space="0"/>
              <w:bottom w:val="single" w:color="000000" w:sz="6" w:space="0"/>
              <w:right w:val="single" w:color="000000" w:sz="6" w:space="0"/>
            </w:tcBorders>
            <w:vAlign w:val="center"/>
          </w:tcPr>
          <w:p>
            <w:pPr>
              <w:ind w:firstLine="360"/>
              <w:jc w:val="center"/>
              <w:rPr>
                <w:rFonts w:ascii="宋体" w:hAnsi="宋体"/>
                <w:sz w:val="18"/>
              </w:rPr>
            </w:pPr>
            <w:r>
              <w:rPr>
                <w:rFonts w:hint="eastAsia" w:ascii="宋体" w:hAnsi="宋体"/>
                <w:sz w:val="18"/>
              </w:rPr>
              <w:t>0</w:t>
            </w:r>
          </w:p>
        </w:tc>
        <w:tc>
          <w:tcPr>
            <w:tcW w:w="720" w:type="dxa"/>
            <w:tcBorders>
              <w:top w:val="single" w:color="000000" w:sz="6" w:space="0"/>
              <w:left w:val="single" w:color="000000" w:sz="6" w:space="0"/>
              <w:bottom w:val="single" w:color="000000" w:sz="6" w:space="0"/>
              <w:right w:val="single" w:color="000000" w:sz="6" w:space="0"/>
            </w:tcBorders>
            <w:vAlign w:val="center"/>
          </w:tcPr>
          <w:p>
            <w:pPr>
              <w:ind w:firstLine="360"/>
              <w:jc w:val="center"/>
              <w:rPr>
                <w:rFonts w:ascii="宋体" w:hAnsi="宋体"/>
                <w:sz w:val="18"/>
              </w:rPr>
            </w:pPr>
          </w:p>
        </w:tc>
        <w:tc>
          <w:tcPr>
            <w:tcW w:w="1040" w:type="dxa"/>
            <w:tcBorders>
              <w:top w:val="single" w:color="000000" w:sz="6" w:space="0"/>
              <w:left w:val="single" w:color="000000" w:sz="6" w:space="0"/>
              <w:bottom w:val="single" w:color="000000" w:sz="6" w:space="0"/>
              <w:right w:val="single" w:color="000000" w:sz="6" w:space="0"/>
            </w:tcBorders>
            <w:vAlign w:val="center"/>
          </w:tcPr>
          <w:p>
            <w:pPr>
              <w:ind w:right="360" w:firstLine="0" w:firstLineChars="0"/>
              <w:jc w:val="center"/>
              <w:rPr>
                <w:rFonts w:ascii="宋体" w:hAnsi="宋体"/>
                <w:sz w:val="18"/>
              </w:rPr>
            </w:pPr>
            <w:r>
              <w:rPr>
                <w:rFonts w:hint="eastAsia" w:ascii="宋体" w:hAnsi="宋体"/>
                <w:sz w:val="18"/>
              </w:rPr>
              <w:t>11</w:t>
            </w:r>
          </w:p>
        </w:tc>
        <w:tc>
          <w:tcPr>
            <w:tcW w:w="595" w:type="dxa"/>
            <w:tcBorders>
              <w:top w:val="single" w:color="000000" w:sz="6" w:space="0"/>
              <w:left w:val="single" w:color="000000" w:sz="6" w:space="0"/>
              <w:bottom w:val="single" w:color="000000" w:sz="6" w:space="0"/>
              <w:right w:val="single" w:color="000000" w:sz="6" w:space="0"/>
            </w:tcBorders>
            <w:vAlign w:val="center"/>
          </w:tcPr>
          <w:p>
            <w:pPr>
              <w:ind w:firstLine="360"/>
              <w:jc w:val="center"/>
              <w:rPr>
                <w:rFonts w:ascii="宋体" w:hAnsi="宋体"/>
                <w:sz w:val="18"/>
              </w:rPr>
            </w:pPr>
            <w:r>
              <w:rPr>
                <w:rFonts w:hint="eastAsia" w:ascii="宋体" w:hAnsi="宋体"/>
                <w:sz w:val="18"/>
              </w:rPr>
              <w:t>0</w:t>
            </w:r>
          </w:p>
        </w:tc>
      </w:tr>
    </w:tbl>
    <w:p>
      <w:pPr>
        <w:ind w:firstLine="640"/>
        <w:rPr>
          <w:rFonts w:ascii="仿宋_GB2312"/>
          <w:szCs w:val="32"/>
        </w:rPr>
      </w:pPr>
    </w:p>
    <w:p>
      <w:pPr>
        <w:pStyle w:val="5"/>
        <w:shd w:val="clear" w:color="auto" w:fill="FFFFFF"/>
        <w:spacing w:before="0" w:beforeAutospacing="0" w:after="0" w:afterAutospacing="0" w:line="384" w:lineRule="atLeast"/>
        <w:jc w:val="center"/>
        <w:rPr>
          <w:b/>
          <w:sz w:val="44"/>
          <w:szCs w:val="44"/>
        </w:rPr>
      </w:pPr>
      <w:r>
        <w:rPr>
          <w:rFonts w:hint="eastAsia"/>
          <w:b/>
          <w:sz w:val="44"/>
          <w:szCs w:val="44"/>
        </w:rPr>
        <w:t xml:space="preserve">第二部分  </w:t>
      </w:r>
      <w:r>
        <w:rPr>
          <w:rFonts w:hint="eastAsia" w:cs="黑体"/>
          <w:b/>
          <w:sz w:val="44"/>
          <w:szCs w:val="44"/>
        </w:rPr>
        <w:t>本</w:t>
      </w:r>
      <w:r>
        <w:rPr>
          <w:rFonts w:hint="eastAsia"/>
          <w:b/>
          <w:sz w:val="44"/>
          <w:szCs w:val="44"/>
        </w:rPr>
        <w:t>部门2017年度部门决算报表</w:t>
      </w:r>
    </w:p>
    <w:p>
      <w:pPr>
        <w:ind w:firstLine="1120" w:firstLineChars="350"/>
        <w:rPr>
          <w:rFonts w:ascii="仿宋_GB2312" w:hAnsi="黑体"/>
          <w:szCs w:val="32"/>
        </w:rPr>
      </w:pPr>
      <w:r>
        <w:fldChar w:fldCharType="begin"/>
      </w:r>
      <w:r>
        <w:instrText xml:space="preserve"> HYPERLINK "决算公开附件（表）.XLS" </w:instrText>
      </w:r>
      <w:r>
        <w:fldChar w:fldCharType="separate"/>
      </w:r>
      <w:r>
        <w:rPr>
          <w:rStyle w:val="7"/>
          <w:rFonts w:hint="eastAsia" w:ascii="仿宋_GB2312" w:hAnsi="黑体"/>
          <w:szCs w:val="32"/>
        </w:rPr>
        <w:t>见附件:质量技术监督局决算公开表</w:t>
      </w:r>
      <w:r>
        <w:rPr>
          <w:rStyle w:val="7"/>
          <w:rFonts w:hint="eastAsia" w:ascii="仿宋_GB2312" w:hAnsi="黑体"/>
          <w:szCs w:val="32"/>
        </w:rPr>
        <w:fldChar w:fldCharType="end"/>
      </w:r>
    </w:p>
    <w:p>
      <w:pPr>
        <w:ind w:firstLine="1318" w:firstLineChars="412"/>
        <w:rPr>
          <w:rFonts w:ascii="仿宋" w:hAnsi="仿宋" w:eastAsia="仿宋"/>
          <w:szCs w:val="32"/>
        </w:rPr>
      </w:pPr>
      <w:r>
        <w:rPr>
          <w:rFonts w:hint="eastAsia" w:ascii="仿宋" w:hAnsi="仿宋" w:eastAsia="仿宋"/>
          <w:szCs w:val="32"/>
        </w:rPr>
        <w:t>一、收入支出决算总表（表1）</w:t>
      </w:r>
    </w:p>
    <w:p>
      <w:pPr>
        <w:ind w:firstLine="1318" w:firstLineChars="412"/>
        <w:rPr>
          <w:rFonts w:ascii="仿宋" w:hAnsi="仿宋" w:eastAsia="仿宋"/>
          <w:szCs w:val="32"/>
        </w:rPr>
      </w:pPr>
      <w:r>
        <w:rPr>
          <w:rFonts w:hint="eastAsia" w:ascii="仿宋" w:hAnsi="仿宋" w:eastAsia="仿宋"/>
          <w:szCs w:val="32"/>
        </w:rPr>
        <w:t>二、收入决算表（表2）</w:t>
      </w:r>
    </w:p>
    <w:p>
      <w:pPr>
        <w:ind w:firstLine="1318" w:firstLineChars="412"/>
        <w:rPr>
          <w:rFonts w:ascii="仿宋" w:hAnsi="仿宋" w:eastAsia="仿宋"/>
          <w:szCs w:val="32"/>
        </w:rPr>
      </w:pPr>
      <w:r>
        <w:rPr>
          <w:rFonts w:hint="eastAsia" w:ascii="仿宋" w:hAnsi="仿宋" w:eastAsia="仿宋"/>
          <w:szCs w:val="32"/>
        </w:rPr>
        <w:t>三、支出决算表（表3）</w:t>
      </w:r>
    </w:p>
    <w:p>
      <w:pPr>
        <w:ind w:firstLine="1318" w:firstLineChars="412"/>
        <w:rPr>
          <w:rFonts w:ascii="仿宋" w:hAnsi="仿宋" w:eastAsia="仿宋"/>
          <w:szCs w:val="32"/>
        </w:rPr>
      </w:pPr>
      <w:r>
        <w:rPr>
          <w:rFonts w:hint="eastAsia" w:ascii="仿宋" w:hAnsi="仿宋" w:eastAsia="仿宋"/>
          <w:szCs w:val="32"/>
        </w:rPr>
        <w:t>四、财政拨款收入支出决算表（表四）</w:t>
      </w:r>
    </w:p>
    <w:p>
      <w:pPr>
        <w:ind w:firstLine="1318" w:firstLineChars="412"/>
        <w:rPr>
          <w:rFonts w:ascii="仿宋" w:hAnsi="仿宋" w:eastAsia="仿宋"/>
          <w:szCs w:val="32"/>
        </w:rPr>
      </w:pPr>
      <w:r>
        <w:rPr>
          <w:rFonts w:hint="eastAsia" w:ascii="仿宋" w:hAnsi="仿宋" w:eastAsia="仿宋"/>
          <w:szCs w:val="32"/>
        </w:rPr>
        <w:t>五、一般公共预算财政拨款支出决算表（表五）</w:t>
      </w:r>
    </w:p>
    <w:p>
      <w:pPr>
        <w:ind w:firstLine="1318" w:firstLineChars="412"/>
        <w:rPr>
          <w:rFonts w:ascii="仿宋" w:hAnsi="仿宋" w:eastAsia="仿宋"/>
          <w:szCs w:val="32"/>
        </w:rPr>
      </w:pPr>
      <w:r>
        <w:rPr>
          <w:rFonts w:hint="eastAsia" w:ascii="仿宋" w:hAnsi="仿宋" w:eastAsia="仿宋"/>
          <w:szCs w:val="32"/>
        </w:rPr>
        <w:t>六、一般公共预算财政拨款基本支出决算表（表六）</w:t>
      </w:r>
    </w:p>
    <w:p>
      <w:pPr>
        <w:ind w:firstLine="1318" w:firstLineChars="412"/>
        <w:rPr>
          <w:rFonts w:ascii="仿宋" w:hAnsi="仿宋" w:eastAsia="仿宋"/>
          <w:szCs w:val="32"/>
        </w:rPr>
      </w:pPr>
      <w:r>
        <w:rPr>
          <w:rFonts w:hint="eastAsia" w:ascii="仿宋" w:hAnsi="仿宋" w:eastAsia="仿宋"/>
          <w:szCs w:val="32"/>
        </w:rPr>
        <w:t>七、政府性基金预算财政拨款收入支出决算表（表七）</w:t>
      </w:r>
    </w:p>
    <w:p>
      <w:pPr>
        <w:ind w:firstLine="1318" w:firstLineChars="412"/>
        <w:rPr>
          <w:rFonts w:ascii="仿宋" w:hAnsi="仿宋" w:eastAsia="仿宋"/>
          <w:szCs w:val="32"/>
        </w:rPr>
      </w:pPr>
      <w:r>
        <w:rPr>
          <w:rFonts w:hint="eastAsia" w:ascii="仿宋" w:hAnsi="仿宋" w:eastAsia="仿宋"/>
          <w:szCs w:val="32"/>
        </w:rPr>
        <w:t>八、国有资本经营预算财政拨款支出决算表（表八）</w:t>
      </w:r>
    </w:p>
    <w:p>
      <w:pPr>
        <w:ind w:firstLine="1318" w:firstLineChars="412"/>
        <w:rPr>
          <w:rFonts w:ascii="仿宋" w:hAnsi="仿宋" w:eastAsia="仿宋"/>
          <w:szCs w:val="32"/>
        </w:rPr>
      </w:pPr>
      <w:r>
        <w:rPr>
          <w:rFonts w:hint="eastAsia" w:ascii="仿宋" w:hAnsi="仿宋" w:eastAsia="仿宋"/>
          <w:szCs w:val="32"/>
        </w:rPr>
        <w:t>九、“三公”经费等相关信息统计表（表九）</w:t>
      </w:r>
    </w:p>
    <w:p>
      <w:pPr>
        <w:ind w:firstLine="1318" w:firstLineChars="412"/>
        <w:rPr>
          <w:rFonts w:ascii="仿宋" w:hAnsi="仿宋" w:eastAsia="仿宋"/>
          <w:szCs w:val="32"/>
        </w:rPr>
        <w:sectPr>
          <w:headerReference r:id="rId5" w:type="first"/>
          <w:footerReference r:id="rId8" w:type="first"/>
          <w:headerReference r:id="rId3" w:type="default"/>
          <w:footerReference r:id="rId6" w:type="default"/>
          <w:headerReference r:id="rId4" w:type="even"/>
          <w:footerReference r:id="rId7" w:type="even"/>
          <w:pgSz w:w="11906" w:h="16838"/>
          <w:pgMar w:top="1440" w:right="1474" w:bottom="1440" w:left="1474" w:header="851" w:footer="992" w:gutter="0"/>
          <w:cols w:space="425" w:num="1"/>
          <w:docGrid w:type="linesAndChars" w:linePitch="312" w:charSpace="0"/>
        </w:sectPr>
      </w:pPr>
      <w:r>
        <w:rPr>
          <w:rFonts w:hint="eastAsia" w:ascii="仿宋" w:hAnsi="仿宋" w:eastAsia="仿宋"/>
          <w:szCs w:val="32"/>
        </w:rPr>
        <w:t>十、政府采购情况表(表十）</w:t>
      </w:r>
    </w:p>
    <w:p>
      <w:pPr>
        <w:pStyle w:val="5"/>
        <w:shd w:val="clear" w:color="auto" w:fill="FFFFFF"/>
        <w:spacing w:before="0" w:beforeAutospacing="0" w:after="0" w:afterAutospacing="0" w:line="384" w:lineRule="atLeast"/>
        <w:jc w:val="center"/>
        <w:rPr>
          <w:b/>
          <w:sz w:val="44"/>
          <w:szCs w:val="44"/>
        </w:rPr>
      </w:pPr>
      <w:r>
        <w:rPr>
          <w:rFonts w:hint="eastAsia"/>
          <w:b/>
          <w:sz w:val="44"/>
          <w:szCs w:val="44"/>
        </w:rPr>
        <w:t xml:space="preserve">第三部分  </w:t>
      </w:r>
      <w:r>
        <w:rPr>
          <w:rFonts w:hint="eastAsia" w:cs="黑体"/>
          <w:b/>
          <w:sz w:val="44"/>
          <w:szCs w:val="44"/>
        </w:rPr>
        <w:t>本</w:t>
      </w:r>
      <w:r>
        <w:rPr>
          <w:rFonts w:hint="eastAsia"/>
          <w:b/>
          <w:sz w:val="44"/>
          <w:szCs w:val="44"/>
        </w:rPr>
        <w:t>部门2017年度部门决算</w:t>
      </w:r>
    </w:p>
    <w:p>
      <w:pPr>
        <w:pStyle w:val="5"/>
        <w:shd w:val="clear" w:color="auto" w:fill="FFFFFF"/>
        <w:spacing w:before="0" w:beforeAutospacing="0" w:after="0" w:afterAutospacing="0" w:line="384" w:lineRule="atLeast"/>
        <w:jc w:val="center"/>
        <w:rPr>
          <w:b/>
          <w:sz w:val="44"/>
          <w:szCs w:val="44"/>
        </w:rPr>
      </w:pPr>
      <w:r>
        <w:rPr>
          <w:rFonts w:hint="eastAsia"/>
          <w:b/>
          <w:sz w:val="44"/>
          <w:szCs w:val="44"/>
        </w:rPr>
        <w:t>情况说明</w:t>
      </w:r>
    </w:p>
    <w:p>
      <w:pPr>
        <w:pStyle w:val="5"/>
        <w:shd w:val="clear" w:color="auto" w:fill="FFFFFF"/>
        <w:spacing w:before="0" w:beforeAutospacing="0" w:after="0" w:afterAutospacing="0" w:line="384" w:lineRule="atLeast"/>
        <w:ind w:firstLine="630" w:firstLineChars="196"/>
        <w:rPr>
          <w:rFonts w:asciiTheme="majorEastAsia" w:hAnsiTheme="majorEastAsia" w:eastAsiaTheme="majorEastAsia"/>
          <w:b/>
          <w:sz w:val="32"/>
          <w:szCs w:val="32"/>
        </w:rPr>
      </w:pPr>
      <w:r>
        <w:rPr>
          <w:rFonts w:hint="eastAsia" w:asciiTheme="majorEastAsia" w:hAnsiTheme="majorEastAsia" w:eastAsiaTheme="majorEastAsia"/>
          <w:b/>
          <w:sz w:val="32"/>
          <w:szCs w:val="32"/>
        </w:rPr>
        <w:t>一、收入支出决算总体情况说明</w:t>
      </w:r>
    </w:p>
    <w:p>
      <w:pPr>
        <w:spacing w:line="360" w:lineRule="auto"/>
        <w:ind w:firstLine="640"/>
        <w:rPr>
          <w:rFonts w:ascii="仿宋" w:hAnsi="仿宋" w:eastAsia="仿宋"/>
          <w:sz w:val="44"/>
          <w:szCs w:val="44"/>
        </w:rPr>
      </w:pPr>
      <w:r>
        <w:rPr>
          <w:rFonts w:hint="eastAsia" w:ascii="仿宋" w:hAnsi="仿宋" w:eastAsia="仿宋"/>
          <w:szCs w:val="32"/>
        </w:rPr>
        <w:t>本部门2017</w:t>
      </w:r>
      <w:r>
        <w:rPr>
          <w:rFonts w:hint="eastAsia" w:ascii="仿宋" w:hAnsi="仿宋" w:eastAsia="仿宋" w:cs="仿宋"/>
          <w:szCs w:val="32"/>
        </w:rPr>
        <w:t>年度年初结转和结余</w:t>
      </w:r>
      <w:r>
        <w:rPr>
          <w:rFonts w:hint="eastAsia" w:ascii="仿宋" w:hAnsi="仿宋" w:eastAsia="仿宋"/>
          <w:szCs w:val="32"/>
        </w:rPr>
        <w:t>39.62</w:t>
      </w:r>
      <w:r>
        <w:rPr>
          <w:rFonts w:hint="eastAsia" w:ascii="仿宋" w:hAnsi="仿宋" w:eastAsia="仿宋" w:cs="仿宋"/>
          <w:szCs w:val="32"/>
        </w:rPr>
        <w:t>万元，本年收入</w:t>
      </w:r>
      <w:r>
        <w:rPr>
          <w:rFonts w:hint="eastAsia" w:ascii="仿宋" w:hAnsi="仿宋" w:eastAsia="仿宋"/>
          <w:szCs w:val="32"/>
        </w:rPr>
        <w:t>932.08</w:t>
      </w:r>
      <w:r>
        <w:rPr>
          <w:rFonts w:hint="eastAsia" w:ascii="仿宋" w:hAnsi="仿宋" w:eastAsia="仿宋" w:cs="仿宋"/>
          <w:szCs w:val="32"/>
        </w:rPr>
        <w:t>万元，本年支出</w:t>
      </w:r>
      <w:r>
        <w:rPr>
          <w:rFonts w:hint="eastAsia" w:ascii="仿宋" w:hAnsi="仿宋" w:eastAsia="仿宋"/>
          <w:szCs w:val="32"/>
        </w:rPr>
        <w:t>932.14</w:t>
      </w:r>
      <w:r>
        <w:rPr>
          <w:rFonts w:hint="eastAsia" w:ascii="仿宋" w:hAnsi="仿宋" w:eastAsia="仿宋" w:cs="仿宋"/>
          <w:szCs w:val="32"/>
        </w:rPr>
        <w:t>万元，年末结转和结余</w:t>
      </w:r>
      <w:r>
        <w:rPr>
          <w:rFonts w:hint="eastAsia" w:ascii="仿宋" w:hAnsi="仿宋" w:eastAsia="仿宋"/>
          <w:szCs w:val="32"/>
        </w:rPr>
        <w:t>39.56</w:t>
      </w:r>
      <w:r>
        <w:rPr>
          <w:rFonts w:hint="eastAsia" w:ascii="仿宋" w:hAnsi="仿宋" w:eastAsia="仿宋" w:cs="仿宋"/>
          <w:szCs w:val="32"/>
        </w:rPr>
        <w:t>万元（其中：财政拨款年初结转和结余7.4万元，本年收</w:t>
      </w:r>
      <w:r>
        <w:rPr>
          <w:rFonts w:hint="eastAsia" w:ascii="仿宋" w:hAnsi="仿宋" w:eastAsia="仿宋" w:cs="仿宋"/>
          <w:szCs w:val="32"/>
          <w:lang w:val="zh-CN"/>
        </w:rPr>
        <w:t>入</w:t>
      </w:r>
      <w:r>
        <w:rPr>
          <w:rFonts w:hint="eastAsia" w:ascii="仿宋" w:hAnsi="仿宋" w:eastAsia="仿宋"/>
          <w:szCs w:val="32"/>
        </w:rPr>
        <w:t>932.08</w:t>
      </w:r>
      <w:r>
        <w:rPr>
          <w:rFonts w:hint="eastAsia" w:ascii="仿宋" w:hAnsi="仿宋" w:eastAsia="仿宋" w:cs="仿宋"/>
          <w:szCs w:val="32"/>
        </w:rPr>
        <w:t>万元，本年支出</w:t>
      </w:r>
      <w:r>
        <w:rPr>
          <w:rFonts w:hint="eastAsia" w:ascii="仿宋" w:hAnsi="仿宋" w:eastAsia="仿宋"/>
          <w:szCs w:val="32"/>
        </w:rPr>
        <w:t>899.93</w:t>
      </w:r>
      <w:r>
        <w:rPr>
          <w:rFonts w:hint="eastAsia" w:ascii="仿宋" w:hAnsi="仿宋" w:eastAsia="仿宋" w:cs="仿宋"/>
          <w:szCs w:val="32"/>
        </w:rPr>
        <w:t>万元，年末结转和结余</w:t>
      </w:r>
      <w:r>
        <w:rPr>
          <w:rFonts w:hint="eastAsia" w:ascii="仿宋" w:hAnsi="仿宋" w:eastAsia="仿宋"/>
          <w:szCs w:val="32"/>
        </w:rPr>
        <w:t>39.56</w:t>
      </w:r>
      <w:r>
        <w:rPr>
          <w:rFonts w:hint="eastAsia" w:ascii="仿宋" w:hAnsi="仿宋" w:eastAsia="仿宋" w:cs="仿宋"/>
          <w:szCs w:val="32"/>
        </w:rPr>
        <w:t>万元）。比年初预算894.99万元，增长4.15%，主要是人员工资调整人员经费增加和交通补贴增加。</w:t>
      </w:r>
      <w:r>
        <w:rPr>
          <w:rFonts w:hint="eastAsia" w:ascii="仿宋" w:hAnsi="仿宋" w:eastAsia="仿宋"/>
          <w:szCs w:val="32"/>
        </w:rPr>
        <w:t>2016</w:t>
      </w:r>
      <w:r>
        <w:rPr>
          <w:rFonts w:hint="eastAsia" w:ascii="仿宋" w:hAnsi="仿宋" w:eastAsia="仿宋" w:cs="仿宋"/>
          <w:szCs w:val="32"/>
        </w:rPr>
        <w:t>年度上年结转和结余</w:t>
      </w:r>
      <w:r>
        <w:rPr>
          <w:rFonts w:hint="eastAsia" w:ascii="仿宋" w:hAnsi="仿宋" w:eastAsia="仿宋"/>
          <w:szCs w:val="32"/>
        </w:rPr>
        <w:t>41.84</w:t>
      </w:r>
      <w:r>
        <w:rPr>
          <w:rFonts w:hint="eastAsia" w:ascii="仿宋" w:hAnsi="仿宋" w:eastAsia="仿宋" w:cs="仿宋"/>
          <w:szCs w:val="32"/>
        </w:rPr>
        <w:t>万元，本年收入</w:t>
      </w:r>
      <w:r>
        <w:rPr>
          <w:rFonts w:hint="eastAsia" w:ascii="仿宋" w:hAnsi="仿宋" w:eastAsia="仿宋"/>
          <w:szCs w:val="32"/>
        </w:rPr>
        <w:t>1000.41</w:t>
      </w:r>
      <w:r>
        <w:rPr>
          <w:rFonts w:hint="eastAsia" w:ascii="仿宋" w:hAnsi="仿宋" w:eastAsia="仿宋" w:cs="仿宋"/>
          <w:szCs w:val="32"/>
        </w:rPr>
        <w:t>万元，本年支出</w:t>
      </w:r>
      <w:r>
        <w:rPr>
          <w:rFonts w:hint="eastAsia" w:ascii="仿宋" w:hAnsi="仿宋" w:eastAsia="仿宋"/>
          <w:szCs w:val="32"/>
        </w:rPr>
        <w:t>998.08</w:t>
      </w:r>
      <w:r>
        <w:rPr>
          <w:rFonts w:hint="eastAsia" w:ascii="仿宋" w:hAnsi="仿宋" w:eastAsia="仿宋" w:cs="仿宋"/>
          <w:szCs w:val="32"/>
        </w:rPr>
        <w:t>万元，年末结转和结余</w:t>
      </w:r>
      <w:r>
        <w:rPr>
          <w:rFonts w:hint="eastAsia" w:ascii="仿宋" w:hAnsi="仿宋" w:eastAsia="仿宋"/>
          <w:szCs w:val="32"/>
        </w:rPr>
        <w:t>44.17</w:t>
      </w:r>
      <w:r>
        <w:rPr>
          <w:rFonts w:hint="eastAsia" w:ascii="仿宋" w:hAnsi="仿宋" w:eastAsia="仿宋" w:cs="仿宋"/>
          <w:szCs w:val="32"/>
        </w:rPr>
        <w:t>万元。同比2016年收入减少68.33万元，降低6.8%，同比2016年支出</w:t>
      </w:r>
      <w:r>
        <w:rPr>
          <w:rFonts w:hint="eastAsia" w:ascii="仿宋" w:hAnsi="仿宋" w:eastAsia="仿宋"/>
          <w:szCs w:val="32"/>
        </w:rPr>
        <w:t>减少65.94</w:t>
      </w:r>
      <w:r>
        <w:rPr>
          <w:rFonts w:hint="eastAsia" w:ascii="仿宋" w:hAnsi="仿宋" w:eastAsia="仿宋" w:cs="仿宋"/>
          <w:szCs w:val="32"/>
        </w:rPr>
        <w:t>万元，降低6.6%。主要是因仪器设备购置减少，故项目支出减少。</w:t>
      </w:r>
    </w:p>
    <w:p>
      <w:pPr>
        <w:autoSpaceDE w:val="0"/>
        <w:autoSpaceDN w:val="0"/>
        <w:adjustRightInd w:val="0"/>
        <w:spacing w:line="580" w:lineRule="exact"/>
        <w:ind w:firstLine="630" w:firstLineChars="196"/>
        <w:rPr>
          <w:rFonts w:asciiTheme="majorEastAsia" w:hAnsiTheme="majorEastAsia" w:eastAsiaTheme="majorEastAsia"/>
          <w:b/>
          <w:szCs w:val="32"/>
        </w:rPr>
      </w:pPr>
      <w:r>
        <w:rPr>
          <w:rFonts w:hint="eastAsia" w:asciiTheme="majorEastAsia" w:hAnsiTheme="majorEastAsia" w:eastAsiaTheme="majorEastAsia"/>
          <w:b/>
          <w:szCs w:val="32"/>
        </w:rPr>
        <w:t>二、收入决算情况说明</w:t>
      </w:r>
    </w:p>
    <w:p>
      <w:pPr>
        <w:ind w:firstLine="640"/>
        <w:rPr>
          <w:rFonts w:ascii="仿宋" w:hAnsi="仿宋" w:eastAsia="仿宋" w:cs="仿宋"/>
          <w:szCs w:val="32"/>
        </w:rPr>
      </w:pPr>
      <w:r>
        <w:rPr>
          <w:rFonts w:hint="eastAsia" w:ascii="仿宋" w:hAnsi="仿宋" w:eastAsia="仿宋" w:cs="仿宋"/>
          <w:szCs w:val="32"/>
        </w:rPr>
        <w:t>本部门2017年本年收入</w:t>
      </w:r>
      <w:r>
        <w:rPr>
          <w:rFonts w:hint="eastAsia" w:ascii="仿宋" w:hAnsi="仿宋" w:eastAsia="仿宋"/>
          <w:szCs w:val="32"/>
        </w:rPr>
        <w:t>932.08</w:t>
      </w:r>
      <w:r>
        <w:rPr>
          <w:rFonts w:hint="eastAsia" w:ascii="仿宋" w:hAnsi="仿宋" w:eastAsia="仿宋" w:cs="仿宋"/>
          <w:szCs w:val="32"/>
        </w:rPr>
        <w:t>万元，其中：财政拨款收入</w:t>
      </w:r>
      <w:r>
        <w:rPr>
          <w:rFonts w:hint="eastAsia" w:ascii="仿宋" w:hAnsi="仿宋" w:eastAsia="仿宋"/>
          <w:szCs w:val="32"/>
        </w:rPr>
        <w:t>932.08</w:t>
      </w:r>
      <w:r>
        <w:rPr>
          <w:rFonts w:hint="eastAsia" w:ascii="仿宋" w:hAnsi="仿宋" w:eastAsia="仿宋" w:cs="仿宋"/>
          <w:szCs w:val="32"/>
        </w:rPr>
        <w:t>万元），占100%。包括：行政运行634.79万元（财政拨款收入634.79万元）、质量技术监督行政执法及业务管理198.38万元（财政拨款收入198.38万元）、机关事业单位基本养老保险缴费支出15.56万元（财政拨款收入15.56万元）、行政单位医疗45.96万元（财政拨款收入45.96万元）、住房公积金37.39万元（财政拨款收入37.39万元）。</w:t>
      </w:r>
    </w:p>
    <w:p>
      <w:pPr>
        <w:ind w:firstLine="672" w:firstLineChars="210"/>
        <w:rPr>
          <w:rFonts w:ascii="仿宋" w:hAnsi="仿宋" w:eastAsia="仿宋"/>
          <w:szCs w:val="32"/>
        </w:rPr>
      </w:pPr>
      <w:r>
        <w:rPr>
          <w:rFonts w:hint="eastAsia" w:ascii="仿宋" w:hAnsi="仿宋" w:eastAsia="仿宋"/>
          <w:szCs w:val="32"/>
        </w:rPr>
        <w:t>2016年决算总收入1000.41万元。其中，财政拨款收入1000.41万元。</w:t>
      </w:r>
    </w:p>
    <w:p>
      <w:pPr>
        <w:ind w:firstLine="672" w:firstLineChars="210"/>
        <w:rPr>
          <w:rFonts w:ascii="仿宋" w:hAnsi="仿宋" w:eastAsia="仿宋"/>
          <w:szCs w:val="32"/>
        </w:rPr>
      </w:pPr>
      <w:r>
        <w:rPr>
          <w:rFonts w:hint="eastAsia" w:ascii="仿宋" w:hAnsi="仿宋" w:eastAsia="仿宋"/>
          <w:szCs w:val="32"/>
        </w:rPr>
        <w:t>同比收入减少</w:t>
      </w:r>
      <w:r>
        <w:rPr>
          <w:rFonts w:hint="eastAsia" w:ascii="仿宋" w:hAnsi="仿宋" w:eastAsia="仿宋" w:cs="仿宋"/>
          <w:szCs w:val="32"/>
        </w:rPr>
        <w:t>68.33</w:t>
      </w:r>
      <w:r>
        <w:rPr>
          <w:rFonts w:hint="eastAsia" w:ascii="仿宋" w:hAnsi="仿宋" w:eastAsia="仿宋"/>
          <w:szCs w:val="32"/>
        </w:rPr>
        <w:t>万元，主要减少原因是</w:t>
      </w:r>
      <w:r>
        <w:rPr>
          <w:rFonts w:hint="eastAsia" w:ascii="仿宋" w:hAnsi="仿宋" w:eastAsia="仿宋" w:cs="仿宋"/>
          <w:szCs w:val="32"/>
        </w:rPr>
        <w:t>财政拨款收入减少（因仪器设备购置减少，故专项收入减少）</w:t>
      </w:r>
      <w:r>
        <w:rPr>
          <w:rFonts w:hint="eastAsia" w:ascii="仿宋" w:hAnsi="仿宋" w:eastAsia="仿宋"/>
          <w:szCs w:val="32"/>
        </w:rPr>
        <w:t>。</w:t>
      </w:r>
    </w:p>
    <w:p>
      <w:pPr>
        <w:ind w:firstLine="672" w:firstLineChars="210"/>
        <w:jc w:val="center"/>
        <w:rPr>
          <w:rFonts w:asciiTheme="majorEastAsia" w:hAnsiTheme="majorEastAsia" w:eastAsiaTheme="majorEastAsia"/>
          <w:szCs w:val="32"/>
        </w:rPr>
      </w:pPr>
      <w:r>
        <w:rPr>
          <w:rFonts w:hint="eastAsia" w:asciiTheme="majorEastAsia" w:hAnsiTheme="majorEastAsia" w:eastAsiaTheme="majorEastAsia"/>
          <w:szCs w:val="32"/>
        </w:rPr>
        <w:t>图1:收入决算结构饼状图</w:t>
      </w:r>
    </w:p>
    <w:p>
      <w:pPr>
        <w:ind w:firstLine="672" w:firstLineChars="210"/>
        <w:jc w:val="center"/>
        <w:rPr>
          <w:rFonts w:ascii="仿宋_GB2312"/>
          <w:szCs w:val="32"/>
        </w:rPr>
      </w:pPr>
      <w:r>
        <w:rPr>
          <w:rFonts w:ascii="仿宋_GB2312"/>
          <w:szCs w:val="32"/>
        </w:rPr>
        <w:drawing>
          <wp:anchor distT="0" distB="0" distL="114300" distR="114300" simplePos="0" relativeHeight="251659264" behindDoc="0" locked="0" layoutInCell="1" allowOverlap="1">
            <wp:simplePos x="0" y="0"/>
            <wp:positionH relativeFrom="column">
              <wp:posOffset>387985</wp:posOffset>
            </wp:positionH>
            <wp:positionV relativeFrom="paragraph">
              <wp:posOffset>383540</wp:posOffset>
            </wp:positionV>
            <wp:extent cx="5057775" cy="1600200"/>
            <wp:effectExtent l="19050" t="0" r="9525" b="0"/>
            <wp:wrapTopAndBottom/>
            <wp:docPr id="9" name="图表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anchor>
        </w:drawing>
      </w:r>
    </w:p>
    <w:p>
      <w:pPr>
        <w:ind w:firstLine="0" w:firstLineChars="0"/>
        <w:rPr>
          <w:rFonts w:ascii="仿宋_GB2312"/>
          <w:szCs w:val="32"/>
        </w:rPr>
      </w:pPr>
    </w:p>
    <w:p>
      <w:pPr>
        <w:ind w:firstLine="643"/>
        <w:rPr>
          <w:rFonts w:asciiTheme="majorEastAsia" w:hAnsiTheme="majorEastAsia" w:eastAsiaTheme="majorEastAsia"/>
          <w:b/>
          <w:szCs w:val="32"/>
        </w:rPr>
      </w:pPr>
      <w:r>
        <w:rPr>
          <w:rFonts w:hint="eastAsia" w:asciiTheme="majorEastAsia" w:hAnsiTheme="majorEastAsia" w:eastAsiaTheme="majorEastAsia"/>
          <w:b/>
          <w:szCs w:val="32"/>
        </w:rPr>
        <w:t>三、支出决算情况说明</w:t>
      </w:r>
    </w:p>
    <w:p>
      <w:pPr>
        <w:ind w:firstLine="640"/>
        <w:rPr>
          <w:rFonts w:ascii="仿宋" w:hAnsi="仿宋" w:eastAsia="仿宋" w:cs="仿宋"/>
          <w:szCs w:val="32"/>
        </w:rPr>
      </w:pPr>
      <w:r>
        <w:rPr>
          <w:rFonts w:hint="eastAsia" w:ascii="仿宋" w:hAnsi="仿宋" w:eastAsia="仿宋" w:cs="仿宋"/>
          <w:szCs w:val="32"/>
        </w:rPr>
        <w:t>本部门2017年本年支出</w:t>
      </w:r>
      <w:r>
        <w:rPr>
          <w:rFonts w:hint="eastAsia" w:ascii="仿宋" w:hAnsi="仿宋" w:eastAsia="仿宋"/>
          <w:szCs w:val="32"/>
        </w:rPr>
        <w:t>932.14</w:t>
      </w:r>
      <w:r>
        <w:rPr>
          <w:rFonts w:hint="eastAsia" w:ascii="仿宋" w:hAnsi="仿宋" w:eastAsia="仿宋" w:cs="仿宋"/>
          <w:szCs w:val="32"/>
        </w:rPr>
        <w:t>万元其中：基本支出765.87万元，占82.16%,项目支出166.27万元,占17.84%。包括：行政运行666.96万元（基本支出666.96万元）、质量技术监督行政执法及业务管理166.27万元（项目支出166.27万元）、机关事业单位基本养老保险缴费支出15.56万元（基本支出15.56万元）、行政单位医疗45.96万元（基本支出45.96万元）、住房公积金37.39万元（基本支出37.39万元）。</w:t>
      </w:r>
    </w:p>
    <w:p>
      <w:pPr>
        <w:ind w:firstLine="640"/>
        <w:rPr>
          <w:rFonts w:ascii="仿宋" w:hAnsi="仿宋" w:eastAsia="仿宋"/>
          <w:szCs w:val="32"/>
        </w:rPr>
      </w:pPr>
      <w:r>
        <w:rPr>
          <w:rFonts w:hint="eastAsia" w:ascii="仿宋" w:hAnsi="仿宋" w:eastAsia="仿宋"/>
          <w:szCs w:val="32"/>
        </w:rPr>
        <w:t>2016年决算总支出998.08万元。其中，基本支出745.61万元，项目支出252.47万元。</w:t>
      </w:r>
    </w:p>
    <w:p>
      <w:pPr>
        <w:ind w:firstLine="640"/>
        <w:rPr>
          <w:rFonts w:ascii="仿宋" w:hAnsi="仿宋" w:eastAsia="仿宋" w:cs="仿宋"/>
          <w:szCs w:val="32"/>
        </w:rPr>
      </w:pPr>
      <w:r>
        <w:rPr>
          <w:rFonts w:hint="eastAsia" w:ascii="仿宋" w:hAnsi="仿宋" w:eastAsia="仿宋"/>
          <w:szCs w:val="32"/>
        </w:rPr>
        <w:t>同比支出减少65.94万元，主要原因是</w:t>
      </w:r>
      <w:r>
        <w:rPr>
          <w:rFonts w:hint="eastAsia" w:ascii="仿宋" w:hAnsi="仿宋" w:eastAsia="仿宋" w:cs="仿宋"/>
          <w:szCs w:val="32"/>
        </w:rPr>
        <w:t>财政拨款支出减少（因仪器设备购置减少，故项目支出减少）。</w:t>
      </w:r>
    </w:p>
    <w:p>
      <w:pPr>
        <w:ind w:firstLine="640"/>
        <w:jc w:val="center"/>
        <w:rPr>
          <w:rFonts w:cs="仿宋" w:asciiTheme="majorEastAsia" w:hAnsiTheme="majorEastAsia" w:eastAsiaTheme="majorEastAsia"/>
          <w:szCs w:val="32"/>
        </w:rPr>
      </w:pPr>
      <w:r>
        <w:rPr>
          <w:rFonts w:hint="eastAsia" w:cs="仿宋" w:asciiTheme="majorEastAsia" w:hAnsiTheme="majorEastAsia" w:eastAsiaTheme="majorEastAsia"/>
          <w:szCs w:val="32"/>
        </w:rPr>
        <w:t>图2:支出决算结构饼状图</w:t>
      </w:r>
    </w:p>
    <w:p>
      <w:pPr>
        <w:ind w:firstLine="640"/>
        <w:jc w:val="center"/>
        <w:rPr>
          <w:rFonts w:cs="仿宋" w:asciiTheme="majorEastAsia" w:hAnsiTheme="majorEastAsia" w:eastAsiaTheme="majorEastAsia"/>
          <w:szCs w:val="32"/>
        </w:rPr>
      </w:pPr>
    </w:p>
    <w:p>
      <w:pPr>
        <w:ind w:firstLine="640"/>
        <w:jc w:val="center"/>
        <w:rPr>
          <w:rFonts w:ascii="仿宋_GB2312" w:cs="仿宋"/>
          <w:szCs w:val="32"/>
        </w:rPr>
      </w:pPr>
      <w:r>
        <w:rPr>
          <w:rFonts w:hint="eastAsia" w:ascii="仿宋_GB2312" w:cs="仿宋"/>
          <w:szCs w:val="32"/>
        </w:rPr>
        <w:drawing>
          <wp:anchor distT="0" distB="0" distL="114300" distR="114300" simplePos="0" relativeHeight="251660288" behindDoc="0" locked="0" layoutInCell="1" allowOverlap="1">
            <wp:simplePos x="0" y="0"/>
            <wp:positionH relativeFrom="column">
              <wp:posOffset>426085</wp:posOffset>
            </wp:positionH>
            <wp:positionV relativeFrom="paragraph">
              <wp:posOffset>-540385</wp:posOffset>
            </wp:positionV>
            <wp:extent cx="5305425" cy="1419225"/>
            <wp:effectExtent l="19050" t="0" r="9525" b="0"/>
            <wp:wrapNone/>
            <wp:docPr id="10" name="图表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anchor>
        </w:drawing>
      </w:r>
    </w:p>
    <w:p>
      <w:pPr>
        <w:ind w:firstLine="640"/>
        <w:rPr>
          <w:rFonts w:ascii="仿宋_GB2312" w:cs="仿宋"/>
          <w:szCs w:val="32"/>
        </w:rPr>
      </w:pPr>
    </w:p>
    <w:p>
      <w:pPr>
        <w:ind w:firstLine="640"/>
        <w:rPr>
          <w:rFonts w:ascii="仿宋_GB2312"/>
          <w:szCs w:val="32"/>
        </w:rPr>
      </w:pPr>
    </w:p>
    <w:p>
      <w:pPr>
        <w:ind w:firstLine="630" w:firstLineChars="196"/>
        <w:rPr>
          <w:rFonts w:asciiTheme="majorEastAsia" w:hAnsiTheme="majorEastAsia" w:eastAsiaTheme="majorEastAsia"/>
          <w:b/>
          <w:szCs w:val="32"/>
        </w:rPr>
      </w:pPr>
      <w:r>
        <w:rPr>
          <w:rFonts w:hint="eastAsia" w:asciiTheme="majorEastAsia" w:hAnsiTheme="majorEastAsia" w:eastAsiaTheme="majorEastAsia"/>
          <w:b/>
          <w:szCs w:val="32"/>
        </w:rPr>
        <w:t>四、财政拨款收入支出决算总体情况说明</w:t>
      </w:r>
    </w:p>
    <w:p>
      <w:pPr>
        <w:ind w:firstLine="643"/>
        <w:rPr>
          <w:rFonts w:ascii="仿宋" w:hAnsi="仿宋" w:eastAsia="仿宋" w:cs="仿宋"/>
          <w:b/>
          <w:szCs w:val="32"/>
        </w:rPr>
      </w:pPr>
      <w:r>
        <w:rPr>
          <w:rFonts w:hint="eastAsia" w:ascii="仿宋" w:hAnsi="仿宋" w:eastAsia="仿宋" w:cs="仿宋"/>
          <w:b/>
          <w:szCs w:val="32"/>
        </w:rPr>
        <w:t>（一）财政拨款收支与2016年度决算对比情况</w:t>
      </w:r>
    </w:p>
    <w:p>
      <w:pPr>
        <w:ind w:firstLine="640"/>
        <w:rPr>
          <w:rFonts w:ascii="仿宋" w:hAnsi="仿宋" w:eastAsia="仿宋" w:cs="仿宋"/>
          <w:szCs w:val="32"/>
        </w:rPr>
      </w:pPr>
      <w:r>
        <w:rPr>
          <w:rFonts w:hint="eastAsia" w:ascii="仿宋" w:hAnsi="仿宋" w:eastAsia="仿宋" w:cs="仿宋"/>
          <w:szCs w:val="32"/>
        </w:rPr>
        <w:t>本部门2017年度财政拨款收支全部为一般公共预算财政拨款收支。一般公共预算财政拨款年初结转和结余</w:t>
      </w:r>
      <w:r>
        <w:rPr>
          <w:rFonts w:hint="eastAsia" w:ascii="仿宋" w:hAnsi="仿宋" w:eastAsia="仿宋"/>
          <w:szCs w:val="32"/>
        </w:rPr>
        <w:t>7.4</w:t>
      </w:r>
      <w:r>
        <w:rPr>
          <w:rFonts w:hint="eastAsia" w:ascii="仿宋" w:hAnsi="仿宋" w:eastAsia="仿宋" w:cs="仿宋"/>
          <w:szCs w:val="32"/>
        </w:rPr>
        <w:t>万元（2017年年初结转和结余调整-4.55万元），本年财政拨款收</w:t>
      </w:r>
      <w:r>
        <w:rPr>
          <w:rFonts w:hint="eastAsia" w:ascii="仿宋" w:hAnsi="仿宋" w:eastAsia="仿宋" w:cs="仿宋"/>
          <w:szCs w:val="32"/>
          <w:lang w:val="zh-CN"/>
        </w:rPr>
        <w:t>入</w:t>
      </w:r>
      <w:r>
        <w:rPr>
          <w:rFonts w:hint="eastAsia" w:ascii="仿宋" w:hAnsi="仿宋" w:eastAsia="仿宋"/>
          <w:szCs w:val="32"/>
        </w:rPr>
        <w:t>932.08</w:t>
      </w:r>
      <w:r>
        <w:rPr>
          <w:rFonts w:hint="eastAsia" w:ascii="仿宋" w:hAnsi="仿宋" w:eastAsia="仿宋" w:cs="仿宋"/>
          <w:szCs w:val="32"/>
        </w:rPr>
        <w:t>万元（一般公共预算财政拨款收</w:t>
      </w:r>
      <w:r>
        <w:rPr>
          <w:rFonts w:hint="eastAsia" w:ascii="仿宋" w:hAnsi="仿宋" w:eastAsia="仿宋" w:cs="仿宋"/>
          <w:szCs w:val="32"/>
          <w:lang w:val="zh-CN"/>
        </w:rPr>
        <w:t>入</w:t>
      </w:r>
      <w:r>
        <w:rPr>
          <w:rFonts w:hint="eastAsia" w:ascii="仿宋" w:hAnsi="仿宋" w:eastAsia="仿宋"/>
          <w:szCs w:val="32"/>
        </w:rPr>
        <w:t>932.08</w:t>
      </w:r>
      <w:r>
        <w:rPr>
          <w:rFonts w:hint="eastAsia" w:ascii="仿宋" w:hAnsi="仿宋" w:eastAsia="仿宋" w:cs="仿宋"/>
          <w:szCs w:val="32"/>
        </w:rPr>
        <w:t>万元），本年一般公共预算财政拨款支出</w:t>
      </w:r>
      <w:r>
        <w:rPr>
          <w:rFonts w:hint="eastAsia" w:ascii="仿宋" w:hAnsi="仿宋" w:eastAsia="仿宋"/>
          <w:szCs w:val="32"/>
        </w:rPr>
        <w:t>899.93</w:t>
      </w:r>
      <w:r>
        <w:rPr>
          <w:rFonts w:hint="eastAsia" w:ascii="仿宋" w:hAnsi="仿宋" w:eastAsia="仿宋" w:cs="仿宋"/>
          <w:szCs w:val="32"/>
        </w:rPr>
        <w:t>万元（其中：一般公共服务支出801.02万元、社会保障和就业支出15.56万元、医疗卫生与计划生育支出45.96万元、住房保障支出37.39万元），年末财政拨款结转和结余</w:t>
      </w:r>
      <w:r>
        <w:rPr>
          <w:rFonts w:hint="eastAsia" w:ascii="仿宋" w:hAnsi="仿宋" w:eastAsia="仿宋"/>
          <w:szCs w:val="32"/>
        </w:rPr>
        <w:t>39.56</w:t>
      </w:r>
      <w:r>
        <w:rPr>
          <w:rFonts w:hint="eastAsia" w:ascii="仿宋" w:hAnsi="仿宋" w:eastAsia="仿宋" w:cs="仿宋"/>
          <w:szCs w:val="32"/>
        </w:rPr>
        <w:t>万元。</w:t>
      </w:r>
    </w:p>
    <w:p>
      <w:pPr>
        <w:ind w:firstLine="640"/>
        <w:rPr>
          <w:rFonts w:ascii="仿宋" w:hAnsi="仿宋" w:eastAsia="仿宋" w:cs="仿宋"/>
          <w:szCs w:val="32"/>
        </w:rPr>
      </w:pPr>
      <w:r>
        <w:rPr>
          <w:rFonts w:hint="eastAsia" w:ascii="仿宋" w:hAnsi="仿宋" w:eastAsia="仿宋" w:cs="仿宋"/>
          <w:szCs w:val="32"/>
        </w:rPr>
        <w:t>2016年一般公共预算财政拨款年初结转和结余</w:t>
      </w:r>
      <w:r>
        <w:rPr>
          <w:rFonts w:hint="eastAsia" w:ascii="仿宋" w:hAnsi="仿宋" w:eastAsia="仿宋"/>
          <w:szCs w:val="32"/>
        </w:rPr>
        <w:t>4.52</w:t>
      </w:r>
      <w:r>
        <w:rPr>
          <w:rFonts w:hint="eastAsia" w:ascii="仿宋" w:hAnsi="仿宋" w:eastAsia="仿宋" w:cs="仿宋"/>
          <w:szCs w:val="32"/>
        </w:rPr>
        <w:t>万元，本年财政拨款收</w:t>
      </w:r>
      <w:r>
        <w:rPr>
          <w:rFonts w:hint="eastAsia" w:ascii="仿宋" w:hAnsi="仿宋" w:eastAsia="仿宋" w:cs="仿宋"/>
          <w:szCs w:val="32"/>
          <w:lang w:val="zh-CN"/>
        </w:rPr>
        <w:t>入1000.41</w:t>
      </w:r>
      <w:r>
        <w:rPr>
          <w:rFonts w:hint="eastAsia" w:ascii="仿宋" w:hAnsi="仿宋" w:eastAsia="仿宋" w:cs="仿宋"/>
          <w:szCs w:val="32"/>
        </w:rPr>
        <w:t>万元（一般公共预算财政拨款收</w:t>
      </w:r>
      <w:r>
        <w:rPr>
          <w:rFonts w:hint="eastAsia" w:ascii="仿宋" w:hAnsi="仿宋" w:eastAsia="仿宋" w:cs="仿宋"/>
          <w:szCs w:val="32"/>
          <w:lang w:val="zh-CN"/>
        </w:rPr>
        <w:t>入1000.41</w:t>
      </w:r>
      <w:r>
        <w:rPr>
          <w:rFonts w:hint="eastAsia" w:ascii="仿宋" w:hAnsi="仿宋" w:eastAsia="仿宋" w:cs="仿宋"/>
          <w:szCs w:val="32"/>
        </w:rPr>
        <w:t>万元），本年一般公共预算财政拨款支出</w:t>
      </w:r>
      <w:r>
        <w:rPr>
          <w:rFonts w:hint="eastAsia" w:ascii="仿宋" w:hAnsi="仿宋" w:eastAsia="仿宋"/>
          <w:szCs w:val="32"/>
        </w:rPr>
        <w:t>992.98</w:t>
      </w:r>
      <w:r>
        <w:rPr>
          <w:rFonts w:hint="eastAsia" w:ascii="仿宋" w:hAnsi="仿宋" w:eastAsia="仿宋" w:cs="仿宋"/>
          <w:szCs w:val="32"/>
        </w:rPr>
        <w:t>万元（其中：一般公共服务支出</w:t>
      </w:r>
      <w:r>
        <w:rPr>
          <w:rFonts w:hint="eastAsia" w:ascii="仿宋" w:hAnsi="仿宋" w:eastAsia="仿宋"/>
          <w:szCs w:val="32"/>
        </w:rPr>
        <w:t>992.98</w:t>
      </w:r>
      <w:r>
        <w:rPr>
          <w:rFonts w:hint="eastAsia" w:ascii="仿宋" w:hAnsi="仿宋" w:eastAsia="仿宋" w:cs="仿宋"/>
          <w:szCs w:val="32"/>
        </w:rPr>
        <w:t>万元），年末财政拨款结转和结余</w:t>
      </w:r>
      <w:r>
        <w:rPr>
          <w:rFonts w:hint="eastAsia" w:ascii="仿宋" w:hAnsi="仿宋" w:eastAsia="仿宋"/>
          <w:szCs w:val="32"/>
        </w:rPr>
        <w:t>11.95</w:t>
      </w:r>
      <w:r>
        <w:rPr>
          <w:rFonts w:hint="eastAsia" w:ascii="仿宋" w:hAnsi="仿宋" w:eastAsia="仿宋" w:cs="仿宋"/>
          <w:szCs w:val="32"/>
        </w:rPr>
        <w:t>万元。</w:t>
      </w:r>
    </w:p>
    <w:p>
      <w:pPr>
        <w:ind w:firstLine="640"/>
        <w:rPr>
          <w:rFonts w:ascii="仿宋" w:hAnsi="仿宋" w:eastAsia="仿宋" w:cs="仿宋"/>
          <w:szCs w:val="32"/>
        </w:rPr>
      </w:pPr>
      <w:r>
        <w:rPr>
          <w:rFonts w:hint="eastAsia" w:ascii="仿宋" w:hAnsi="仿宋" w:eastAsia="仿宋" w:cs="仿宋"/>
          <w:szCs w:val="32"/>
        </w:rPr>
        <w:t>与2016年度决算相比，一般公共预算财政拨款本年收入减少68.33万元，降低6.8%；本年支出</w:t>
      </w:r>
      <w:r>
        <w:rPr>
          <w:rFonts w:hint="eastAsia" w:ascii="仿宋" w:hAnsi="仿宋" w:eastAsia="仿宋"/>
          <w:szCs w:val="32"/>
        </w:rPr>
        <w:t>减少93.05</w:t>
      </w:r>
      <w:r>
        <w:rPr>
          <w:rFonts w:hint="eastAsia" w:ascii="仿宋" w:hAnsi="仿宋" w:eastAsia="仿宋" w:cs="仿宋"/>
          <w:szCs w:val="32"/>
        </w:rPr>
        <w:t>万元,降低10.3%。主要是因仪器设备购置减少，故项目收入支出减少。</w:t>
      </w:r>
    </w:p>
    <w:p>
      <w:pPr>
        <w:ind w:firstLine="643"/>
        <w:rPr>
          <w:rFonts w:ascii="仿宋" w:hAnsi="仿宋" w:eastAsia="仿宋" w:cs="仿宋"/>
          <w:b/>
          <w:szCs w:val="32"/>
        </w:rPr>
      </w:pPr>
      <w:r>
        <w:rPr>
          <w:rFonts w:hint="eastAsia" w:ascii="仿宋" w:hAnsi="仿宋" w:eastAsia="仿宋" w:cs="仿宋"/>
          <w:b/>
          <w:szCs w:val="32"/>
        </w:rPr>
        <w:t>（二）财政拨款收支与年初预算数对比情况</w:t>
      </w:r>
    </w:p>
    <w:p>
      <w:pPr>
        <w:ind w:firstLine="640"/>
        <w:rPr>
          <w:rFonts w:ascii="仿宋" w:hAnsi="仿宋" w:eastAsia="仿宋" w:cs="仿宋"/>
          <w:szCs w:val="32"/>
        </w:rPr>
      </w:pPr>
      <w:r>
        <w:rPr>
          <w:rFonts w:hint="eastAsia" w:ascii="仿宋" w:hAnsi="仿宋" w:eastAsia="仿宋" w:cs="仿宋"/>
          <w:szCs w:val="32"/>
        </w:rPr>
        <w:t>本部门2017年度一般公共预算财政拨款本年收入较2017年初预算增加37.09万元，增长4.1%，主要是增加人员经费和交通补贴；本年支出增加4.94万元，增长0.5%，主要是增加人员经费和交通补贴，因仪器设备购置减少，故项目收入支出减少。</w:t>
      </w:r>
    </w:p>
    <w:p>
      <w:pPr>
        <w:ind w:firstLine="643"/>
        <w:rPr>
          <w:rFonts w:asciiTheme="majorEastAsia" w:hAnsiTheme="majorEastAsia" w:eastAsiaTheme="majorEastAsia"/>
          <w:b/>
        </w:rPr>
      </w:pPr>
      <w:r>
        <w:rPr>
          <w:rFonts w:hint="eastAsia" w:asciiTheme="majorEastAsia" w:hAnsiTheme="majorEastAsia" w:eastAsiaTheme="majorEastAsia"/>
          <w:b/>
        </w:rPr>
        <w:t>五、“三公”经费支出决算情况说明</w:t>
      </w:r>
    </w:p>
    <w:p>
      <w:pPr>
        <w:widowControl/>
        <w:spacing w:line="315" w:lineRule="atLeast"/>
        <w:ind w:firstLine="640"/>
        <w:jc w:val="left"/>
        <w:rPr>
          <w:rFonts w:ascii="仿宋" w:hAnsi="仿宋" w:eastAsia="仿宋"/>
          <w:szCs w:val="32"/>
        </w:rPr>
      </w:pPr>
      <w:r>
        <w:rPr>
          <w:rFonts w:hint="eastAsia" w:ascii="仿宋" w:hAnsi="仿宋" w:eastAsia="仿宋"/>
          <w:szCs w:val="32"/>
        </w:rPr>
        <w:t>本部门2017年部门“三公”经费支出共计5.32万元。较年初预算减少0.53万元，降低9%；较2016年度决算减少2.66万元，降低33.33%，主要原因是因公车改革减少了公务用车数量和更换了耗油高和维修成本高的旧车。具体情况如下：</w:t>
      </w:r>
    </w:p>
    <w:p>
      <w:pPr>
        <w:ind w:firstLine="645" w:firstLineChars="0"/>
        <w:rPr>
          <w:rFonts w:ascii="仿宋" w:hAnsi="仿宋" w:eastAsia="仿宋"/>
          <w:szCs w:val="32"/>
        </w:rPr>
      </w:pPr>
      <w:r>
        <w:rPr>
          <w:rFonts w:hint="eastAsia" w:ascii="仿宋" w:hAnsi="仿宋" w:eastAsia="仿宋"/>
          <w:b/>
          <w:szCs w:val="32"/>
        </w:rPr>
        <w:t>（一）因公出国（境）费支出0万元。</w:t>
      </w:r>
      <w:r>
        <w:rPr>
          <w:rFonts w:hint="eastAsia" w:ascii="仿宋" w:hAnsi="仿宋" w:eastAsia="仿宋" w:cs="DengXian-Regular"/>
          <w:szCs w:val="32"/>
        </w:rPr>
        <w:t>本部门2017年度参加其他单位组织</w:t>
      </w:r>
      <w:r>
        <w:rPr>
          <w:rFonts w:hint="eastAsia" w:ascii="仿宋" w:hAnsi="仿宋" w:eastAsia="仿宋"/>
          <w:szCs w:val="32"/>
        </w:rPr>
        <w:t>的因公出国（境）团组0个，共0人</w:t>
      </w:r>
      <w:r>
        <w:rPr>
          <w:rFonts w:hint="eastAsia" w:ascii="仿宋" w:hAnsi="仿宋" w:eastAsia="仿宋" w:cs="DengXian-Regular"/>
          <w:szCs w:val="32"/>
        </w:rPr>
        <w:t>/无本单位组织的出国（境）团组。</w:t>
      </w:r>
      <w:r>
        <w:rPr>
          <w:rFonts w:hint="eastAsia" w:ascii="仿宋" w:hAnsi="仿宋" w:eastAsia="仿宋"/>
          <w:szCs w:val="32"/>
        </w:rPr>
        <w:t>较年初预算无增减变化；较2016年度决算无增减变化。</w:t>
      </w:r>
    </w:p>
    <w:p>
      <w:pPr>
        <w:widowControl/>
        <w:spacing w:line="315" w:lineRule="atLeast"/>
        <w:ind w:firstLine="643"/>
        <w:jc w:val="left"/>
        <w:rPr>
          <w:rFonts w:ascii="仿宋" w:hAnsi="仿宋" w:eastAsia="仿宋"/>
          <w:szCs w:val="32"/>
        </w:rPr>
      </w:pPr>
      <w:r>
        <w:rPr>
          <w:rFonts w:hint="eastAsia" w:ascii="仿宋" w:hAnsi="仿宋" w:eastAsia="仿宋"/>
          <w:b/>
          <w:szCs w:val="32"/>
        </w:rPr>
        <w:t>（二）公务用车购置及运行维护费支5.32万元。</w:t>
      </w:r>
      <w:r>
        <w:rPr>
          <w:rFonts w:hint="eastAsia" w:ascii="仿宋" w:hAnsi="仿宋" w:eastAsia="仿宋"/>
          <w:szCs w:val="32"/>
        </w:rPr>
        <w:t>（购置费0万元,运行费5.32万元），公务用车购置0辆，保有量2辆。</w:t>
      </w:r>
      <w:r>
        <w:rPr>
          <w:rFonts w:hint="eastAsia" w:ascii="仿宋" w:hAnsi="仿宋" w:eastAsia="仿宋" w:cs="DengXian-Regular"/>
          <w:szCs w:val="32"/>
        </w:rPr>
        <w:t>本部门2017年度公务用车购置及运行维护费</w:t>
      </w:r>
      <w:r>
        <w:rPr>
          <w:rFonts w:hint="eastAsia" w:ascii="仿宋" w:hAnsi="仿宋" w:eastAsia="仿宋"/>
          <w:szCs w:val="32"/>
        </w:rPr>
        <w:t>比年初预算减少0.08万元，降低1.5%；较2016年度决算减少2.66万元，降低33.33%，主要原因是因公车改革减少了公务用车数量和更换了耗油高和维修成本高的旧车。</w:t>
      </w:r>
    </w:p>
    <w:p>
      <w:pPr>
        <w:widowControl/>
        <w:spacing w:line="315" w:lineRule="atLeast"/>
        <w:ind w:firstLine="643"/>
        <w:jc w:val="left"/>
        <w:rPr>
          <w:rFonts w:ascii="仿宋" w:hAnsi="仿宋" w:eastAsia="仿宋"/>
          <w:szCs w:val="32"/>
        </w:rPr>
      </w:pPr>
      <w:r>
        <w:rPr>
          <w:rFonts w:hint="eastAsia" w:ascii="仿宋" w:hAnsi="仿宋" w:eastAsia="仿宋"/>
          <w:b/>
          <w:szCs w:val="32"/>
        </w:rPr>
        <w:t>（三）公务接待费支出0万元</w:t>
      </w:r>
      <w:r>
        <w:rPr>
          <w:rFonts w:hint="eastAsia" w:ascii="仿宋" w:hAnsi="仿宋" w:eastAsia="仿宋"/>
          <w:szCs w:val="32"/>
        </w:rPr>
        <w:t>。</w:t>
      </w:r>
      <w:r>
        <w:rPr>
          <w:rFonts w:hint="eastAsia" w:ascii="仿宋" w:hAnsi="仿宋" w:eastAsia="仿宋" w:cs="DengXian-Regular"/>
          <w:szCs w:val="32"/>
        </w:rPr>
        <w:t>本部门2017年度</w:t>
      </w:r>
      <w:r>
        <w:rPr>
          <w:rFonts w:hint="eastAsia" w:ascii="仿宋" w:hAnsi="仿宋" w:eastAsia="仿宋"/>
          <w:szCs w:val="32"/>
        </w:rPr>
        <w:t>公务接待共0批次0人。公务接待费支出较年初预算减少0.45万元，降低100%，较2016年度决算减少0.19万元，降低100%，主要是2016年度迎接2015年省质量考核实地核查工作经鹿泉区政府批示同意，此项工作有我局安排接待，2017年度此项接待工作不在有我局安排。</w:t>
      </w:r>
    </w:p>
    <w:p>
      <w:pPr>
        <w:pStyle w:val="5"/>
        <w:shd w:val="clear" w:color="auto" w:fill="FFFFFF"/>
        <w:spacing w:before="0" w:beforeAutospacing="0" w:after="0" w:afterAutospacing="0" w:line="384" w:lineRule="atLeast"/>
        <w:ind w:firstLine="630" w:firstLineChars="196"/>
        <w:rPr>
          <w:rFonts w:asciiTheme="majorEastAsia" w:hAnsiTheme="majorEastAsia" w:eastAsiaTheme="majorEastAsia"/>
          <w:b/>
          <w:sz w:val="32"/>
          <w:szCs w:val="32"/>
        </w:rPr>
      </w:pPr>
      <w:r>
        <w:rPr>
          <w:rFonts w:hint="eastAsia" w:asciiTheme="majorEastAsia" w:hAnsiTheme="majorEastAsia" w:eastAsiaTheme="majorEastAsia"/>
          <w:b/>
          <w:sz w:val="32"/>
          <w:szCs w:val="32"/>
        </w:rPr>
        <w:t>六、预算绩效管理工作开展情况说明</w:t>
      </w:r>
    </w:p>
    <w:p>
      <w:pPr>
        <w:widowControl/>
        <w:spacing w:line="580" w:lineRule="atLeast"/>
        <w:ind w:firstLine="640"/>
        <w:jc w:val="left"/>
        <w:rPr>
          <w:rFonts w:hint="eastAsia" w:ascii="仿宋" w:hAnsi="仿宋" w:eastAsia="仿宋" w:cs="宋体"/>
          <w:kern w:val="0"/>
          <w:szCs w:val="32"/>
        </w:rPr>
      </w:pPr>
      <w:r>
        <w:rPr>
          <w:rFonts w:hint="eastAsia" w:ascii="仿宋" w:hAnsi="仿宋" w:eastAsia="仿宋" w:cs="宋体"/>
          <w:kern w:val="0"/>
          <w:szCs w:val="32"/>
        </w:rPr>
        <w:t>（一）绩效管理工作开展情况</w:t>
      </w:r>
    </w:p>
    <w:p>
      <w:pPr>
        <w:adjustRightInd w:val="0"/>
        <w:snapToGrid w:val="0"/>
        <w:ind w:firstLine="640"/>
        <w:rPr>
          <w:rFonts w:ascii="仿宋" w:hAnsi="仿宋" w:eastAsia="仿宋" w:cs="DengXian-Regular"/>
          <w:color w:val="000000" w:themeColor="text1"/>
          <w:szCs w:val="32"/>
        </w:rPr>
      </w:pPr>
      <w:r>
        <w:rPr>
          <w:rFonts w:hint="eastAsia" w:ascii="仿宋" w:hAnsi="仿宋" w:eastAsia="仿宋" w:cs="DengXian-Regular"/>
          <w:color w:val="000000" w:themeColor="text1"/>
          <w:szCs w:val="32"/>
        </w:rPr>
        <w:t>根据绩效预算管理改革督察要求，本单位认真开展了预算绩效管理改革开展情况自查，对部门全面规范绩效预算编制、严格预算执行管理、推进绩效评价工作、推进预决算信息公开等方面进行了自评，根据中国石家庄市委全面深化改革领导小组办公室《关于推进绩效预算管理改革情况的督察通报》（石改革办字[2018]25号），考核结果为良好。</w:t>
      </w:r>
    </w:p>
    <w:p>
      <w:pPr>
        <w:adjustRightInd w:val="0"/>
        <w:snapToGrid w:val="0"/>
        <w:ind w:firstLine="640"/>
        <w:rPr>
          <w:rFonts w:ascii="仿宋" w:hAnsi="仿宋" w:eastAsia="仿宋" w:cs="DengXian-Regular"/>
          <w:szCs w:val="32"/>
        </w:rPr>
      </w:pPr>
      <w:r>
        <w:rPr>
          <w:rFonts w:hint="eastAsia" w:ascii="仿宋" w:hAnsi="仿宋" w:eastAsia="仿宋" w:cs="DengXian-Regular"/>
          <w:szCs w:val="32"/>
        </w:rPr>
        <w:t>（二）预算项目绩效评价开展情况</w:t>
      </w:r>
    </w:p>
    <w:p>
      <w:pPr>
        <w:adjustRightInd w:val="0"/>
        <w:snapToGrid w:val="0"/>
        <w:ind w:firstLine="640"/>
        <w:rPr>
          <w:rFonts w:ascii="仿宋" w:hAnsi="仿宋" w:eastAsia="仿宋" w:cs="DengXian-Regular"/>
          <w:szCs w:val="32"/>
        </w:rPr>
      </w:pPr>
      <w:r>
        <w:rPr>
          <w:rFonts w:hint="eastAsia" w:ascii="仿宋" w:hAnsi="仿宋" w:eastAsia="仿宋" w:cs="DengXian-Regular"/>
          <w:szCs w:val="32"/>
        </w:rPr>
        <w:t>根据预算绩效管理要求，本单位组织对2017年度一般公共预算项目支出全面开展绩效自评，涉及打假办案经费、监督管理经费、产品质量检验检测经费等5个项目，涉及资金205.78万元。从评价情况看，评价结果为优秀的项目有3个，良好的项目有2个，一般的项目有0个。</w:t>
      </w:r>
    </w:p>
    <w:p>
      <w:pPr>
        <w:adjustRightInd w:val="0"/>
        <w:snapToGrid w:val="0"/>
        <w:ind w:firstLine="640"/>
        <w:rPr>
          <w:rFonts w:ascii="仿宋" w:hAnsi="仿宋" w:eastAsia="仿宋" w:cs="DengXian-Regular"/>
          <w:szCs w:val="32"/>
        </w:rPr>
      </w:pPr>
      <w:r>
        <w:rPr>
          <w:rFonts w:hint="eastAsia" w:ascii="仿宋" w:hAnsi="仿宋" w:eastAsia="仿宋" w:cs="DengXian-Regular"/>
          <w:szCs w:val="32"/>
        </w:rPr>
        <w:t>（三）预算项目绩效自评选例</w:t>
      </w:r>
    </w:p>
    <w:p>
      <w:pPr>
        <w:ind w:firstLine="470" w:firstLineChars="147"/>
        <w:rPr>
          <w:rFonts w:ascii="仿宋" w:hAnsi="仿宋" w:eastAsia="仿宋"/>
          <w:szCs w:val="32"/>
        </w:rPr>
      </w:pPr>
      <w:r>
        <w:rPr>
          <w:rFonts w:hint="eastAsia" w:ascii="仿宋" w:hAnsi="仿宋" w:eastAsia="仿宋" w:cs="DengXian-Regular"/>
          <w:szCs w:val="32"/>
        </w:rPr>
        <w:t>本单位打假办案经费项目绩效自评：根据年初设定的绩效目标，打假办案经费项目绩效自评结果为优秀。项目全年预算数为10万元，执行数为10万元，完成预算的100%。主要产出和效果是及时查办违法企业、案件办结率和审限结案率达到100%、执法办案行为投诉率为0。下一步我局将</w:t>
      </w:r>
      <w:r>
        <w:rPr>
          <w:rFonts w:hint="eastAsia" w:ascii="仿宋" w:hAnsi="仿宋" w:eastAsia="仿宋"/>
          <w:szCs w:val="32"/>
        </w:rPr>
        <w:t>继续保持执法打假高压态势。继续开展“双打”专项行动，严厉查处掺杂掺假，以假充真，以次充好，以不合格产品冒充合格产品等违法行为。依法建立起执法联动机制，推进行政执法责任制，建立健全行政执法监督制约机制，保证行政执法合法、合理、公正公开地进行；努力建设一支精干、高效、勤政、廉洁的行政执法队伍。</w:t>
      </w:r>
    </w:p>
    <w:p>
      <w:pPr>
        <w:pStyle w:val="5"/>
        <w:shd w:val="clear" w:color="auto" w:fill="FFFFFF"/>
        <w:spacing w:before="0" w:beforeAutospacing="0" w:after="0" w:afterAutospacing="0" w:line="384" w:lineRule="atLeast"/>
        <w:ind w:firstLine="630" w:firstLineChars="196"/>
        <w:rPr>
          <w:rFonts w:asciiTheme="majorEastAsia" w:hAnsiTheme="majorEastAsia" w:eastAsiaTheme="majorEastAsia"/>
          <w:b/>
          <w:sz w:val="32"/>
          <w:szCs w:val="32"/>
        </w:rPr>
      </w:pPr>
      <w:r>
        <w:rPr>
          <w:rFonts w:hint="eastAsia" w:asciiTheme="majorEastAsia" w:hAnsiTheme="majorEastAsia" w:eastAsiaTheme="majorEastAsia"/>
          <w:b/>
          <w:sz w:val="32"/>
          <w:szCs w:val="32"/>
        </w:rPr>
        <w:t>七、其它重要事项的说明</w:t>
      </w:r>
    </w:p>
    <w:p>
      <w:pPr>
        <w:pStyle w:val="5"/>
        <w:shd w:val="clear" w:color="auto" w:fill="FFFFFF"/>
        <w:spacing w:before="0" w:beforeAutospacing="0" w:after="0" w:afterAutospacing="0" w:line="384" w:lineRule="atLeast"/>
        <w:ind w:firstLine="628" w:firstLineChars="196"/>
        <w:rPr>
          <w:rFonts w:ascii="仿宋" w:hAnsi="仿宋" w:eastAsia="仿宋"/>
          <w:b/>
          <w:sz w:val="32"/>
          <w:szCs w:val="32"/>
        </w:rPr>
      </w:pPr>
      <w:r>
        <w:rPr>
          <w:rFonts w:hint="eastAsia" w:ascii="仿宋" w:hAnsi="仿宋" w:eastAsia="仿宋"/>
          <w:b/>
          <w:sz w:val="32"/>
          <w:szCs w:val="32"/>
        </w:rPr>
        <w:t>（一）机关运行经费支出情况</w:t>
      </w:r>
    </w:p>
    <w:p>
      <w:pPr>
        <w:pStyle w:val="5"/>
        <w:shd w:val="clear" w:color="auto" w:fill="FFFFFF"/>
        <w:spacing w:before="0" w:beforeAutospacing="0" w:after="0" w:afterAutospacing="0" w:line="384" w:lineRule="atLeast"/>
        <w:ind w:firstLine="640" w:firstLineChars="200"/>
        <w:rPr>
          <w:rFonts w:ascii="仿宋" w:hAnsi="仿宋" w:eastAsia="仿宋"/>
          <w:sz w:val="32"/>
          <w:szCs w:val="32"/>
        </w:rPr>
      </w:pPr>
      <w:r>
        <w:rPr>
          <w:rFonts w:hint="eastAsia" w:ascii="仿宋" w:hAnsi="仿宋" w:eastAsia="仿宋"/>
          <w:sz w:val="32"/>
          <w:szCs w:val="32"/>
        </w:rPr>
        <w:t>本部门2017年机关运行经费支出5</w:t>
      </w:r>
      <w:r>
        <w:rPr>
          <w:rFonts w:hint="eastAsia" w:ascii="仿宋" w:hAnsi="仿宋" w:eastAsia="仿宋"/>
          <w:sz w:val="32"/>
          <w:szCs w:val="32"/>
          <w:lang w:val="en-US" w:eastAsia="zh-CN"/>
        </w:rPr>
        <w:t>5</w:t>
      </w:r>
      <w:r>
        <w:rPr>
          <w:rFonts w:hint="eastAsia" w:ascii="仿宋" w:hAnsi="仿宋" w:eastAsia="仿宋"/>
          <w:sz w:val="32"/>
          <w:szCs w:val="32"/>
        </w:rPr>
        <w:t>.</w:t>
      </w:r>
      <w:r>
        <w:rPr>
          <w:rFonts w:hint="eastAsia" w:ascii="仿宋" w:hAnsi="仿宋" w:eastAsia="仿宋"/>
          <w:sz w:val="32"/>
          <w:szCs w:val="32"/>
          <w:lang w:val="en-US" w:eastAsia="zh-CN"/>
        </w:rPr>
        <w:t>28</w:t>
      </w:r>
      <w:r>
        <w:rPr>
          <w:rFonts w:hint="eastAsia" w:ascii="仿宋" w:hAnsi="仿宋" w:eastAsia="仿宋"/>
          <w:sz w:val="32"/>
          <w:szCs w:val="32"/>
        </w:rPr>
        <w:t>万元（其中：办公费3.</w:t>
      </w:r>
      <w:r>
        <w:rPr>
          <w:rFonts w:hint="eastAsia" w:ascii="仿宋" w:hAnsi="仿宋" w:eastAsia="仿宋"/>
          <w:sz w:val="32"/>
          <w:szCs w:val="32"/>
          <w:lang w:val="en-US" w:eastAsia="zh-CN"/>
        </w:rPr>
        <w:t>26</w:t>
      </w:r>
      <w:r>
        <w:rPr>
          <w:rFonts w:hint="eastAsia" w:ascii="仿宋" w:hAnsi="仿宋" w:eastAsia="仿宋"/>
          <w:sz w:val="32"/>
          <w:szCs w:val="32"/>
        </w:rPr>
        <w:t>万元、印刷费0.03万元、手续费0.14万元、水费2.06万元、电费7万元、邮电费4.5万元、取暖费15.03万元、物业管理费0.</w:t>
      </w:r>
      <w:r>
        <w:rPr>
          <w:rFonts w:hint="eastAsia" w:ascii="仿宋" w:hAnsi="仿宋" w:eastAsia="仿宋"/>
          <w:sz w:val="32"/>
          <w:szCs w:val="32"/>
          <w:lang w:val="en-US" w:eastAsia="zh-CN"/>
        </w:rPr>
        <w:t>16</w:t>
      </w:r>
      <w:r>
        <w:rPr>
          <w:rFonts w:hint="eastAsia" w:ascii="仿宋" w:hAnsi="仿宋" w:eastAsia="仿宋"/>
          <w:sz w:val="32"/>
          <w:szCs w:val="32"/>
        </w:rPr>
        <w:t>万元、维修费</w:t>
      </w:r>
      <w:r>
        <w:rPr>
          <w:rFonts w:hint="eastAsia" w:ascii="仿宋" w:hAnsi="仿宋" w:eastAsia="仿宋"/>
          <w:sz w:val="32"/>
          <w:szCs w:val="32"/>
          <w:lang w:val="en-US" w:eastAsia="zh-CN"/>
        </w:rPr>
        <w:t>0.76</w:t>
      </w:r>
      <w:r>
        <w:rPr>
          <w:rFonts w:hint="eastAsia" w:ascii="仿宋" w:hAnsi="仿宋" w:eastAsia="仿宋"/>
          <w:sz w:val="32"/>
          <w:szCs w:val="32"/>
        </w:rPr>
        <w:t>万元、福利费3.97万元、公务用车运行维护费5.32万元、其他交通费用12.76万元、其他商品和服务支出0.</w:t>
      </w:r>
      <w:r>
        <w:rPr>
          <w:rFonts w:hint="eastAsia" w:ascii="仿宋" w:hAnsi="仿宋" w:eastAsia="仿宋"/>
          <w:sz w:val="32"/>
          <w:szCs w:val="32"/>
          <w:lang w:val="en-US" w:eastAsia="zh-CN"/>
        </w:rPr>
        <w:t>29</w:t>
      </w:r>
      <w:r>
        <w:rPr>
          <w:rFonts w:hint="eastAsia" w:ascii="仿宋" w:hAnsi="仿宋" w:eastAsia="仿宋"/>
          <w:sz w:val="32"/>
          <w:szCs w:val="32"/>
        </w:rPr>
        <w:t>万元），比2016年增加1</w:t>
      </w:r>
      <w:r>
        <w:rPr>
          <w:rFonts w:hint="eastAsia" w:ascii="仿宋" w:hAnsi="仿宋" w:eastAsia="仿宋"/>
          <w:sz w:val="32"/>
          <w:szCs w:val="32"/>
          <w:lang w:val="en-US" w:eastAsia="zh-CN"/>
        </w:rPr>
        <w:t>2.86</w:t>
      </w:r>
      <w:r>
        <w:rPr>
          <w:rFonts w:hint="eastAsia" w:ascii="仿宋" w:hAnsi="仿宋" w:eastAsia="仿宋"/>
          <w:sz w:val="32"/>
          <w:szCs w:val="32"/>
        </w:rPr>
        <w:t>万元，增长</w:t>
      </w:r>
      <w:r>
        <w:rPr>
          <w:rFonts w:hint="eastAsia" w:ascii="仿宋" w:hAnsi="仿宋" w:eastAsia="仿宋"/>
          <w:sz w:val="32"/>
          <w:szCs w:val="32"/>
          <w:lang w:val="en-US" w:eastAsia="zh-CN"/>
        </w:rPr>
        <w:t>30</w:t>
      </w:r>
      <w:r>
        <w:rPr>
          <w:rFonts w:hint="eastAsia" w:ascii="仿宋" w:hAnsi="仿宋" w:eastAsia="仿宋"/>
          <w:sz w:val="32"/>
          <w:szCs w:val="32"/>
        </w:rPr>
        <w:t>%。主要原因是机关正常运行中水电、邮电费用增加公车改革补贴增加。</w:t>
      </w:r>
    </w:p>
    <w:p>
      <w:pPr>
        <w:pStyle w:val="5"/>
        <w:shd w:val="clear" w:color="auto" w:fill="FFFFFF"/>
        <w:spacing w:before="0" w:beforeAutospacing="0" w:after="0" w:afterAutospacing="0" w:line="384" w:lineRule="atLeast"/>
        <w:ind w:firstLine="640" w:firstLineChars="200"/>
        <w:rPr>
          <w:rFonts w:ascii="仿宋" w:hAnsi="仿宋" w:eastAsia="仿宋"/>
          <w:b/>
          <w:sz w:val="32"/>
          <w:szCs w:val="32"/>
        </w:rPr>
      </w:pPr>
      <w:r>
        <w:rPr>
          <w:rFonts w:hint="eastAsia" w:ascii="仿宋" w:hAnsi="仿宋" w:eastAsia="仿宋"/>
          <w:b/>
          <w:sz w:val="32"/>
          <w:szCs w:val="32"/>
        </w:rPr>
        <w:t>（二）政府采购情况</w:t>
      </w:r>
    </w:p>
    <w:p>
      <w:pPr>
        <w:ind w:firstLine="640"/>
        <w:rPr>
          <w:rFonts w:ascii="仿宋" w:hAnsi="仿宋" w:eastAsia="仿宋"/>
          <w:szCs w:val="32"/>
        </w:rPr>
      </w:pPr>
      <w:r>
        <w:rPr>
          <w:rFonts w:hint="eastAsia" w:ascii="仿宋" w:hAnsi="仿宋" w:eastAsia="仿宋"/>
          <w:szCs w:val="32"/>
        </w:rPr>
        <w:t>本部门2017年政府采购支出总额24.89万元，其中：政府采购货物支出24.89万元、政府采购工程支出0万元、政府采购服务支出0万元。</w:t>
      </w:r>
    </w:p>
    <w:p>
      <w:pPr>
        <w:pStyle w:val="5"/>
        <w:shd w:val="clear" w:color="auto" w:fill="FFFFFF"/>
        <w:spacing w:before="0" w:beforeAutospacing="0" w:after="0" w:afterAutospacing="0" w:line="384" w:lineRule="atLeast"/>
        <w:ind w:firstLine="640" w:firstLineChars="200"/>
        <w:rPr>
          <w:rFonts w:ascii="仿宋" w:hAnsi="仿宋" w:eastAsia="仿宋"/>
          <w:b/>
          <w:sz w:val="32"/>
          <w:szCs w:val="32"/>
        </w:rPr>
      </w:pPr>
      <w:r>
        <w:rPr>
          <w:rFonts w:hint="eastAsia" w:ascii="仿宋" w:hAnsi="仿宋" w:eastAsia="仿宋"/>
          <w:b/>
          <w:sz w:val="32"/>
          <w:szCs w:val="32"/>
        </w:rPr>
        <w:t>（三）国有资产占用情况</w:t>
      </w:r>
    </w:p>
    <w:p>
      <w:pPr>
        <w:pStyle w:val="5"/>
        <w:shd w:val="clear" w:color="auto" w:fill="FFFFFF"/>
        <w:spacing w:before="0" w:beforeAutospacing="0" w:after="0" w:afterAutospacing="0" w:line="384" w:lineRule="atLeast"/>
        <w:ind w:firstLine="640" w:firstLineChars="200"/>
        <w:rPr>
          <w:rFonts w:hint="eastAsia" w:ascii="仿宋" w:hAnsi="仿宋" w:eastAsia="仿宋"/>
          <w:sz w:val="32"/>
          <w:szCs w:val="32"/>
        </w:rPr>
      </w:pPr>
      <w:r>
        <w:rPr>
          <w:rFonts w:hint="eastAsia" w:ascii="仿宋" w:hAnsi="仿宋" w:eastAsia="仿宋"/>
          <w:sz w:val="32"/>
          <w:szCs w:val="32"/>
        </w:rPr>
        <w:t>截止2017年12月31日，本部门共有车辆4辆，其中，市级领导干部用车0辆、一般公务用车2辆、一般执法执勤用车0辆、特种专业技术用车2辆、其他用车0辆；单位价值50万元以上大型设备0台（套），单位价值100万元以上大型设备0台（套）。</w:t>
      </w:r>
      <w:bookmarkStart w:id="0" w:name="_GoBack"/>
      <w:bookmarkEnd w:id="0"/>
    </w:p>
    <w:p>
      <w:pPr>
        <w:pStyle w:val="5"/>
        <w:shd w:val="clear" w:color="auto" w:fill="FFFFFF"/>
        <w:spacing w:before="0" w:beforeAutospacing="0" w:after="0" w:afterAutospacing="0" w:line="384" w:lineRule="atLeast"/>
        <w:ind w:firstLine="640" w:firstLineChars="200"/>
        <w:rPr>
          <w:rFonts w:hint="eastAsia" w:ascii="仿宋_GB2312" w:hAnsi="仿宋_GB2312" w:eastAsia="仿宋_GB2312" w:cs="仿宋_GB2312"/>
          <w:b/>
          <w:sz w:val="32"/>
          <w:szCs w:val="32"/>
        </w:rPr>
      </w:pPr>
      <w:r>
        <w:rPr>
          <w:rFonts w:hint="eastAsia" w:ascii="仿宋_GB2312" w:hAnsi="仿宋_GB2312" w:eastAsia="仿宋_GB2312" w:cs="仿宋_GB2312"/>
          <w:sz w:val="32"/>
          <w:szCs w:val="32"/>
        </w:rPr>
        <w:t>201</w:t>
      </w:r>
      <w:r>
        <w:rPr>
          <w:rFonts w:hint="eastAsia" w:ascii="仿宋_GB2312" w:hAnsi="仿宋_GB2312" w:eastAsia="仿宋_GB2312" w:cs="仿宋_GB2312"/>
          <w:sz w:val="32"/>
          <w:szCs w:val="32"/>
          <w:lang w:val="en-US" w:eastAsia="zh-CN"/>
        </w:rPr>
        <w:t>7</w:t>
      </w:r>
      <w:r>
        <w:rPr>
          <w:rFonts w:hint="eastAsia" w:ascii="仿宋_GB2312" w:hAnsi="仿宋_GB2312" w:eastAsia="仿宋_GB2312" w:cs="仿宋_GB2312"/>
          <w:sz w:val="32"/>
          <w:szCs w:val="32"/>
        </w:rPr>
        <w:t>年初固定资产</w:t>
      </w:r>
      <w:r>
        <w:rPr>
          <w:rFonts w:hint="eastAsia" w:ascii="仿宋_GB2312" w:hAnsi="仿宋_GB2312" w:eastAsia="仿宋_GB2312" w:cs="仿宋_GB2312"/>
          <w:sz w:val="32"/>
          <w:szCs w:val="32"/>
          <w:lang w:val="en-US" w:eastAsia="zh-CN"/>
        </w:rPr>
        <w:t>2385.6</w:t>
      </w:r>
      <w:r>
        <w:rPr>
          <w:rFonts w:hint="eastAsia" w:ascii="仿宋_GB2312" w:hAnsi="仿宋_GB2312" w:eastAsia="仿宋_GB2312" w:cs="仿宋_GB2312"/>
          <w:sz w:val="32"/>
          <w:szCs w:val="32"/>
        </w:rPr>
        <w:t>万元，201</w:t>
      </w:r>
      <w:r>
        <w:rPr>
          <w:rFonts w:hint="eastAsia" w:ascii="仿宋_GB2312" w:hAnsi="仿宋_GB2312" w:eastAsia="仿宋_GB2312" w:cs="仿宋_GB2312"/>
          <w:sz w:val="32"/>
          <w:szCs w:val="32"/>
          <w:lang w:val="en-US" w:eastAsia="zh-CN"/>
        </w:rPr>
        <w:t>7</w:t>
      </w:r>
      <w:r>
        <w:rPr>
          <w:rFonts w:hint="eastAsia" w:ascii="仿宋_GB2312" w:hAnsi="仿宋_GB2312" w:eastAsia="仿宋_GB2312" w:cs="仿宋_GB2312"/>
          <w:sz w:val="32"/>
          <w:szCs w:val="32"/>
        </w:rPr>
        <w:t>年末固定资产2</w:t>
      </w:r>
      <w:r>
        <w:rPr>
          <w:rFonts w:hint="eastAsia" w:ascii="仿宋_GB2312" w:hAnsi="仿宋_GB2312" w:eastAsia="仿宋_GB2312" w:cs="仿宋_GB2312"/>
          <w:sz w:val="32"/>
          <w:szCs w:val="32"/>
          <w:lang w:val="en-US" w:eastAsia="zh-CN"/>
        </w:rPr>
        <w:t>423.14</w:t>
      </w:r>
      <w:r>
        <w:rPr>
          <w:rFonts w:hint="eastAsia" w:ascii="仿宋_GB2312" w:hAnsi="仿宋_GB2312" w:eastAsia="仿宋_GB2312" w:cs="仿宋_GB2312"/>
          <w:sz w:val="32"/>
          <w:szCs w:val="32"/>
        </w:rPr>
        <w:t>万元。其中：房屋1309万元、汽车82.28万元、其他固定资产</w:t>
      </w:r>
      <w:r>
        <w:rPr>
          <w:rFonts w:hint="eastAsia" w:ascii="仿宋_GB2312" w:hAnsi="仿宋_GB2312" w:eastAsia="仿宋_GB2312" w:cs="仿宋_GB2312"/>
          <w:sz w:val="32"/>
          <w:szCs w:val="32"/>
          <w:lang w:val="en-US" w:eastAsia="zh-CN"/>
        </w:rPr>
        <w:t>1031.86</w:t>
      </w:r>
      <w:r>
        <w:rPr>
          <w:rFonts w:hint="eastAsia" w:ascii="仿宋_GB2312" w:hAnsi="仿宋_GB2312" w:eastAsia="仿宋_GB2312" w:cs="仿宋_GB2312"/>
          <w:sz w:val="32"/>
          <w:szCs w:val="32"/>
        </w:rPr>
        <w:t>万元。固定资产新增</w:t>
      </w:r>
      <w:r>
        <w:rPr>
          <w:rFonts w:hint="eastAsia" w:ascii="仿宋_GB2312" w:hAnsi="仿宋_GB2312" w:eastAsia="仿宋_GB2312" w:cs="仿宋_GB2312"/>
          <w:sz w:val="32"/>
          <w:szCs w:val="32"/>
          <w:lang w:val="en-US" w:eastAsia="zh-CN"/>
        </w:rPr>
        <w:t>37.54</w:t>
      </w:r>
      <w:r>
        <w:rPr>
          <w:rFonts w:hint="eastAsia" w:ascii="仿宋_GB2312" w:hAnsi="仿宋_GB2312" w:eastAsia="仿宋_GB2312" w:cs="仿宋_GB2312"/>
          <w:sz w:val="32"/>
          <w:szCs w:val="32"/>
        </w:rPr>
        <w:t>万元。</w:t>
      </w:r>
    </w:p>
    <w:p>
      <w:pPr>
        <w:pStyle w:val="5"/>
        <w:shd w:val="clear" w:color="auto" w:fill="FFFFFF"/>
        <w:spacing w:before="0" w:beforeAutospacing="0" w:after="0" w:afterAutospacing="0" w:line="384" w:lineRule="atLeast"/>
        <w:ind w:firstLine="640" w:firstLineChars="200"/>
        <w:rPr>
          <w:rFonts w:ascii="仿宋" w:hAnsi="仿宋" w:eastAsia="仿宋"/>
          <w:b/>
          <w:sz w:val="32"/>
          <w:szCs w:val="32"/>
        </w:rPr>
      </w:pPr>
      <w:r>
        <w:rPr>
          <w:rFonts w:hint="eastAsia" w:ascii="仿宋" w:hAnsi="仿宋" w:eastAsia="仿宋"/>
          <w:b/>
          <w:sz w:val="32"/>
          <w:szCs w:val="32"/>
        </w:rPr>
        <w:t>（四）其它需要说明的情况</w:t>
      </w:r>
    </w:p>
    <w:p>
      <w:pPr>
        <w:ind w:firstLine="640"/>
        <w:rPr>
          <w:rFonts w:ascii="仿宋" w:hAnsi="仿宋" w:eastAsia="仿宋"/>
          <w:szCs w:val="32"/>
        </w:rPr>
      </w:pPr>
      <w:r>
        <w:rPr>
          <w:rFonts w:hint="eastAsia" w:ascii="仿宋" w:hAnsi="仿宋" w:eastAsia="仿宋"/>
          <w:szCs w:val="32"/>
        </w:rPr>
        <w:t>1、本部门2017年度政府性基金无收支及结转结余情况，故政府性基金预算财政拨款收入支出决算表（表七）以空表列示。</w:t>
      </w:r>
    </w:p>
    <w:p>
      <w:pPr>
        <w:ind w:firstLine="640"/>
        <w:rPr>
          <w:rFonts w:ascii="仿宋" w:hAnsi="仿宋" w:eastAsia="仿宋"/>
          <w:szCs w:val="32"/>
        </w:rPr>
      </w:pPr>
      <w:r>
        <w:rPr>
          <w:rFonts w:hint="eastAsia" w:ascii="仿宋" w:hAnsi="仿宋" w:eastAsia="仿宋"/>
          <w:szCs w:val="32"/>
        </w:rPr>
        <w:t>2、本部门2017年度国有资本经营无收支及结转结余情况，故国有资本经营预算财政拨款支出决算表（表八）以空表列示。</w:t>
      </w:r>
    </w:p>
    <w:p>
      <w:pPr>
        <w:ind w:firstLine="640"/>
        <w:rPr>
          <w:rFonts w:ascii="仿宋" w:hAnsi="仿宋" w:eastAsia="仿宋"/>
          <w:szCs w:val="32"/>
        </w:rPr>
      </w:pPr>
      <w:r>
        <w:rPr>
          <w:rFonts w:hint="eastAsia" w:ascii="仿宋" w:hAnsi="仿宋" w:eastAsia="仿宋"/>
          <w:szCs w:val="32"/>
        </w:rPr>
        <w:t>3、由于决算公开表格中金额数值应当保留两位小数，公开数据为四舍五入计算结果，个别数据合计项与分项之和存在小数点后差额，特此说明。</w:t>
      </w:r>
    </w:p>
    <w:p>
      <w:pPr>
        <w:ind w:firstLine="0" w:firstLineChars="0"/>
        <w:jc w:val="center"/>
        <w:rPr>
          <w:rFonts w:ascii="宋体" w:hAnsi="宋体" w:eastAsia="宋体"/>
          <w:sz w:val="44"/>
          <w:szCs w:val="44"/>
        </w:rPr>
      </w:pPr>
    </w:p>
    <w:p>
      <w:pPr>
        <w:ind w:firstLine="0" w:firstLineChars="0"/>
        <w:jc w:val="center"/>
        <w:rPr>
          <w:rFonts w:asciiTheme="majorEastAsia" w:hAnsiTheme="majorEastAsia" w:eastAsiaTheme="majorEastAsia"/>
          <w:b/>
          <w:sz w:val="44"/>
          <w:szCs w:val="44"/>
        </w:rPr>
      </w:pPr>
      <w:r>
        <w:rPr>
          <w:rFonts w:hint="eastAsia" w:asciiTheme="majorEastAsia" w:hAnsiTheme="majorEastAsia" w:eastAsiaTheme="majorEastAsia"/>
          <w:b/>
          <w:sz w:val="44"/>
          <w:szCs w:val="44"/>
        </w:rPr>
        <w:t>第四部分  名词解释</w:t>
      </w:r>
    </w:p>
    <w:p>
      <w:pPr>
        <w:widowControl/>
        <w:ind w:firstLine="640"/>
        <w:rPr>
          <w:rFonts w:ascii="仿宋" w:hAnsi="仿宋" w:eastAsia="仿宋"/>
          <w:color w:val="000000"/>
          <w:kern w:val="0"/>
          <w:szCs w:val="32"/>
        </w:rPr>
      </w:pPr>
      <w:r>
        <w:rPr>
          <w:rFonts w:hint="eastAsia" w:ascii="仿宋" w:hAnsi="仿宋" w:eastAsia="仿宋"/>
          <w:color w:val="000000"/>
          <w:kern w:val="0"/>
          <w:szCs w:val="32"/>
        </w:rPr>
        <w:t>（一）财政拨款收入：本年度从本级财政部门取得的财政拨款，包括一般公共预算财政拨款和政府性基金预算财政拨款。</w:t>
      </w:r>
    </w:p>
    <w:p>
      <w:pPr>
        <w:widowControl/>
        <w:ind w:firstLine="640"/>
        <w:rPr>
          <w:rFonts w:ascii="仿宋" w:hAnsi="仿宋" w:eastAsia="仿宋"/>
          <w:color w:val="000000"/>
          <w:kern w:val="0"/>
          <w:szCs w:val="32"/>
        </w:rPr>
      </w:pPr>
      <w:r>
        <w:rPr>
          <w:rFonts w:hint="eastAsia" w:ascii="仿宋" w:hAnsi="仿宋" w:eastAsia="仿宋"/>
          <w:color w:val="000000"/>
          <w:kern w:val="0"/>
          <w:szCs w:val="32"/>
        </w:rPr>
        <w:t>（二）事业收入：指事业单位开展专业业务活动及辅助活动所取得的收入。</w:t>
      </w:r>
    </w:p>
    <w:p>
      <w:pPr>
        <w:widowControl/>
        <w:ind w:firstLine="640"/>
        <w:rPr>
          <w:rFonts w:ascii="仿宋" w:hAnsi="仿宋" w:eastAsia="仿宋"/>
          <w:color w:val="000000"/>
          <w:kern w:val="0"/>
          <w:szCs w:val="32"/>
        </w:rPr>
      </w:pPr>
      <w:r>
        <w:rPr>
          <w:rFonts w:hint="eastAsia" w:ascii="仿宋" w:hAnsi="仿宋" w:eastAsia="仿宋"/>
          <w:color w:val="000000"/>
          <w:kern w:val="0"/>
          <w:szCs w:val="32"/>
        </w:rPr>
        <w:t>（三）其他收入：指除上述“财政拨款收入”、“事业收入”、“经营收入”等以外的收入。</w:t>
      </w:r>
    </w:p>
    <w:p>
      <w:pPr>
        <w:widowControl/>
        <w:ind w:firstLine="640"/>
        <w:rPr>
          <w:rFonts w:ascii="仿宋" w:hAnsi="仿宋" w:eastAsia="仿宋"/>
          <w:color w:val="000000"/>
          <w:kern w:val="0"/>
          <w:szCs w:val="32"/>
        </w:rPr>
      </w:pPr>
      <w:r>
        <w:rPr>
          <w:rFonts w:hint="eastAsia" w:ascii="仿宋" w:hAnsi="仿宋" w:eastAsia="仿宋"/>
          <w:color w:val="000000"/>
          <w:kern w:val="0"/>
          <w:szCs w:val="32"/>
        </w:rPr>
        <w:t>（四）用事业基金弥补收支差额：指事业单位在用当年的“财政拨款收入”、“财政拨款结转和结余资金”、“事业收入”、“经营收入”、“其他收入”不足以安排当年支出的情况下，使用以前年度积累的事业基金（事业单位当年收支相抵后按国家规定提取、用于弥补以后年度收支差额的基金）弥补本年度收支缺口的资金。</w:t>
      </w:r>
    </w:p>
    <w:p>
      <w:pPr>
        <w:widowControl/>
        <w:ind w:firstLine="640"/>
        <w:rPr>
          <w:rFonts w:ascii="仿宋" w:hAnsi="仿宋" w:eastAsia="仿宋"/>
          <w:color w:val="000000"/>
          <w:kern w:val="0"/>
          <w:szCs w:val="32"/>
        </w:rPr>
      </w:pPr>
      <w:r>
        <w:rPr>
          <w:rFonts w:hint="eastAsia" w:ascii="仿宋" w:hAnsi="仿宋" w:eastAsia="仿宋"/>
          <w:color w:val="000000"/>
          <w:kern w:val="0"/>
          <w:szCs w:val="32"/>
        </w:rPr>
        <w:t>（五）年初结转和结余：指以前年度尚未完成、结转到本年仍按原规定用途继续使用的资金，或项目已完成等产生的结余资金。</w:t>
      </w:r>
    </w:p>
    <w:p>
      <w:pPr>
        <w:widowControl/>
        <w:ind w:firstLine="640"/>
        <w:rPr>
          <w:rFonts w:ascii="仿宋" w:hAnsi="仿宋" w:eastAsia="仿宋"/>
          <w:color w:val="000000"/>
          <w:kern w:val="0"/>
          <w:szCs w:val="32"/>
        </w:rPr>
      </w:pPr>
      <w:r>
        <w:rPr>
          <w:rFonts w:hint="eastAsia" w:ascii="仿宋" w:hAnsi="仿宋" w:eastAsia="仿宋"/>
          <w:color w:val="000000"/>
          <w:kern w:val="0"/>
          <w:szCs w:val="32"/>
        </w:rPr>
        <w:t>（六）结余分配：指事业单位按照事业单位会计制度的规定从非财政补助结余中分配的事业基金和职工福利基金等。</w:t>
      </w:r>
    </w:p>
    <w:p>
      <w:pPr>
        <w:widowControl/>
        <w:ind w:firstLine="640"/>
        <w:rPr>
          <w:rFonts w:ascii="仿宋" w:hAnsi="仿宋" w:eastAsia="仿宋"/>
          <w:color w:val="000000"/>
          <w:kern w:val="0"/>
          <w:szCs w:val="32"/>
        </w:rPr>
      </w:pPr>
      <w:r>
        <w:rPr>
          <w:rFonts w:hint="eastAsia" w:ascii="仿宋" w:hAnsi="仿宋" w:eastAsia="仿宋"/>
          <w:color w:val="000000"/>
          <w:kern w:val="0"/>
          <w:szCs w:val="32"/>
        </w:rPr>
        <w:t>（七）年末结转和结余：指单位按有关规定结转到下年或以后年度继续使用的资金，或项目已完成等产生的结余资金。</w:t>
      </w:r>
    </w:p>
    <w:p>
      <w:pPr>
        <w:widowControl/>
        <w:ind w:firstLine="640"/>
        <w:rPr>
          <w:rFonts w:ascii="仿宋" w:hAnsi="仿宋" w:eastAsia="仿宋"/>
          <w:color w:val="000000"/>
          <w:kern w:val="0"/>
          <w:szCs w:val="32"/>
        </w:rPr>
      </w:pPr>
      <w:r>
        <w:rPr>
          <w:rFonts w:hint="eastAsia" w:ascii="仿宋" w:hAnsi="仿宋" w:eastAsia="仿宋"/>
          <w:color w:val="000000"/>
          <w:kern w:val="0"/>
          <w:szCs w:val="32"/>
        </w:rPr>
        <w:t>（八）基本支出：填列单位为保障机构正常运转、完成日常工作任务而发生的各项支出。</w:t>
      </w:r>
    </w:p>
    <w:p>
      <w:pPr>
        <w:widowControl/>
        <w:ind w:firstLine="640"/>
        <w:rPr>
          <w:rFonts w:ascii="仿宋" w:hAnsi="仿宋" w:eastAsia="仿宋"/>
          <w:color w:val="000000"/>
          <w:kern w:val="0"/>
          <w:szCs w:val="32"/>
        </w:rPr>
      </w:pPr>
      <w:r>
        <w:rPr>
          <w:rFonts w:hint="eastAsia" w:ascii="仿宋" w:hAnsi="仿宋" w:eastAsia="仿宋"/>
          <w:color w:val="000000"/>
          <w:kern w:val="0"/>
          <w:szCs w:val="32"/>
        </w:rPr>
        <w:t>（九）项目支出：填列单位为完成特定的行政工作任务或事业发展目标，在基本支出之外发生的各项支出</w:t>
      </w:r>
    </w:p>
    <w:p>
      <w:pPr>
        <w:widowControl/>
        <w:ind w:firstLine="640"/>
        <w:rPr>
          <w:rFonts w:ascii="仿宋" w:hAnsi="仿宋" w:eastAsia="仿宋"/>
          <w:color w:val="000000"/>
          <w:kern w:val="0"/>
          <w:szCs w:val="32"/>
        </w:rPr>
      </w:pPr>
      <w:r>
        <w:rPr>
          <w:rFonts w:hint="eastAsia" w:ascii="仿宋" w:hAnsi="仿宋" w:eastAsia="仿宋"/>
          <w:color w:val="000000"/>
          <w:kern w:val="0"/>
          <w:szCs w:val="32"/>
        </w:rPr>
        <w:t>（十）基本建设支出：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pPr>
        <w:widowControl/>
        <w:ind w:firstLine="640"/>
        <w:rPr>
          <w:rFonts w:ascii="仿宋" w:hAnsi="仿宋" w:eastAsia="仿宋"/>
          <w:color w:val="000000"/>
          <w:kern w:val="0"/>
          <w:szCs w:val="32"/>
        </w:rPr>
      </w:pPr>
      <w:r>
        <w:rPr>
          <w:rFonts w:hint="eastAsia" w:ascii="仿宋" w:hAnsi="仿宋" w:eastAsia="仿宋"/>
          <w:color w:val="000000"/>
          <w:kern w:val="0"/>
          <w:szCs w:val="32"/>
        </w:rPr>
        <w:t>（十一）其他资本性支出：填列由各级非发展与改革部门集中安排的用于购置固定资产、战备性和应急性储备、土地和无形资产，以及购建基础设施、大型修缮和财政支持企业更新改造所发生的支出。</w:t>
      </w:r>
    </w:p>
    <w:p>
      <w:pPr>
        <w:widowControl/>
        <w:ind w:firstLine="640"/>
        <w:rPr>
          <w:rFonts w:ascii="仿宋" w:hAnsi="仿宋" w:eastAsia="仿宋"/>
          <w:color w:val="000000"/>
          <w:kern w:val="0"/>
          <w:szCs w:val="32"/>
        </w:rPr>
      </w:pPr>
      <w:r>
        <w:rPr>
          <w:rFonts w:hint="eastAsia" w:ascii="仿宋" w:hAnsi="仿宋" w:eastAsia="仿宋"/>
          <w:color w:val="000000"/>
          <w:kern w:val="0"/>
          <w:szCs w:val="32"/>
        </w:rPr>
        <w:t>（十二）“三公”经费：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及租用费、燃料费、维修费、过路过桥费、保险费、安全奖励费用等支出；公务接待费反映单位按规定开支的各类公务接待（含外宾接待）支出。</w:t>
      </w:r>
    </w:p>
    <w:p>
      <w:pPr>
        <w:widowControl/>
        <w:ind w:firstLine="640"/>
        <w:rPr>
          <w:rFonts w:ascii="仿宋" w:hAnsi="仿宋" w:eastAsia="仿宋"/>
          <w:color w:val="000000"/>
          <w:kern w:val="0"/>
          <w:szCs w:val="32"/>
        </w:rPr>
      </w:pPr>
      <w:r>
        <w:rPr>
          <w:rFonts w:hint="eastAsia" w:ascii="仿宋" w:hAnsi="仿宋" w:eastAsia="仿宋"/>
          <w:color w:val="000000"/>
          <w:kern w:val="0"/>
          <w:szCs w:val="32"/>
        </w:rPr>
        <w:t>（十三）其他交通费用：填列单位除公务用车运行维护费以外的其他交通费用。如飞机、船舶等的燃料费、维修费、过桥过路费、保险费、出租车费用、公务交通补贴等。</w:t>
      </w:r>
    </w:p>
    <w:p>
      <w:pPr>
        <w:widowControl/>
        <w:ind w:firstLine="640"/>
        <w:rPr>
          <w:rFonts w:ascii="仿宋" w:hAnsi="仿宋" w:eastAsia="仿宋"/>
          <w:color w:val="000000"/>
          <w:kern w:val="0"/>
          <w:szCs w:val="32"/>
        </w:rPr>
      </w:pPr>
      <w:r>
        <w:rPr>
          <w:rFonts w:hint="eastAsia" w:ascii="仿宋" w:hAnsi="仿宋" w:eastAsia="仿宋"/>
          <w:color w:val="000000"/>
          <w:kern w:val="0"/>
          <w:szCs w:val="32"/>
        </w:rPr>
        <w:t>（十四）公务用车购置：填列单位公务用车车辆购置支出（含车辆购置税）。</w:t>
      </w:r>
    </w:p>
    <w:p>
      <w:pPr>
        <w:widowControl/>
        <w:ind w:firstLine="640"/>
        <w:rPr>
          <w:rFonts w:ascii="仿宋" w:hAnsi="仿宋" w:eastAsia="仿宋"/>
          <w:color w:val="000000"/>
          <w:kern w:val="0"/>
          <w:szCs w:val="32"/>
        </w:rPr>
      </w:pPr>
      <w:r>
        <w:rPr>
          <w:rFonts w:hint="eastAsia" w:ascii="仿宋" w:hAnsi="仿宋" w:eastAsia="仿宋"/>
          <w:color w:val="000000"/>
          <w:kern w:val="0"/>
          <w:szCs w:val="32"/>
        </w:rPr>
        <w:t>（十五）其他交通工具购置：填列单位除公务用车外的其他各类交通工具（如船舶、飞机）购置支出（含车辆购置税）。</w:t>
      </w:r>
    </w:p>
    <w:p>
      <w:pPr>
        <w:widowControl/>
        <w:ind w:firstLine="640"/>
        <w:rPr>
          <w:rFonts w:ascii="仿宋" w:hAnsi="仿宋" w:eastAsia="仿宋"/>
          <w:color w:val="000000"/>
          <w:kern w:val="0"/>
          <w:szCs w:val="32"/>
        </w:rPr>
      </w:pPr>
      <w:r>
        <w:rPr>
          <w:rFonts w:hint="eastAsia" w:ascii="仿宋" w:hAnsi="仿宋" w:eastAsia="仿宋"/>
          <w:color w:val="000000"/>
          <w:kern w:val="0"/>
          <w:szCs w:val="32"/>
        </w:rPr>
        <w:t>（十六） 机关运行经费：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pPr>
        <w:ind w:right="640" w:firstLine="0" w:firstLineChars="0"/>
        <w:rPr>
          <w:rFonts w:ascii="仿宋" w:hAnsi="仿宋" w:eastAsia="仿宋"/>
        </w:rPr>
      </w:pPr>
    </w:p>
    <w:p>
      <w:pPr>
        <w:ind w:firstLine="640"/>
        <w:rPr>
          <w:rFonts w:ascii="仿宋" w:hAnsi="仿宋" w:eastAsia="仿宋"/>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080E0000" w:usb2="00000000"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00007A87" w:usb1="80000000" w:usb2="00000008" w:usb3="00000000" w:csb0="400001FF" w:csb1="FFFF0000"/>
  </w:font>
  <w:font w:name="黑体">
    <w:panose1 w:val="02010600030101010101"/>
    <w:charset w:val="86"/>
    <w:family w:val="auto"/>
    <w:pitch w:val="default"/>
    <w:sig w:usb0="00000001" w:usb1="080E0000" w:usb2="00000000" w:usb3="00000000" w:csb0="00040000" w:csb1="00000000"/>
  </w:font>
  <w:font w:name="Courier New">
    <w:panose1 w:val="02070309020205020404"/>
    <w:charset w:val="01"/>
    <w:family w:val="modern"/>
    <w:pitch w:val="default"/>
    <w:sig w:usb0="00007A87" w:usb1="80000000" w:usb2="00000008" w:usb3="00000000" w:csb0="400001FF" w:csb1="FFFF0000"/>
  </w:font>
  <w:font w:name="Symbol">
    <w:panose1 w:val="05050102010706020507"/>
    <w:charset w:val="02"/>
    <w:family w:val="roman"/>
    <w:pitch w:val="default"/>
    <w:sig w:usb0="00000000" w:usb1="00000000" w:usb2="00000000" w:usb3="00000000" w:csb0="80000000" w:csb1="00000000"/>
  </w:font>
  <w:font w:name="Calibri">
    <w:altName w:val="微软雅黑"/>
    <w:panose1 w:val="020F0502020204030204"/>
    <w:charset w:val="00"/>
    <w:family w:val="swiss"/>
    <w:pitch w:val="default"/>
    <w:sig w:usb0="00000000" w:usb1="00000000" w:usb2="00000001" w:usb3="00000000" w:csb0="0000019F" w:csb1="00000000"/>
  </w:font>
  <w:font w:name="Arial Unicode MS">
    <w:altName w:val="Arial"/>
    <w:panose1 w:val="020B0604020202020204"/>
    <w:charset w:val="00"/>
    <w:family w:val="roman"/>
    <w:pitch w:val="default"/>
    <w:sig w:usb0="00000000" w:usb1="00000000" w:usb2="00000000" w:usb3="00000000" w:csb0="00000001" w:csb1="00000000"/>
  </w:font>
  <w:font w:name="仿宋_GB2312">
    <w:panose1 w:val="02010609030101010101"/>
    <w:charset w:val="86"/>
    <w:family w:val="modern"/>
    <w:pitch w:val="default"/>
    <w:sig w:usb0="00000001" w:usb1="080E0000" w:usb2="00000000" w:usb3="00000000" w:csb0="00040000" w:csb1="00000000"/>
  </w:font>
  <w:font w:name="方正楷体_GBK">
    <w:altName w:val="宋体"/>
    <w:panose1 w:val="00000000000000000000"/>
    <w:charset w:val="86"/>
    <w:family w:val="roman"/>
    <w:pitch w:val="default"/>
    <w:sig w:usb0="00000000" w:usb1="00000000" w:usb2="00000000" w:usb3="00000000" w:csb0="00040001" w:csb1="00000000"/>
  </w:font>
  <w:font w:name="方正小标宋_GBK">
    <w:altName w:val="宋体"/>
    <w:panose1 w:val="00000000000000000000"/>
    <w:charset w:val="86"/>
    <w:family w:val="roman"/>
    <w:pitch w:val="default"/>
    <w:sig w:usb0="00000000" w:usb1="00000000" w:usb2="00000000" w:usb3="00000000" w:csb0="00040001" w:csb1="00000000"/>
  </w:font>
  <w:font w:name="微软雅黑">
    <w:panose1 w:val="020B0503020204020204"/>
    <w:charset w:val="86"/>
    <w:family w:val="swiss"/>
    <w:pitch w:val="default"/>
    <w:sig w:usb0="80000287" w:usb1="2A0F3C52" w:usb2="00000016" w:usb3="00000000" w:csb0="0004001F" w:csb1="00000000"/>
  </w:font>
  <w:font w:name="仿宋">
    <w:altName w:val="微软雅黑"/>
    <w:panose1 w:val="02010609060101010101"/>
    <w:charset w:val="86"/>
    <w:family w:val="modern"/>
    <w:pitch w:val="default"/>
    <w:sig w:usb0="00000000" w:usb1="00000000" w:usb2="00000016" w:usb3="00000000" w:csb0="00040001" w:csb1="00000000"/>
  </w:font>
  <w:font w:name="Cambria">
    <w:altName w:val="Courier New"/>
    <w:panose1 w:val="00000000000000000000"/>
    <w:charset w:val="00"/>
    <w:family w:val="auto"/>
    <w:pitch w:val="default"/>
    <w:sig w:usb0="00000000" w:usb1="00000000" w:usb2="00000000" w:usb3="00000000" w:csb0="00000000" w:csb1="00000000"/>
  </w:font>
  <w:font w:name="DengXian-Regular">
    <w:altName w:val="宋体"/>
    <w:panose1 w:val="00000000000000000000"/>
    <w:charset w:val="86"/>
    <w:family w:val="auto"/>
    <w:pitch w:val="default"/>
    <w:sig w:usb0="00000000" w:usb1="00000000" w:usb2="00000010" w:usb3="00000000" w:csb0="00040001" w:csb1="00000000"/>
  </w:font>
  <w:font w:name="Arial">
    <w:panose1 w:val="020B0604020202020204"/>
    <w:charset w:val="00"/>
    <w:family w:val="roman"/>
    <w:pitch w:val="default"/>
    <w:sig w:usb0="00007A87" w:usb1="80000000" w:usb2="00000008" w:usb3="00000000" w:csb0="400001FF" w:csb1="FFFF0000"/>
  </w:font>
  <w:font w:name="仿宋">
    <w:altName w:val="微软雅黑"/>
    <w:panose1 w:val="00000000000000000000"/>
    <w:charset w:val="00"/>
    <w:family w:val="auto"/>
    <w:pitch w:val="default"/>
    <w:sig w:usb0="00000000" w:usb1="00000000" w:usb2="00000000" w:usb3="00000000" w:csb0="00000000" w:csb1="00000000"/>
  </w:font>
  <w:font w:name="宋体-PUA">
    <w:panose1 w:val="02010600030101010101"/>
    <w:charset w:val="86"/>
    <w:family w:val="auto"/>
    <w:pitch w:val="default"/>
    <w:sig w:usb0="00000000" w:usb1="10000000" w:usb2="00000000" w:usb3="00000000" w:csb0="00040000" w:csb1="00000000"/>
  </w:font>
  <w:font w:name="新宋体">
    <w:panose1 w:val="02010609030101010101"/>
    <w:charset w:val="86"/>
    <w:family w:val="auto"/>
    <w:pitch w:val="default"/>
    <w:sig w:usb0="00000003" w:usb1="080E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ind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ind w:firstLine="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ind w:firstLine="360"/>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ind w:firstLine="0" w:firstLineChars="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ind w:firstLine="360"/>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ind w:firstLine="360"/>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doNotDisplayPageBoundaries w:val="1"/>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2"/>
  </w:compat>
  <w:rsids>
    <w:rsidRoot w:val="00F5262D"/>
    <w:rsid w:val="00006ED5"/>
    <w:rsid w:val="000131D1"/>
    <w:rsid w:val="00061D06"/>
    <w:rsid w:val="00065985"/>
    <w:rsid w:val="0008607E"/>
    <w:rsid w:val="000C36A4"/>
    <w:rsid w:val="00124422"/>
    <w:rsid w:val="00136B3D"/>
    <w:rsid w:val="001475F8"/>
    <w:rsid w:val="00184ACC"/>
    <w:rsid w:val="001951B4"/>
    <w:rsid w:val="00243C40"/>
    <w:rsid w:val="002A158C"/>
    <w:rsid w:val="002B5AED"/>
    <w:rsid w:val="002D57EC"/>
    <w:rsid w:val="00310BCC"/>
    <w:rsid w:val="003311D6"/>
    <w:rsid w:val="00357D27"/>
    <w:rsid w:val="00402727"/>
    <w:rsid w:val="004C2AE5"/>
    <w:rsid w:val="005578D8"/>
    <w:rsid w:val="00561F05"/>
    <w:rsid w:val="00585515"/>
    <w:rsid w:val="005A42B1"/>
    <w:rsid w:val="005D5D7B"/>
    <w:rsid w:val="005E53A1"/>
    <w:rsid w:val="00624722"/>
    <w:rsid w:val="0064028F"/>
    <w:rsid w:val="00642AD8"/>
    <w:rsid w:val="00644B8B"/>
    <w:rsid w:val="006A58EC"/>
    <w:rsid w:val="006F238A"/>
    <w:rsid w:val="006F4416"/>
    <w:rsid w:val="00706A48"/>
    <w:rsid w:val="00771EC8"/>
    <w:rsid w:val="0078040A"/>
    <w:rsid w:val="0080278E"/>
    <w:rsid w:val="00823BAE"/>
    <w:rsid w:val="008464BA"/>
    <w:rsid w:val="00873489"/>
    <w:rsid w:val="008A1055"/>
    <w:rsid w:val="008B6493"/>
    <w:rsid w:val="008E1D0C"/>
    <w:rsid w:val="009344B0"/>
    <w:rsid w:val="00954DC5"/>
    <w:rsid w:val="0095602E"/>
    <w:rsid w:val="00973D17"/>
    <w:rsid w:val="00A155F8"/>
    <w:rsid w:val="00A61C81"/>
    <w:rsid w:val="00AA7ED1"/>
    <w:rsid w:val="00AE1ECF"/>
    <w:rsid w:val="00B552CF"/>
    <w:rsid w:val="00B75DFE"/>
    <w:rsid w:val="00C02C6D"/>
    <w:rsid w:val="00C06B76"/>
    <w:rsid w:val="00C17F0B"/>
    <w:rsid w:val="00C22288"/>
    <w:rsid w:val="00C40B24"/>
    <w:rsid w:val="00C40B81"/>
    <w:rsid w:val="00C95329"/>
    <w:rsid w:val="00D016A0"/>
    <w:rsid w:val="00D20AD0"/>
    <w:rsid w:val="00D27DA0"/>
    <w:rsid w:val="00DA117F"/>
    <w:rsid w:val="00DF1402"/>
    <w:rsid w:val="00E85001"/>
    <w:rsid w:val="00E96C70"/>
    <w:rsid w:val="00ED225A"/>
    <w:rsid w:val="00ED62C1"/>
    <w:rsid w:val="00EE534E"/>
    <w:rsid w:val="00EF5EEC"/>
    <w:rsid w:val="00F3207B"/>
    <w:rsid w:val="00F5262D"/>
    <w:rsid w:val="00F70BEF"/>
    <w:rsid w:val="00F74756"/>
    <w:rsid w:val="00F85412"/>
    <w:rsid w:val="00FA7303"/>
    <w:rsid w:val="1C237BC9"/>
    <w:rsid w:val="543F444E"/>
    <w:rsid w:val="5A3E78DA"/>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nhideWhenUsed="0" w:uiPriority="0" w:semiHidden="0" w:name="header"/>
    <w:lsdException w:qFormat="1" w:unhideWhenUsed="0" w:uiPriority="0"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nhideWhenUsed="0" w:uiPriority="0"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0"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spacing w:line="600" w:lineRule="exact"/>
      <w:ind w:firstLine="200" w:firstLineChars="200"/>
      <w:jc w:val="both"/>
    </w:pPr>
    <w:rPr>
      <w:rFonts w:ascii="Times New Roman" w:hAnsi="Times New Roman" w:eastAsia="仿宋_GB2312" w:cs="Times New Roman"/>
      <w:kern w:val="2"/>
      <w:sz w:val="32"/>
      <w:szCs w:val="22"/>
      <w:lang w:val="en-US" w:eastAsia="zh-CN" w:bidi="ar-SA"/>
    </w:rPr>
  </w:style>
  <w:style w:type="character" w:default="1" w:styleId="6">
    <w:name w:val="Default Paragraph Font"/>
    <w:semiHidden/>
    <w:unhideWhenUsed/>
    <w:uiPriority w:val="1"/>
  </w:style>
  <w:style w:type="table" w:default="1" w:styleId="8">
    <w:name w:val="Normal Table"/>
    <w:semiHidden/>
    <w:unhideWhenUsed/>
    <w:qFormat/>
    <w:uiPriority w:val="99"/>
    <w:tblPr>
      <w:tblLayout w:type="fixed"/>
      <w:tblCellMar>
        <w:top w:w="0" w:type="dxa"/>
        <w:left w:w="108" w:type="dxa"/>
        <w:bottom w:w="0" w:type="dxa"/>
        <w:right w:w="108" w:type="dxa"/>
      </w:tblCellMar>
    </w:tblPr>
  </w:style>
  <w:style w:type="paragraph" w:styleId="2">
    <w:name w:val="Balloon Text"/>
    <w:basedOn w:val="1"/>
    <w:link w:val="13"/>
    <w:semiHidden/>
    <w:unhideWhenUsed/>
    <w:uiPriority w:val="99"/>
    <w:pPr>
      <w:spacing w:line="240" w:lineRule="auto"/>
    </w:pPr>
    <w:rPr>
      <w:sz w:val="18"/>
      <w:szCs w:val="18"/>
    </w:rPr>
  </w:style>
  <w:style w:type="paragraph" w:styleId="3">
    <w:name w:val="footer"/>
    <w:basedOn w:val="1"/>
    <w:link w:val="10"/>
    <w:qFormat/>
    <w:uiPriority w:val="0"/>
    <w:pPr>
      <w:tabs>
        <w:tab w:val="center" w:pos="4153"/>
        <w:tab w:val="right" w:pos="8306"/>
      </w:tabs>
      <w:snapToGrid w:val="0"/>
      <w:spacing w:line="240" w:lineRule="atLeast"/>
      <w:jc w:val="left"/>
    </w:pPr>
    <w:rPr>
      <w:sz w:val="18"/>
      <w:szCs w:val="18"/>
    </w:rPr>
  </w:style>
  <w:style w:type="paragraph" w:styleId="4">
    <w:name w:val="header"/>
    <w:basedOn w:val="1"/>
    <w:link w:val="9"/>
    <w:qFormat/>
    <w:uiPriority w:val="0"/>
    <w:pPr>
      <w:pBdr>
        <w:bottom w:val="single" w:color="auto" w:sz="6" w:space="1"/>
      </w:pBdr>
      <w:tabs>
        <w:tab w:val="center" w:pos="4153"/>
        <w:tab w:val="right" w:pos="8306"/>
      </w:tabs>
      <w:snapToGrid w:val="0"/>
      <w:spacing w:line="240" w:lineRule="atLeast"/>
      <w:jc w:val="center"/>
    </w:pPr>
    <w:rPr>
      <w:sz w:val="18"/>
      <w:szCs w:val="18"/>
    </w:rPr>
  </w:style>
  <w:style w:type="paragraph" w:styleId="5">
    <w:name w:val="Normal (Web)"/>
    <w:basedOn w:val="1"/>
    <w:semiHidden/>
    <w:unhideWhenUsed/>
    <w:uiPriority w:val="0"/>
    <w:pPr>
      <w:widowControl/>
      <w:spacing w:before="100" w:beforeAutospacing="1" w:after="100" w:afterAutospacing="1" w:line="240" w:lineRule="auto"/>
      <w:ind w:firstLine="0" w:firstLineChars="0"/>
      <w:jc w:val="left"/>
    </w:pPr>
    <w:rPr>
      <w:rFonts w:ascii="宋体" w:hAnsi="宋体" w:eastAsia="宋体" w:cs="宋体"/>
      <w:kern w:val="0"/>
      <w:sz w:val="24"/>
      <w:szCs w:val="24"/>
    </w:rPr>
  </w:style>
  <w:style w:type="character" w:styleId="7">
    <w:name w:val="Hyperlink"/>
    <w:basedOn w:val="6"/>
    <w:uiPriority w:val="0"/>
    <w:rPr>
      <w:color w:val="0000FF"/>
      <w:u w:val="single"/>
    </w:rPr>
  </w:style>
  <w:style w:type="character" w:customStyle="1" w:styleId="9">
    <w:name w:val="页眉 Char"/>
    <w:basedOn w:val="6"/>
    <w:link w:val="4"/>
    <w:qFormat/>
    <w:uiPriority w:val="0"/>
    <w:rPr>
      <w:rFonts w:ascii="Times New Roman" w:hAnsi="Times New Roman" w:eastAsia="仿宋_GB2312" w:cs="Times New Roman"/>
      <w:kern w:val="2"/>
      <w:sz w:val="18"/>
      <w:szCs w:val="18"/>
    </w:rPr>
  </w:style>
  <w:style w:type="character" w:customStyle="1" w:styleId="10">
    <w:name w:val="页脚 Char"/>
    <w:basedOn w:val="6"/>
    <w:link w:val="3"/>
    <w:uiPriority w:val="0"/>
    <w:rPr>
      <w:rFonts w:ascii="Times New Roman" w:hAnsi="Times New Roman" w:eastAsia="仿宋_GB2312" w:cs="Times New Roman"/>
      <w:kern w:val="2"/>
      <w:sz w:val="18"/>
      <w:szCs w:val="18"/>
    </w:rPr>
  </w:style>
  <w:style w:type="character" w:customStyle="1" w:styleId="11">
    <w:name w:val="apple-converted-space"/>
    <w:basedOn w:val="6"/>
    <w:uiPriority w:val="0"/>
  </w:style>
  <w:style w:type="paragraph" w:styleId="12">
    <w:name w:val="List Paragraph"/>
    <w:basedOn w:val="1"/>
    <w:qFormat/>
    <w:uiPriority w:val="0"/>
    <w:pPr>
      <w:spacing w:line="240" w:lineRule="auto"/>
      <w:ind w:firstLine="420"/>
    </w:pPr>
    <w:rPr>
      <w:rFonts w:ascii="Calibri" w:hAnsi="Calibri" w:eastAsia="宋体"/>
      <w:sz w:val="21"/>
    </w:rPr>
  </w:style>
  <w:style w:type="character" w:customStyle="1" w:styleId="13">
    <w:name w:val="批注框文本 Char"/>
    <w:basedOn w:val="6"/>
    <w:link w:val="2"/>
    <w:semiHidden/>
    <w:uiPriority w:val="99"/>
    <w:rPr>
      <w:rFonts w:ascii="Times New Roman" w:hAnsi="Times New Roman" w:eastAsia="仿宋_GB2312" w:cs="Times New Roman"/>
      <w:kern w:val="2"/>
      <w:sz w:val="18"/>
      <w:szCs w:val="18"/>
    </w:rPr>
  </w:style>
</w:styles>
</file>

<file path=word/_rels/document.xml.rels><?xml version="1.0" encoding="UTF-8" standalone="yes"?>
<Relationships xmlns="http://schemas.openxmlformats.org/package/2006/relationships"><Relationship Id="rId9" Type="http://schemas.openxmlformats.org/officeDocument/2006/relationships/theme" Target="theme/theme1.xml"/><Relationship Id="rId8" Type="http://schemas.openxmlformats.org/officeDocument/2006/relationships/footer" Target="footer3.xml"/><Relationship Id="rId7" Type="http://schemas.openxmlformats.org/officeDocument/2006/relationships/footer" Target="footer2.xml"/><Relationship Id="rId6" Type="http://schemas.openxmlformats.org/officeDocument/2006/relationships/footer" Target="footer1.xml"/><Relationship Id="rId5" Type="http://schemas.openxmlformats.org/officeDocument/2006/relationships/header" Target="header3.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4" Type="http://schemas.openxmlformats.org/officeDocument/2006/relationships/fontTable" Target="fontTable.xml"/><Relationship Id="rId13" Type="http://schemas.openxmlformats.org/officeDocument/2006/relationships/customXml" Target="../customXml/item2.xml"/><Relationship Id="rId12" Type="http://schemas.openxmlformats.org/officeDocument/2006/relationships/customXml" Target="../customXml/item1.xml"/><Relationship Id="rId11" Type="http://schemas.openxmlformats.org/officeDocument/2006/relationships/chart" Target="charts/chart2.xml"/><Relationship Id="rId10" Type="http://schemas.openxmlformats.org/officeDocument/2006/relationships/chart" Target="charts/chart1.xml"/><Relationship Id="rId1" Type="http://schemas.openxmlformats.org/officeDocument/2006/relationships/styles" Target="styles.xml"/></Relationships>
</file>

<file path=word/charts/_rels/chart1.xml.rels><?xml version="1.0" encoding="UTF-8" standalone="yes"?>
<Relationships xmlns="http://schemas.openxmlformats.org/package/2006/relationships"><Relationship Id="rId1" Type="http://schemas.openxmlformats.org/officeDocument/2006/relationships/package" Target="../embeddings/Workbook2.xlsx"/></Relationships>
</file>

<file path=word/charts/_rels/chart2.xml.rels><?xml version="1.0" encoding="UTF-8" standalone="yes"?>
<Relationships xmlns="http://schemas.openxmlformats.org/package/2006/relationships"><Relationship Id="rId1" Type="http://schemas.openxmlformats.org/officeDocument/2006/relationships/package" Target="../embeddings/Workbook1.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layout/>
      <c:overlay val="0"/>
      <c:txPr>
        <a:bodyPr rot="0" spcFirstLastPara="0" vertOverflow="ellipsis" vert="horz" wrap="square" anchor="ctr" anchorCtr="1"/>
        <a:lstStyle/>
        <a:p>
          <a:pPr>
            <a:defRPr lang="zh-CN" sz="1600" b="0" i="0" u="none" strike="noStrike" kern="1200" baseline="0">
              <a:solidFill>
                <a:schemeClr val="tx1"/>
              </a:solidFill>
              <a:latin typeface="仿宋_GB2312" panose="02010609030101010101" pitchFamily="3" charset="-122"/>
              <a:ea typeface="仿宋_GB2312" panose="02010609030101010101" pitchFamily="3" charset="-122"/>
              <a:cs typeface="+mn-cs"/>
            </a:defRPr>
          </a:pPr>
        </a:p>
      </c:txPr>
    </c:title>
    <c:autoTitleDeleted val="0"/>
    <c:plotArea>
      <c:layout/>
      <c:pieChart>
        <c:varyColors val="1"/>
        <c:ser>
          <c:idx val="0"/>
          <c:order val="0"/>
          <c:tx>
            <c:strRef>
              <c:f>Sheet1!$B$1</c:f>
              <c:strCache>
                <c:ptCount val="1"/>
                <c:pt idx="0">
                  <c:v>决算收入</c:v>
                </c:pt>
              </c:strCache>
            </c:strRef>
          </c:tx>
          <c:explosion val="0"/>
          <c:dPt>
            <c:idx val="0"/>
            <c:bubble3D val="0"/>
          </c:dPt>
          <c:dLbls>
            <c:delete val="1"/>
          </c:dLbls>
          <c:cat>
            <c:strRef>
              <c:f>Sheet1!$A$2</c:f>
              <c:strCache>
                <c:ptCount val="1"/>
                <c:pt idx="0">
                  <c:v>金额</c:v>
                </c:pt>
              </c:strCache>
            </c:strRef>
          </c:cat>
          <c:val>
            <c:numRef>
              <c:f>Sheet1!$B$2</c:f>
              <c:numCache>
                <c:formatCode>General</c:formatCode>
                <c:ptCount val="1"/>
                <c:pt idx="0">
                  <c:v>100</c:v>
                </c:pt>
              </c:numCache>
            </c:numRef>
          </c:val>
        </c:ser>
        <c:dLbls>
          <c:showLegendKey val="0"/>
          <c:showVal val="0"/>
          <c:showCatName val="0"/>
          <c:showSerName val="0"/>
          <c:showPercent val="0"/>
          <c:showBubbleSize val="0"/>
          <c:showLeaderLines val="1"/>
        </c:dLbls>
        <c:firstSliceAng val="0"/>
      </c:pieChart>
    </c:plotArea>
    <c:legend>
      <c:legendPos val="r"/>
      <c:layout/>
      <c:overlay val="0"/>
      <c:txPr>
        <a:bodyPr rot="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legend>
    <c:plotVisOnly val="1"/>
    <c:dispBlanksAs val="gap"/>
    <c:showDLblsOverMax val="0"/>
  </c:chart>
  <c:txPr>
    <a:bodyPr/>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Sheet1!$B$1</c:f>
              <c:strCache>
                <c:ptCount val="1"/>
                <c:pt idx="0">
                  <c:v>列1</c:v>
                </c:pt>
              </c:strCache>
            </c:strRef>
          </c:tx>
          <c:explosion val="0"/>
          <c:dPt>
            <c:idx val="0"/>
            <c:bubble3D val="0"/>
          </c:dPt>
          <c:dPt>
            <c:idx val="1"/>
            <c:bubble3D val="0"/>
          </c:dPt>
          <c:dPt>
            <c:idx val="2"/>
            <c:bubble3D val="0"/>
          </c:dPt>
          <c:dPt>
            <c:idx val="3"/>
            <c:bubble3D val="0"/>
          </c:dPt>
          <c:dLbls>
            <c:delete val="1"/>
          </c:dLbls>
          <c:cat>
            <c:strRef>
              <c:f>Sheet1!$A$2:$A$5</c:f>
              <c:strCache>
                <c:ptCount val="2"/>
                <c:pt idx="0">
                  <c:v>基本支出</c:v>
                </c:pt>
                <c:pt idx="1">
                  <c:v>项目支出</c:v>
                </c:pt>
              </c:strCache>
            </c:strRef>
          </c:cat>
          <c:val>
            <c:numRef>
              <c:f>Sheet1!$B$2:$B$5</c:f>
              <c:numCache>
                <c:formatCode>General</c:formatCode>
                <c:ptCount val="4"/>
                <c:pt idx="0">
                  <c:v>82.16</c:v>
                </c:pt>
                <c:pt idx="1">
                  <c:v>17.84</c:v>
                </c:pt>
              </c:numCache>
            </c:numRef>
          </c:val>
        </c:ser>
        <c:dLbls>
          <c:showLegendKey val="0"/>
          <c:showVal val="0"/>
          <c:showCatName val="0"/>
          <c:showSerName val="0"/>
          <c:showPercent val="0"/>
          <c:showBubbleSize val="0"/>
          <c:showLeaderLines val="1"/>
        </c:dLbls>
        <c:firstSliceAng val="0"/>
      </c:pieChart>
    </c:plotArea>
    <c:legend>
      <c:legendPos val="r"/>
      <c:legendEntry>
        <c:idx val="2"/>
        <c:delete val="1"/>
      </c:legendEntry>
      <c:legendEntry>
        <c:idx val="3"/>
        <c:delete val="1"/>
      </c:legendEntry>
      <c:layout/>
      <c:overlay val="0"/>
      <c:txPr>
        <a:bodyPr rot="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legend>
    <c:plotVisOnly val="1"/>
    <c:dispBlanksAs val="gap"/>
    <c:showDLblsOverMax val="0"/>
  </c:chart>
  <c:txPr>
    <a:bodyPr/>
    <a:lstStyle/>
    <a:p>
      <a:pPr>
        <a:defRPr lang="zh-CN"/>
      </a:pPr>
    </a:p>
  </c:txPr>
  <c:externalData r:id="rId1">
    <c:autoUpdate val="0"/>
  </c:externalData>
</c:chartSpace>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2">
      <a:majorFont>
        <a:latin typeface="Calibri"/>
        <a:ea typeface=""/>
        <a:cs typeface=""/>
        <a:font script="Jpan" typeface="HGｺﾞｼｯｸM"/>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ahoma"/>
        <a:font script="Uigh" typeface="Microsoft Uighur"/>
      </a:majorFont>
      <a:minorFont>
        <a:latin typeface="Cambria"/>
        <a:ea typeface=""/>
        <a:cs typeface=""/>
        <a:font script="Jpan" typeface="HG明朝B"/>
        <a:font script="Hang" typeface="맑은 고딕"/>
        <a:font script="Hans" typeface="黑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op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74717710-85EC-4EBC-B723-E88B5711AE46}">
  <ds:schemaRefs/>
</ds:datastoreItem>
</file>

<file path=docProps/app.xml><?xml version="1.0" encoding="utf-8"?>
<Properties xmlns="http://schemas.openxmlformats.org/officeDocument/2006/extended-properties" xmlns:vt="http://schemas.openxmlformats.org/officeDocument/2006/docPropsVTypes">
  <Template>Normal</Template>
  <Company>china</Company>
  <Pages>16</Pages>
  <Words>1001</Words>
  <Characters>5710</Characters>
  <Lines>47</Lines>
  <Paragraphs>13</Paragraphs>
  <TotalTime>5</TotalTime>
  <ScaleCrop>false</ScaleCrop>
  <LinksUpToDate>false</LinksUpToDate>
  <CharactersWithSpaces>6698</CharactersWithSpaces>
  <Application>WPS Office_11.1.0.8213_F1E327BC-269C-435d-A152-05C5408002CA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2018-12-16T07:17:00Z</dcterms:created>
  <dc:creator>china</dc:creator>
  <cp:lastModifiedBy> </cp:lastModifiedBy>
  <dcterms:modified xsi:type="dcterms:W3CDTF">2019-03-16T08:05:02Z</dcterms:modified>
  <cp:revision>59</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2052-11.1.0.8213</vt:lpwstr>
  </property>
</Properties>
</file>