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7DE8" w:rsidRDefault="008D7DE8">
      <w:pPr>
        <w:adjustRightInd w:val="0"/>
        <w:spacing w:line="360" w:lineRule="auto"/>
        <w:rPr>
          <w:rFonts w:ascii="黑体" w:eastAsia="黑体" w:hAnsi="黑体" w:cs="黑体"/>
          <w:sz w:val="32"/>
          <w:szCs w:val="32"/>
        </w:rPr>
      </w:pPr>
    </w:p>
    <w:p w:rsidR="00D26014" w:rsidRDefault="00CA58D9">
      <w:pPr>
        <w:spacing w:line="360" w:lineRule="auto"/>
        <w:jc w:val="center"/>
        <w:rPr>
          <w:rFonts w:ascii="宋体"/>
          <w:b/>
          <w:bCs/>
          <w:sz w:val="36"/>
          <w:szCs w:val="32"/>
        </w:rPr>
      </w:pPr>
      <w:r>
        <w:rPr>
          <w:rFonts w:ascii="宋体" w:hint="eastAsia"/>
          <w:b/>
          <w:bCs/>
          <w:sz w:val="36"/>
          <w:szCs w:val="32"/>
        </w:rPr>
        <w:t>退役士兵一次性经济补助及培训费</w:t>
      </w:r>
    </w:p>
    <w:p w:rsidR="008D7DE8" w:rsidRDefault="00CA58D9">
      <w:pPr>
        <w:spacing w:line="360" w:lineRule="auto"/>
        <w:jc w:val="center"/>
        <w:rPr>
          <w:rFonts w:ascii="华文楷体" w:eastAsia="华文楷体"/>
          <w:sz w:val="32"/>
          <w:szCs w:val="32"/>
        </w:rPr>
      </w:pPr>
      <w:r>
        <w:rPr>
          <w:rFonts w:ascii="宋体" w:hint="eastAsia"/>
          <w:b/>
          <w:bCs/>
          <w:sz w:val="36"/>
          <w:szCs w:val="32"/>
        </w:rPr>
        <w:t>项目绩效评价报告</w:t>
      </w:r>
    </w:p>
    <w:p w:rsidR="008D7DE8" w:rsidRDefault="008D7DE8">
      <w:pPr>
        <w:spacing w:line="360" w:lineRule="auto"/>
        <w:rPr>
          <w:rFonts w:ascii="华文楷体" w:eastAsia="华文楷体"/>
          <w:sz w:val="32"/>
          <w:szCs w:val="32"/>
        </w:rPr>
      </w:pPr>
    </w:p>
    <w:p w:rsidR="008D7DE8" w:rsidRDefault="00CA58D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根据《石家庄市鹿泉区区级部门预算绩效管理办法》（鹿财字[2019]65号），遵循“科学性、规范性、客观性和公正性”的原则，对退役士兵一次性经济补助及培训费项目实施了绩效评价，形成本评价报告。</w:t>
      </w:r>
    </w:p>
    <w:p w:rsidR="008D7DE8" w:rsidRDefault="00CA58D9">
      <w:pPr>
        <w:adjustRightInd w:val="0"/>
        <w:snapToGrid w:val="0"/>
        <w:spacing w:line="360" w:lineRule="auto"/>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8D7DE8" w:rsidRDefault="00CA58D9">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8D7DE8" w:rsidRDefault="00CA58D9">
      <w:pPr>
        <w:adjustRightInd w:val="0"/>
        <w:snapToGrid w:val="0"/>
        <w:spacing w:line="360" w:lineRule="auto"/>
        <w:ind w:firstLineChars="200" w:firstLine="640"/>
        <w:rPr>
          <w:rFonts w:ascii="楷体_GB2312" w:eastAsia="楷体_GB2312" w:hAnsi="楷体_GB2312" w:cs="楷体_GB2312"/>
          <w:sz w:val="32"/>
          <w:szCs w:val="32"/>
        </w:rPr>
      </w:pPr>
      <w:r>
        <w:rPr>
          <w:rFonts w:ascii="仿宋_GB2312" w:eastAsia="仿宋_GB2312" w:hint="eastAsia"/>
          <w:sz w:val="32"/>
          <w:szCs w:val="32"/>
        </w:rPr>
        <w:t>项目实施单位为退役军人事务局，根据财政局印发《关于调整自谋职业和自主就业退役士兵地方一次性经济补助标准的通知》（石民政【2018】45号）等文件实施立项。</w:t>
      </w:r>
    </w:p>
    <w:p w:rsidR="008D7DE8" w:rsidRDefault="00CA58D9">
      <w:pPr>
        <w:numPr>
          <w:ilvl w:val="0"/>
          <w:numId w:val="1"/>
        </w:numPr>
        <w:adjustRightInd w:val="0"/>
        <w:snapToGrid w:val="0"/>
        <w:spacing w:line="360" w:lineRule="auto"/>
        <w:rPr>
          <w:rFonts w:ascii="仿宋_GB2312" w:eastAsia="仿宋_GB2312"/>
          <w:sz w:val="32"/>
          <w:szCs w:val="32"/>
        </w:rPr>
      </w:pPr>
      <w:r>
        <w:rPr>
          <w:rFonts w:ascii="仿宋_GB2312" w:eastAsia="仿宋_GB2312" w:hint="eastAsia"/>
          <w:sz w:val="32"/>
          <w:szCs w:val="32"/>
        </w:rPr>
        <w:t>项目实施单位及项目立项等基本情况；</w:t>
      </w:r>
    </w:p>
    <w:p w:rsidR="008D7DE8" w:rsidRDefault="00CA58D9" w:rsidP="004D09F1">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解决我区符合政府安置工作条件军队退役人员自谋职业一次性经济补助标准始终参照石家庄市自谋职业退役士兵一次性经济补助标准执行，建议我区符合政府安排工作条件退役士兵自谋职业一次性经济补助标准继续参照（石民政【2018】45号）石家庄市自谋职业退役士兵地方一次性经济补助标准发放。</w:t>
      </w:r>
    </w:p>
    <w:p w:rsidR="008D7DE8" w:rsidRDefault="00CA58D9">
      <w:pPr>
        <w:numPr>
          <w:ilvl w:val="0"/>
          <w:numId w:val="1"/>
        </w:numPr>
        <w:adjustRightInd w:val="0"/>
        <w:snapToGrid w:val="0"/>
        <w:spacing w:line="360" w:lineRule="auto"/>
        <w:rPr>
          <w:rFonts w:ascii="仿宋_GB2312" w:eastAsia="仿宋_GB2312"/>
          <w:sz w:val="32"/>
          <w:szCs w:val="32"/>
        </w:rPr>
      </w:pPr>
      <w:r>
        <w:rPr>
          <w:rFonts w:ascii="仿宋_GB2312" w:eastAsia="仿宋_GB2312" w:hint="eastAsia"/>
          <w:sz w:val="32"/>
          <w:szCs w:val="32"/>
        </w:rPr>
        <w:t>项目主要实施内容和范围；</w:t>
      </w:r>
    </w:p>
    <w:p w:rsidR="008D7DE8" w:rsidRDefault="00CA58D9">
      <w:pPr>
        <w:adjustRightInd w:val="0"/>
        <w:snapToGrid w:val="0"/>
        <w:spacing w:line="360" w:lineRule="auto"/>
        <w:ind w:left="800"/>
        <w:rPr>
          <w:rFonts w:ascii="仿宋_GB2312" w:eastAsia="仿宋_GB2312"/>
          <w:sz w:val="32"/>
          <w:szCs w:val="32"/>
        </w:rPr>
      </w:pPr>
      <w:r>
        <w:rPr>
          <w:rFonts w:ascii="仿宋_GB2312" w:eastAsia="仿宋_GB2312" w:hint="eastAsia"/>
          <w:sz w:val="32"/>
          <w:szCs w:val="32"/>
        </w:rPr>
        <w:t>符合政府安置工作条件军队退役人员自谋职业一次性</w:t>
      </w:r>
      <w:r>
        <w:rPr>
          <w:rFonts w:ascii="仿宋_GB2312" w:eastAsia="仿宋_GB2312" w:hint="eastAsia"/>
          <w:sz w:val="32"/>
          <w:szCs w:val="32"/>
        </w:rPr>
        <w:lastRenderedPageBreak/>
        <w:t>经济补助人员。</w:t>
      </w:r>
    </w:p>
    <w:p w:rsidR="008D7DE8" w:rsidRDefault="00CA58D9">
      <w:pPr>
        <w:numPr>
          <w:ilvl w:val="0"/>
          <w:numId w:val="1"/>
        </w:numPr>
        <w:adjustRightInd w:val="0"/>
        <w:snapToGrid w:val="0"/>
        <w:spacing w:line="360" w:lineRule="auto"/>
        <w:rPr>
          <w:rFonts w:ascii="仿宋_GB2312" w:eastAsia="仿宋_GB2312"/>
          <w:sz w:val="32"/>
          <w:szCs w:val="32"/>
        </w:rPr>
      </w:pPr>
      <w:r>
        <w:rPr>
          <w:rFonts w:ascii="仿宋_GB2312" w:eastAsia="仿宋_GB2312" w:hint="eastAsia"/>
          <w:sz w:val="32"/>
          <w:szCs w:val="32"/>
        </w:rPr>
        <w:t>项目资金投入情况</w:t>
      </w:r>
    </w:p>
    <w:p w:rsidR="008D7DE8" w:rsidRDefault="00CA58D9" w:rsidP="004D09F1">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石民政【2018】45号规定，①退役义务兵补助标准：服役满两年退役义务兵地方一次性经济补助标准为6万元减去部队发放的退役金（60000-9000=51000元）；②退役士官发放标准：以服役满两年退役义务兵地方经济补助标准为基数，从其改选士官起服役年限增加1年，地方经济补助增发10％，计算公式为：服役满两年退役义务兵地方经济补助标准+服役满两年退役义务兵地方补助标准×10%×（实际服役年限-2年），2018年预计接收180人。冀政办【2011】14号文件规定，2019年预计培训120-150名退役士兵。2019年预算本级资金6339886.24元。</w:t>
      </w:r>
    </w:p>
    <w:p w:rsidR="008D7DE8" w:rsidRDefault="00CA58D9">
      <w:pPr>
        <w:numPr>
          <w:ilvl w:val="0"/>
          <w:numId w:val="1"/>
        </w:numPr>
        <w:adjustRightInd w:val="0"/>
        <w:snapToGrid w:val="0"/>
        <w:spacing w:line="360" w:lineRule="auto"/>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8C3B95" w:rsidRDefault="008C3B95" w:rsidP="008C3B95">
      <w:pPr>
        <w:adjustRightInd w:val="0"/>
        <w:snapToGrid w:val="0"/>
        <w:spacing w:line="360" w:lineRule="auto"/>
        <w:ind w:firstLineChars="250" w:firstLine="800"/>
        <w:rPr>
          <w:rFonts w:ascii="仿宋_GB2312" w:eastAsia="仿宋_GB2312"/>
          <w:sz w:val="32"/>
          <w:szCs w:val="32"/>
        </w:rPr>
      </w:pPr>
      <w:r w:rsidRPr="008C3B95">
        <w:rPr>
          <w:rFonts w:ascii="仿宋_GB2312" w:eastAsia="仿宋_GB2312" w:hint="eastAsia"/>
          <w:sz w:val="32"/>
          <w:szCs w:val="32"/>
        </w:rPr>
        <w:t>石民政【2018】45号规定，①退役义务兵补助标准：服役满两年退役义务兵地方一次性经济补助标准为6万元减去部队发放的退役金（60000-9000=51000元）；②退役士官发放标准：以服役满两年退役义务兵地方经济补助标准为基数，从其改选士官起服役年限增加1年，地方经济补助增发10％，计算公式为：服役满两年退役义务兵地方经济补助标准+服役满两年退役义务兵地方补助标准×10%×（实际服役年限-2年），2018年预计接收180人。冀政办【2011】14号文件规定，2019年预计培训120-150名退役士兵。</w:t>
      </w:r>
    </w:p>
    <w:p w:rsidR="008D7DE8" w:rsidRPr="008C3B95" w:rsidRDefault="00CA58D9" w:rsidP="008C3B95">
      <w:pPr>
        <w:adjustRightInd w:val="0"/>
        <w:snapToGrid w:val="0"/>
        <w:spacing w:line="360" w:lineRule="auto"/>
        <w:ind w:firstLineChars="250" w:firstLine="803"/>
        <w:rPr>
          <w:rFonts w:ascii="黑体" w:eastAsia="黑体" w:hAnsi="黑体" w:cs="黑体"/>
          <w:b/>
          <w:bCs/>
          <w:sz w:val="32"/>
          <w:szCs w:val="32"/>
        </w:rPr>
      </w:pPr>
      <w:r w:rsidRPr="008C3B95">
        <w:rPr>
          <w:rFonts w:ascii="黑体" w:eastAsia="黑体" w:hAnsi="黑体" w:cs="黑体" w:hint="eastAsia"/>
          <w:b/>
          <w:bCs/>
          <w:sz w:val="32"/>
          <w:szCs w:val="32"/>
        </w:rPr>
        <w:lastRenderedPageBreak/>
        <w:t>二、绩效评价工作情况</w:t>
      </w:r>
    </w:p>
    <w:p w:rsidR="008D7DE8" w:rsidRDefault="00CA58D9">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8D7DE8" w:rsidRDefault="00CA58D9">
      <w:pPr>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8D7DE8" w:rsidRDefault="00CA58D9">
      <w:pPr>
        <w:numPr>
          <w:ilvl w:val="0"/>
          <w:numId w:val="2"/>
        </w:numPr>
        <w:rPr>
          <w:rFonts w:ascii="楷体_GB2312" w:eastAsia="楷体_GB2312" w:hAnsi="楷体_GB2312" w:cs="楷体_GB2312"/>
          <w:sz w:val="32"/>
          <w:szCs w:val="32"/>
        </w:rPr>
      </w:pPr>
      <w:r>
        <w:rPr>
          <w:rFonts w:ascii="楷体_GB2312" w:eastAsia="楷体_GB2312" w:hAnsi="楷体_GB2312" w:cs="楷体_GB2312" w:hint="eastAsia"/>
          <w:sz w:val="32"/>
          <w:szCs w:val="32"/>
        </w:rPr>
        <w:t>绩效评价的方法和过程</w:t>
      </w:r>
    </w:p>
    <w:p w:rsidR="008D7DE8" w:rsidRDefault="00CA58D9">
      <w:pPr>
        <w:ind w:firstLineChars="200" w:firstLine="640"/>
        <w:rPr>
          <w:rFonts w:ascii="楷体_GB2312" w:eastAsia="楷体_GB2312" w:hAnsi="楷体_GB2312" w:cs="楷体_GB2312"/>
          <w:sz w:val="32"/>
          <w:szCs w:val="32"/>
        </w:rPr>
      </w:pPr>
      <w:r>
        <w:rPr>
          <w:rFonts w:ascii="仿宋_GB2312" w:eastAsia="仿宋_GB2312" w:hAnsi="楷体_GB2312" w:cs="楷体_GB2312" w:hint="eastAsia"/>
          <w:sz w:val="32"/>
          <w:szCs w:val="32"/>
        </w:rPr>
        <w:t>实地采用调查问卷的方式进行。</w:t>
      </w:r>
    </w:p>
    <w:p w:rsidR="008D7DE8" w:rsidRDefault="00CA58D9">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8D7DE8" w:rsidRDefault="00CA58D9">
      <w:pPr>
        <w:ind w:firstLineChars="200" w:firstLine="640"/>
        <w:rPr>
          <w:rFonts w:ascii="仿宋_GB2312" w:eastAsia="仿宋_GB2312"/>
          <w:bCs/>
          <w:sz w:val="32"/>
          <w:szCs w:val="32"/>
        </w:rPr>
      </w:pPr>
      <w:r>
        <w:rPr>
          <w:rFonts w:ascii="仿宋_GB2312" w:eastAsia="仿宋_GB2312" w:hint="eastAsia"/>
          <w:bCs/>
          <w:sz w:val="32"/>
          <w:szCs w:val="32"/>
        </w:rPr>
        <w:t>1、项目立项规范性、资金到位率</w:t>
      </w:r>
    </w:p>
    <w:p w:rsidR="008D7DE8" w:rsidRDefault="00CA58D9">
      <w:pPr>
        <w:ind w:firstLineChars="200" w:firstLine="640"/>
        <w:rPr>
          <w:rFonts w:ascii="仿宋_GB2312" w:eastAsia="仿宋_GB2312"/>
          <w:bCs/>
          <w:sz w:val="32"/>
          <w:szCs w:val="32"/>
        </w:rPr>
      </w:pPr>
      <w:r>
        <w:rPr>
          <w:rFonts w:ascii="仿宋_GB2312" w:eastAsia="仿宋_GB2312" w:hint="eastAsia"/>
          <w:bCs/>
          <w:sz w:val="32"/>
          <w:szCs w:val="32"/>
        </w:rPr>
        <w:t>2、管理制度健全性、资金使用合规性</w:t>
      </w:r>
    </w:p>
    <w:p w:rsidR="008D7DE8" w:rsidRDefault="00CA58D9">
      <w:pPr>
        <w:ind w:firstLineChars="200" w:firstLine="640"/>
        <w:rPr>
          <w:rFonts w:ascii="仿宋_GB2312" w:eastAsia="仿宋_GB2312"/>
          <w:bCs/>
          <w:sz w:val="32"/>
          <w:szCs w:val="32"/>
        </w:rPr>
      </w:pPr>
      <w:r>
        <w:rPr>
          <w:rFonts w:ascii="仿宋_GB2312" w:eastAsia="仿宋_GB2312" w:hint="eastAsia"/>
          <w:bCs/>
          <w:sz w:val="32"/>
          <w:szCs w:val="32"/>
        </w:rPr>
        <w:t>3、实际完成率、质量达标率</w:t>
      </w:r>
    </w:p>
    <w:p w:rsidR="008D7DE8" w:rsidRDefault="00CA58D9">
      <w:pPr>
        <w:ind w:firstLineChars="200" w:firstLine="640"/>
        <w:rPr>
          <w:rFonts w:ascii="仿宋_GB2312" w:eastAsia="仿宋_GB2312"/>
          <w:bCs/>
          <w:sz w:val="32"/>
          <w:szCs w:val="32"/>
        </w:rPr>
      </w:pPr>
      <w:r>
        <w:rPr>
          <w:rFonts w:ascii="仿宋_GB2312" w:eastAsia="仿宋_GB2312" w:hint="eastAsia"/>
          <w:bCs/>
          <w:sz w:val="32"/>
          <w:szCs w:val="32"/>
        </w:rPr>
        <w:t>4、服务对象满意度、社会效益</w:t>
      </w:r>
    </w:p>
    <w:p w:rsidR="008D7DE8" w:rsidRDefault="00CA58D9">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8D7DE8" w:rsidRDefault="00CA58D9">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（一）项目投入</w:t>
      </w:r>
    </w:p>
    <w:p w:rsidR="008D7DE8" w:rsidRDefault="00CA58D9">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sz w:val="32"/>
          <w:szCs w:val="32"/>
        </w:rPr>
        <w:t>项目</w:t>
      </w:r>
      <w:r>
        <w:rPr>
          <w:rFonts w:ascii="仿宋_GB2312" w:eastAsia="仿宋_GB2312" w:hint="eastAsia"/>
          <w:sz w:val="32"/>
          <w:szCs w:val="32"/>
        </w:rPr>
        <w:t>立项情况分析。对项目</w:t>
      </w:r>
      <w:r>
        <w:rPr>
          <w:rFonts w:ascii="仿宋_GB2312" w:eastAsia="仿宋_GB2312"/>
          <w:sz w:val="32"/>
          <w:szCs w:val="32"/>
        </w:rPr>
        <w:t>立项规范性</w:t>
      </w:r>
      <w:r>
        <w:rPr>
          <w:rFonts w:ascii="仿宋_GB2312" w:eastAsia="仿宋_GB2312" w:hint="eastAsia"/>
          <w:sz w:val="32"/>
          <w:szCs w:val="32"/>
        </w:rPr>
        <w:t>、绩效目标合理性和绩效指标明确性等情况进行分析后，根据指标体系评分标准计算分值。</w:t>
      </w:r>
    </w:p>
    <w:p w:rsidR="008D7DE8" w:rsidRDefault="00CA58D9">
      <w:pPr>
        <w:ind w:firstLineChars="200" w:firstLine="640"/>
        <w:rPr>
          <w:rFonts w:ascii="仿宋_GB2312" w:eastAsia="仿宋_GB2312"/>
          <w:sz w:val="32"/>
          <w:szCs w:val="32"/>
        </w:rPr>
      </w:pPr>
      <w:r>
        <w:rPr>
          <w:rFonts w:ascii="仿宋_GB2312" w:eastAsia="仿宋_GB2312" w:hint="eastAsia"/>
          <w:sz w:val="32"/>
          <w:szCs w:val="32"/>
        </w:rPr>
        <w:t>2.资金落实情况分析。对资金到位率和到位及时率等情况进行分析后，根据指标体系评分标准计算分值。</w:t>
      </w:r>
    </w:p>
    <w:p w:rsidR="008D7DE8" w:rsidRDefault="00CA58D9">
      <w:pPr>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8D7DE8" w:rsidRDefault="00CA58D9">
      <w:pPr>
        <w:ind w:firstLineChars="200" w:firstLine="640"/>
        <w:rPr>
          <w:rFonts w:ascii="仿宋_GB2312" w:eastAsia="仿宋_GB2312"/>
          <w:sz w:val="32"/>
          <w:szCs w:val="32"/>
        </w:rPr>
      </w:pPr>
      <w:r>
        <w:rPr>
          <w:rFonts w:ascii="仿宋_GB2312" w:eastAsia="仿宋_GB2312" w:hint="eastAsia"/>
          <w:sz w:val="32"/>
          <w:szCs w:val="32"/>
        </w:rPr>
        <w:t>1.业务管理情况分析。对管理制度健全性、制度执行有效性和项目质量可控性等情况进行分析后，根据指标体系评分标准计算分值。</w:t>
      </w:r>
    </w:p>
    <w:p w:rsidR="008D7DE8" w:rsidRDefault="00CA58D9">
      <w:pPr>
        <w:ind w:firstLineChars="200" w:firstLine="640"/>
        <w:rPr>
          <w:rFonts w:ascii="仿宋_GB2312" w:eastAsia="仿宋_GB2312"/>
          <w:sz w:val="32"/>
          <w:szCs w:val="32"/>
        </w:rPr>
      </w:pPr>
      <w:r>
        <w:rPr>
          <w:rFonts w:ascii="仿宋_GB2312" w:eastAsia="仿宋_GB2312" w:hint="eastAsia"/>
          <w:sz w:val="32"/>
          <w:szCs w:val="32"/>
        </w:rPr>
        <w:lastRenderedPageBreak/>
        <w:t>2.财务管理。对管理制度健全性、资金使用合规性和财务监控有效性等情况进行分析后，根据指标体系评分标准计算分值。</w:t>
      </w:r>
    </w:p>
    <w:p w:rsidR="008D7DE8" w:rsidRDefault="00CA58D9">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8D7DE8" w:rsidRDefault="00CA58D9">
      <w:pPr>
        <w:ind w:firstLineChars="200" w:firstLine="640"/>
        <w:rPr>
          <w:rFonts w:ascii="仿宋_GB2312" w:eastAsia="仿宋_GB2312"/>
          <w:sz w:val="32"/>
          <w:szCs w:val="32"/>
        </w:rPr>
      </w:pPr>
      <w:r>
        <w:rPr>
          <w:rFonts w:ascii="仿宋_GB2312" w:eastAsia="仿宋_GB2312" w:hint="eastAsia"/>
          <w:sz w:val="32"/>
          <w:szCs w:val="32"/>
        </w:rPr>
        <w:t>对项目的实际完成率、完成及时率、质量达标率、成本节约率等情况进行分析后，根据指标体系评分标准计算分值。</w:t>
      </w:r>
    </w:p>
    <w:p w:rsidR="008D7DE8" w:rsidRDefault="00CA58D9">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8D7DE8" w:rsidRDefault="00CA58D9">
      <w:pPr>
        <w:ind w:firstLineChars="200" w:firstLine="640"/>
        <w:rPr>
          <w:rFonts w:ascii="仿宋_GB2312" w:eastAsia="仿宋_GB2312"/>
          <w:sz w:val="32"/>
          <w:szCs w:val="32"/>
        </w:rPr>
      </w:pPr>
      <w:r>
        <w:rPr>
          <w:rFonts w:ascii="仿宋_GB2312" w:eastAsia="仿宋_GB2312" w:hint="eastAsia"/>
          <w:sz w:val="32"/>
          <w:szCs w:val="32"/>
        </w:rPr>
        <w:t>对项目的经济效益、社会效益、生态效益、可持续影响和社会公众或服务对象满意度等情况进行分析后，根据指标体系评分标准计算分值。</w:t>
      </w:r>
    </w:p>
    <w:p w:rsidR="008D7DE8" w:rsidRDefault="00CA58D9">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8D7DE8" w:rsidRDefault="00CA58D9">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根据项目执行情况和项目绩效情况，该项目综合评价得分：90分，项目综合绩效评价等级为优秀。</w:t>
      </w:r>
    </w:p>
    <w:p w:rsidR="008D7DE8" w:rsidRDefault="00CA58D9">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8D7DE8" w:rsidRDefault="00CA58D9">
      <w:pPr>
        <w:rPr>
          <w:rFonts w:ascii="楷体_GB2312" w:eastAsia="楷体_GB2312" w:hAnsi="楷体_GB2312"/>
          <w:sz w:val="32"/>
          <w:szCs w:val="32"/>
        </w:rPr>
      </w:pPr>
      <w:r>
        <w:rPr>
          <w:rFonts w:ascii="仿宋_GB2312" w:eastAsia="仿宋_GB2312" w:hint="eastAsia"/>
          <w:sz w:val="32"/>
          <w:szCs w:val="32"/>
        </w:rPr>
        <w:t>该项目在实施过程中没有存在问题。</w:t>
      </w:r>
    </w:p>
    <w:p w:rsidR="004D09F1" w:rsidRPr="004D09F1" w:rsidRDefault="00CA58D9" w:rsidP="004D09F1">
      <w:pPr>
        <w:adjustRightInd w:val="0"/>
        <w:snapToGrid w:val="0"/>
        <w:spacing w:line="360" w:lineRule="auto"/>
        <w:ind w:firstLineChars="200" w:firstLine="640"/>
        <w:rPr>
          <w:rFonts w:ascii="黑体" w:eastAsia="黑体"/>
          <w:sz w:val="32"/>
          <w:szCs w:val="32"/>
        </w:rPr>
      </w:pPr>
      <w:r>
        <w:rPr>
          <w:rFonts w:ascii="黑体" w:eastAsia="黑体" w:hint="eastAsia"/>
          <w:sz w:val="32"/>
          <w:szCs w:val="32"/>
        </w:rPr>
        <w:t>六、评价工作组人员名单及签字</w:t>
      </w:r>
    </w:p>
    <w:sectPr w:rsidR="004D09F1" w:rsidRPr="004D09F1" w:rsidSect="004D09F1">
      <w:footerReference w:type="even" r:id="rId8"/>
      <w:footerReference w:type="default" r:id="rId9"/>
      <w:pgSz w:w="11906" w:h="16838"/>
      <w:pgMar w:top="1440" w:right="1800" w:bottom="1440" w:left="1800"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5E32" w:rsidRDefault="00215E32" w:rsidP="008D7DE8">
      <w:r>
        <w:separator/>
      </w:r>
    </w:p>
  </w:endnote>
  <w:endnote w:type="continuationSeparator" w:id="1">
    <w:p w:rsidR="00215E32" w:rsidRDefault="00215E32" w:rsidP="008D7DE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7DE8" w:rsidRDefault="00507F22">
    <w:pPr>
      <w:pStyle w:val="a3"/>
      <w:framePr w:wrap="around" w:vAnchor="text" w:hAnchor="margin" w:xAlign="right" w:y="1"/>
      <w:rPr>
        <w:rStyle w:val="a5"/>
      </w:rPr>
    </w:pPr>
    <w:r>
      <w:fldChar w:fldCharType="begin"/>
    </w:r>
    <w:r w:rsidR="00CA58D9">
      <w:rPr>
        <w:rStyle w:val="a5"/>
      </w:rPr>
      <w:instrText xml:space="preserve">PAGE  </w:instrText>
    </w:r>
    <w:r>
      <w:fldChar w:fldCharType="separate"/>
    </w:r>
    <w:r w:rsidR="00CA58D9">
      <w:rPr>
        <w:rStyle w:val="a5"/>
      </w:rPr>
      <w:t>4</w:t>
    </w:r>
    <w:r>
      <w:fldChar w:fldCharType="end"/>
    </w:r>
  </w:p>
  <w:p w:rsidR="008D7DE8" w:rsidRDefault="008D7DE8">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7DE8" w:rsidRDefault="008D7DE8">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5E32" w:rsidRDefault="00215E32" w:rsidP="008D7DE8">
      <w:r>
        <w:separator/>
      </w:r>
    </w:p>
  </w:footnote>
  <w:footnote w:type="continuationSeparator" w:id="1">
    <w:p w:rsidR="00215E32" w:rsidRDefault="00215E32" w:rsidP="008D7DE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7CC51F3"/>
    <w:multiLevelType w:val="singleLevel"/>
    <w:tmpl w:val="B7CC51F3"/>
    <w:lvl w:ilvl="0">
      <w:start w:val="2"/>
      <w:numFmt w:val="chineseCounting"/>
      <w:suff w:val="nothing"/>
      <w:lvlText w:val="（%1）"/>
      <w:lvlJc w:val="left"/>
      <w:pPr>
        <w:ind w:left="481" w:firstLine="0"/>
      </w:pPr>
      <w:rPr>
        <w:rFonts w:hint="eastAsia"/>
      </w:rPr>
    </w:lvl>
  </w:abstractNum>
  <w:abstractNum w:abstractNumId="1">
    <w:nsid w:val="2A601B8D"/>
    <w:multiLevelType w:val="singleLevel"/>
    <w:tmpl w:val="2A601B8D"/>
    <w:lvl w:ilvl="0">
      <w:start w:val="1"/>
      <w:numFmt w:val="decimal"/>
      <w:lvlText w:val="%1."/>
      <w:lvlJc w:val="left"/>
      <w:pPr>
        <w:tabs>
          <w:tab w:val="left" w:pos="312"/>
        </w:tabs>
        <w:ind w:left="80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215E32"/>
    <w:rsid w:val="004D09F1"/>
    <w:rsid w:val="00507F22"/>
    <w:rsid w:val="00890B40"/>
    <w:rsid w:val="008C3B95"/>
    <w:rsid w:val="008D7DE8"/>
    <w:rsid w:val="00CA58D9"/>
    <w:rsid w:val="00D26014"/>
    <w:rsid w:val="1197417C"/>
    <w:rsid w:val="2A2941B7"/>
    <w:rsid w:val="2A3057D1"/>
    <w:rsid w:val="3E785A09"/>
    <w:rsid w:val="43C17992"/>
    <w:rsid w:val="753A3815"/>
    <w:rsid w:val="765F639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D7DE8"/>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8D7DE8"/>
    <w:pPr>
      <w:tabs>
        <w:tab w:val="center" w:pos="4153"/>
        <w:tab w:val="right" w:pos="8306"/>
      </w:tabs>
      <w:snapToGrid w:val="0"/>
      <w:jc w:val="left"/>
    </w:pPr>
    <w:rPr>
      <w:sz w:val="18"/>
      <w:szCs w:val="18"/>
    </w:rPr>
  </w:style>
  <w:style w:type="paragraph" w:styleId="a4">
    <w:name w:val="header"/>
    <w:basedOn w:val="a"/>
    <w:rsid w:val="008D7DE8"/>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8D7DE8"/>
  </w:style>
  <w:style w:type="character" w:styleId="a5">
    <w:name w:val="page number"/>
    <w:basedOn w:val="a0"/>
    <w:rsid w:val="008D7DE8"/>
  </w:style>
  <w:style w:type="table" w:styleId="a6">
    <w:name w:val="Table Grid"/>
    <w:basedOn w:val="a1"/>
    <w:qFormat/>
    <w:rsid w:val="008D7D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99"/>
    <w:unhideWhenUsed/>
    <w:rsid w:val="008C3B95"/>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242</Words>
  <Characters>1386</Characters>
  <Application>Microsoft Office Word</Application>
  <DocSecurity>0</DocSecurity>
  <Lines>11</Lines>
  <Paragraphs>3</Paragraphs>
  <ScaleCrop>false</ScaleCrop>
  <Company/>
  <LinksUpToDate>false</LinksUpToDate>
  <CharactersWithSpaces>1625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4</cp:revision>
  <dcterms:created xsi:type="dcterms:W3CDTF">2020-01-02T08:14:00Z</dcterms:created>
  <dcterms:modified xsi:type="dcterms:W3CDTF">2020-01-06T07:33:00Z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