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Theme="minorEastAsia" w:hAnsiTheme="minorEastAsia" w:eastAsiaTheme="minorEastAsia" w:cstheme="minorEastAsia"/>
          <w:b/>
          <w:bCs/>
          <w:sz w:val="44"/>
          <w:szCs w:val="44"/>
          <w:lang w:eastAsia="zh-CN"/>
        </w:rPr>
      </w:pPr>
      <w:r>
        <w:rPr>
          <w:rFonts w:hint="eastAsia" w:asciiTheme="minorEastAsia" w:hAnsiTheme="minorEastAsia" w:eastAsiaTheme="minorEastAsia" w:cstheme="minorEastAsia"/>
          <w:b/>
          <w:bCs/>
          <w:sz w:val="44"/>
          <w:szCs w:val="44"/>
          <w:lang w:eastAsia="zh-CN"/>
        </w:rPr>
        <w:t>获鹿镇排水泵站管护项目</w:t>
      </w:r>
    </w:p>
    <w:p>
      <w:pPr>
        <w:spacing w:line="360" w:lineRule="auto"/>
        <w:ind w:left="0" w:leftChars="0" w:right="0" w:rightChars="0" w:firstLine="0" w:firstLineChars="0"/>
        <w:jc w:val="center"/>
        <w:rPr>
          <w:rFonts w:hint="eastAsia" w:asciiTheme="minorEastAsia" w:hAnsiTheme="minorEastAsia" w:eastAsiaTheme="minorEastAsia" w:cstheme="minorEastAsia"/>
          <w:sz w:val="32"/>
          <w:szCs w:val="32"/>
          <w:lang w:eastAsia="zh-CN"/>
        </w:rPr>
      </w:pPr>
      <w:r>
        <w:rPr>
          <w:rFonts w:hint="eastAsia" w:asciiTheme="minorEastAsia" w:hAnsiTheme="minorEastAsia" w:eastAsiaTheme="minorEastAsia" w:cstheme="minorEastAsia"/>
          <w:b/>
          <w:bCs/>
          <w:sz w:val="44"/>
          <w:szCs w:val="44"/>
        </w:rPr>
        <w:t>绩效评价报告</w:t>
      </w:r>
    </w:p>
    <w:p>
      <w:pPr>
        <w:spacing w:line="360" w:lineRule="auto"/>
        <w:ind w:left="0" w:leftChars="0" w:right="0" w:rightChars="0" w:firstLine="0" w:firstLineChars="0"/>
        <w:jc w:val="center"/>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排水泵站管护项目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lang w:eastAsia="zh-CN"/>
        </w:rPr>
        <w:t>项目实施单位及项目立项等基本情况；</w:t>
      </w:r>
    </w:p>
    <w:p>
      <w:pPr>
        <w:adjustRightInd w:val="0"/>
        <w:snapToGrid w:val="0"/>
        <w:spacing w:line="360" w:lineRule="auto"/>
        <w:ind w:firstLine="640" w:firstLineChars="200"/>
        <w:rPr>
          <w:rFonts w:hint="eastAsia" w:ascii="仿宋_GB2312" w:eastAsia="仿宋_GB2312"/>
          <w:sz w:val="32"/>
          <w:szCs w:val="32"/>
          <w:lang w:val="zh-CN" w:eastAsia="zh-CN"/>
        </w:rPr>
      </w:pPr>
      <w:r>
        <w:rPr>
          <w:rFonts w:hint="eastAsia" w:ascii="楷体_GB2312" w:hAnsi="楷体_GB2312" w:eastAsia="楷体_GB2312" w:cs="楷体_GB2312"/>
          <w:b w:val="0"/>
          <w:bCs w:val="0"/>
          <w:sz w:val="32"/>
          <w:szCs w:val="32"/>
          <w:lang w:val="zh-CN"/>
        </w:rPr>
        <w:t>区政府2014年第17次会议纪要：铁路货迁工程排水泵站管护及运行费由区财政拨付，定额包干，不足部分乡镇自行解决。</w:t>
      </w:r>
    </w:p>
    <w:p>
      <w:pPr>
        <w:numPr>
          <w:ilvl w:val="0"/>
          <w:numId w:val="1"/>
        </w:numPr>
        <w:adjustRightInd w:val="0"/>
        <w:snapToGrid w:val="0"/>
        <w:spacing w:line="360" w:lineRule="auto"/>
        <w:ind w:left="800" w:leftChars="0" w:firstLine="0" w:firstLineChars="0"/>
        <w:rPr>
          <w:rFonts w:hint="eastAsia" w:ascii="仿宋_GB2312" w:eastAsia="仿宋_GB2312"/>
          <w:sz w:val="32"/>
          <w:szCs w:val="32"/>
          <w:lang w:val="en-US" w:eastAsia="zh-CN"/>
        </w:rPr>
      </w:pPr>
      <w:r>
        <w:rPr>
          <w:rFonts w:hint="eastAsia" w:ascii="仿宋_GB2312" w:eastAsia="仿宋_GB2312"/>
          <w:sz w:val="32"/>
          <w:szCs w:val="32"/>
          <w:lang w:val="en-US" w:eastAsia="zh-CN"/>
        </w:rPr>
        <w:t>项目主要实施内容和范围；</w:t>
      </w:r>
    </w:p>
    <w:p>
      <w:pPr>
        <w:adjustRightInd w:val="0"/>
        <w:snapToGrid w:val="0"/>
        <w:spacing w:line="360" w:lineRule="auto"/>
        <w:ind w:firstLine="640" w:firstLineChars="200"/>
        <w:rPr>
          <w:rFonts w:hint="eastAsia" w:ascii="仿宋_GB2312" w:eastAsia="仿宋_GB2312"/>
          <w:sz w:val="32"/>
          <w:szCs w:val="32"/>
          <w:lang w:val="zh-CN" w:eastAsia="zh-CN"/>
        </w:rPr>
      </w:pPr>
      <w:r>
        <w:rPr>
          <w:rFonts w:hint="eastAsia" w:ascii="楷体_GB2312" w:hAnsi="楷体_GB2312" w:eastAsia="楷体_GB2312" w:cs="楷体_GB2312"/>
          <w:b w:val="0"/>
          <w:bCs w:val="0"/>
          <w:sz w:val="32"/>
          <w:szCs w:val="32"/>
          <w:lang w:val="zh-CN"/>
        </w:rPr>
        <w:t>其中补助获鹿镇4.5万元用于北新城村泵站管护费用。</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zh-CN" w:eastAsia="zh-CN"/>
        </w:rPr>
        <w:t>每年在9月底前把租金发放到位。</w:t>
      </w:r>
      <w:r>
        <w:rPr>
          <w:rFonts w:hint="eastAsia" w:ascii="仿宋_GB2312" w:eastAsia="仿宋_GB2312"/>
          <w:sz w:val="32"/>
          <w:szCs w:val="32"/>
          <w:lang w:val="en-US" w:eastAsia="zh-CN"/>
        </w:rPr>
        <w:t>资金来源为区财政出资。</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jc w:val="left"/>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eastAsia="zh-CN"/>
        </w:rPr>
        <w:t>做好铁路货迁工程排水泵站养护及运行，及时排除污水淤泥，解决污水淤泥给群众带来的不便和困扰，达到群众满意。。</w:t>
      </w:r>
    </w:p>
    <w:p>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jc w:val="left"/>
        <w:textAlignment w:val="auto"/>
        <w:outlineLvl w:val="9"/>
        <w:rPr>
          <w:rFonts w:hint="eastAsia" w:ascii="黑体" w:hAnsi="黑体" w:eastAsia="黑体" w:cs="黑体"/>
          <w:b/>
          <w:bCs/>
          <w:sz w:val="32"/>
          <w:szCs w:val="32"/>
          <w:lang w:eastAsia="zh-CN"/>
        </w:rPr>
      </w:pPr>
      <w:r>
        <w:rPr>
          <w:rFonts w:hint="eastAsia" w:ascii="仿宋_GB2312" w:hAnsi="仿宋_GB2312" w:eastAsia="仿宋_GB2312" w:cs="仿宋_GB2312"/>
          <w:b w:val="0"/>
          <w:bCs w:val="0"/>
          <w:sz w:val="32"/>
          <w:szCs w:val="32"/>
          <w:lang w:val="en-US" w:eastAsia="zh-CN"/>
        </w:rPr>
        <w:t xml:space="preserve">  </w:t>
      </w:r>
      <w:r>
        <w:rPr>
          <w:rFonts w:hint="eastAsia" w:ascii="黑体" w:hAnsi="黑体" w:eastAsia="黑体" w:cs="黑体"/>
          <w:b/>
          <w:bCs/>
          <w:sz w:val="32"/>
          <w:szCs w:val="32"/>
          <w:lang w:eastAsia="zh-CN"/>
        </w:rPr>
        <w:t>二、绩效评价工作情况</w:t>
      </w:r>
    </w:p>
    <w:p>
      <w:pPr>
        <w:ind w:left="0" w:leftChars="0" w:right="0" w:rightChars="0" w:firstLine="0" w:firstLineChars="0"/>
        <w:jc w:val="both"/>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numPr>
          <w:ilvl w:val="0"/>
          <w:numId w:val="0"/>
        </w:numPr>
        <w:rPr>
          <w:rFonts w:hint="eastAsia" w:ascii="仿宋_GB2312" w:eastAsia="仿宋_GB2312"/>
          <w:sz w:val="32"/>
          <w:szCs w:val="32"/>
          <w:lang w:val="en-US"/>
        </w:rPr>
      </w:pPr>
      <w:r>
        <w:rPr>
          <w:rFonts w:hint="eastAsia" w:ascii="仿宋_GB2312" w:eastAsia="仿宋_GB2312"/>
          <w:sz w:val="32"/>
          <w:szCs w:val="32"/>
          <w:lang w:val="en-US" w:eastAsia="zh-CN"/>
        </w:rPr>
        <w:t xml:space="preserve">   通过全面评价北新城排水泵站管护专项资金项目，形成真实、准确、清晰的绩效评价结论，为后期强化预算绩效管理提供重要依据。一方面考核项目绩效目标的完成程度，增强项目实施单位对财政资金使用的责任感，规范资金管理，确保资金安全与高效使用。另一方面考核评价项目管理工作的运行绩效，分析资金使用后对防护的影响。第三通过对预算资金的产出和结果进行评价，发现预算执行、资金使用管理中存在的问题，优化资金资源，提高资金使用效率，为下一年预算安排提供参考依据。</w:t>
      </w:r>
    </w:p>
    <w:p>
      <w:pPr>
        <w:numPr>
          <w:ilvl w:val="0"/>
          <w:numId w:val="2"/>
        </w:numPr>
        <w:ind w:left="481"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绩效评价的方法和过程</w:t>
      </w:r>
    </w:p>
    <w:p>
      <w:pPr>
        <w:numPr>
          <w:ilvl w:val="0"/>
          <w:numId w:val="3"/>
        </w:numPr>
        <w:ind w:left="481" w:leftChars="0" w:right="0" w:right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评价方法</w:t>
      </w:r>
    </w:p>
    <w:p>
      <w:pPr>
        <w:keepNext w:val="0"/>
        <w:keepLines w:val="0"/>
        <w:pageBreakBefore w:val="0"/>
        <w:widowControl w:val="0"/>
        <w:numPr>
          <w:ilvl w:val="0"/>
          <w:numId w:val="0"/>
        </w:numPr>
        <w:kinsoku/>
        <w:wordWrap/>
        <w:overflowPunct/>
        <w:topLinePunct w:val="0"/>
        <w:autoSpaceDE/>
        <w:autoSpaceDN/>
        <w:bidi w:val="0"/>
        <w:adjustRightInd/>
        <w:snapToGrid/>
        <w:ind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本项目从实际情况出发，采取以下方法，同时在运用具体评价方法时，采用定量与定性相结合的技术进行综合评价。</w:t>
      </w:r>
    </w:p>
    <w:p>
      <w:pPr>
        <w:keepNext w:val="0"/>
        <w:keepLines w:val="0"/>
        <w:pageBreakBefore w:val="0"/>
        <w:widowControl w:val="0"/>
        <w:numPr>
          <w:ilvl w:val="0"/>
          <w:numId w:val="4"/>
        </w:numPr>
        <w:kinsoku/>
        <w:wordWrap/>
        <w:overflowPunct/>
        <w:topLinePunct w:val="0"/>
        <w:autoSpaceDE/>
        <w:autoSpaceDN/>
        <w:bidi w:val="0"/>
        <w:adjustRightInd/>
        <w:snapToGrid/>
        <w:ind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比较法：通过对绩效目标与实施效果比较，综合分析绩效目标的实现程度；</w:t>
      </w:r>
    </w:p>
    <w:p>
      <w:pPr>
        <w:keepNext w:val="0"/>
        <w:keepLines w:val="0"/>
        <w:pageBreakBefore w:val="0"/>
        <w:widowControl w:val="0"/>
        <w:numPr>
          <w:ilvl w:val="0"/>
          <w:numId w:val="4"/>
        </w:numPr>
        <w:kinsoku/>
        <w:wordWrap/>
        <w:overflowPunct/>
        <w:topLinePunct w:val="0"/>
        <w:autoSpaceDE/>
        <w:autoSpaceDN/>
        <w:bidi w:val="0"/>
        <w:adjustRightInd/>
        <w:snapToGrid/>
        <w:ind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因素分析法：通过综合分析影响绩效目标实现、实施效果的内外因素，评价绩效目标的实现程度；</w:t>
      </w:r>
    </w:p>
    <w:p>
      <w:pPr>
        <w:keepNext w:val="0"/>
        <w:keepLines w:val="0"/>
        <w:pageBreakBefore w:val="0"/>
        <w:widowControl w:val="0"/>
        <w:numPr>
          <w:ilvl w:val="0"/>
          <w:numId w:val="4"/>
        </w:numPr>
        <w:kinsoku/>
        <w:wordWrap/>
        <w:overflowPunct/>
        <w:topLinePunct w:val="0"/>
        <w:autoSpaceDE/>
        <w:autoSpaceDN/>
        <w:bidi w:val="0"/>
        <w:adjustRightInd/>
        <w:snapToGrid/>
        <w:ind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项目效益分析法：通过项目支出与项目效益进行对比分析，评价绩效目标的实现程度；</w:t>
      </w:r>
    </w:p>
    <w:p>
      <w:pPr>
        <w:keepNext w:val="0"/>
        <w:keepLines w:val="0"/>
        <w:pageBreakBefore w:val="0"/>
        <w:widowControl w:val="0"/>
        <w:numPr>
          <w:ilvl w:val="0"/>
          <w:numId w:val="4"/>
        </w:numPr>
        <w:kinsoku/>
        <w:wordWrap/>
        <w:overflowPunct/>
        <w:topLinePunct w:val="0"/>
        <w:autoSpaceDE/>
        <w:autoSpaceDN/>
        <w:bidi w:val="0"/>
        <w:adjustRightInd/>
        <w:snapToGrid/>
        <w:ind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公众评价法：通过问卷调查对项目支出效果进行评价目标的实现程度。</w:t>
      </w:r>
    </w:p>
    <w:p>
      <w:pPr>
        <w:keepNext w:val="0"/>
        <w:keepLines w:val="0"/>
        <w:pageBreakBefore w:val="0"/>
        <w:widowControl w:val="0"/>
        <w:numPr>
          <w:ilvl w:val="0"/>
          <w:numId w:val="3"/>
        </w:numPr>
        <w:tabs>
          <w:tab w:val="clear" w:pos="312"/>
        </w:tabs>
        <w:kinsoku/>
        <w:wordWrap/>
        <w:overflowPunct/>
        <w:topLinePunct w:val="0"/>
        <w:autoSpaceDE/>
        <w:autoSpaceDN/>
        <w:bidi w:val="0"/>
        <w:adjustRightInd/>
        <w:snapToGrid/>
        <w:ind w:left="481" w:leftChars="0" w:right="0" w:rightChars="0" w:firstLine="0" w:firstLineChars="0"/>
        <w:jc w:val="both"/>
        <w:textAlignment w:val="auto"/>
        <w:outlineLvl w:val="9"/>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评价过程</w:t>
      </w:r>
    </w:p>
    <w:p>
      <w:pPr>
        <w:keepNext w:val="0"/>
        <w:keepLines w:val="0"/>
        <w:pageBreakBefore w:val="0"/>
        <w:widowControl w:val="0"/>
        <w:numPr>
          <w:ilvl w:val="0"/>
          <w:numId w:val="0"/>
        </w:numPr>
        <w:kinsoku/>
        <w:wordWrap/>
        <w:overflowPunct/>
        <w:topLinePunct w:val="0"/>
        <w:autoSpaceDE/>
        <w:autoSpaceDN/>
        <w:bidi w:val="0"/>
        <w:adjustRightInd/>
        <w:snapToGrid/>
        <w:ind w:left="0" w:leftChars="0"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绩效评价组通过财政部门和资金使用部门收集相关资料对项目深入研究、反复研讨，针对项目的特性设计相关表格进行统计、分析、核实。评价小组进行实地考察，听取项目情况介绍，了解项目的开展、执行及管控，并进行问卷调查，以获取绩效评价业务需要的基础资料。</w:t>
      </w:r>
    </w:p>
    <w:p>
      <w:pPr>
        <w:numPr>
          <w:ilvl w:val="0"/>
          <w:numId w:val="0"/>
        </w:numPr>
        <w:ind w:leftChars="0" w:right="0" w:rightChars="0"/>
        <w:jc w:val="both"/>
        <w:rPr>
          <w:rFonts w:hint="eastAsia" w:ascii="仿宋_GB2312" w:eastAsia="仿宋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p>
      <w:pPr>
        <w:ind w:firstLine="640" w:firstLineChars="200"/>
        <w:jc w:val="both"/>
        <w:rPr>
          <w:rFonts w:hint="eastAsia" w:ascii="仿宋_GB2312" w:eastAsia="仿宋_GB2312"/>
          <w:sz w:val="32"/>
          <w:szCs w:val="32"/>
          <w:lang w:val="en-US" w:eastAsia="zh-CN"/>
        </w:rPr>
      </w:pPr>
      <w:r>
        <w:rPr>
          <w:rFonts w:hint="eastAsia" w:ascii="仿宋_GB2312" w:eastAsia="仿宋_GB2312"/>
          <w:b w:val="0"/>
          <w:bCs w:val="0"/>
          <w:sz w:val="32"/>
          <w:szCs w:val="32"/>
          <w:lang w:val="en-US" w:eastAsia="zh-CN"/>
        </w:rPr>
        <w:t>在开展预算绩效评价工作时，针对具体绩效评价对象的特点，设计具体的绩效评价指标体系。</w:t>
      </w:r>
      <w:r>
        <w:rPr>
          <w:rFonts w:hint="eastAsia" w:ascii="仿宋_GB2312" w:eastAsia="仿宋_GB2312"/>
          <w:sz w:val="32"/>
          <w:szCs w:val="32"/>
          <w:lang w:val="en-US" w:eastAsia="zh-CN"/>
        </w:rPr>
        <w:t>除共性指标外，必须设置能够体现项目特点和绩效的个性指标；项目产出指标与项目效果指标设置数量在8个（含）以上，分值权重占总体的65%以上。具体为：</w:t>
      </w:r>
    </w:p>
    <w:p>
      <w:p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投入的分值30分，包括项目立项15分、资金落实情况15分；</w:t>
      </w:r>
    </w:p>
    <w:p>
      <w:p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项目实施过程分值30分，包括业务管理15分、财务管理分值15分；</w:t>
      </w:r>
    </w:p>
    <w:p>
      <w:p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产出与效益分值40分，包括项目产出20分、项目效益20分。</w:t>
      </w: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w:t>
      </w:r>
    </w:p>
    <w:p>
      <w:pPr>
        <w:spacing w:line="360" w:lineRule="auto"/>
        <w:ind w:firstLine="640" w:firstLineChars="200"/>
        <w:contextualSpacing/>
        <w:rPr>
          <w:rFonts w:ascii="仿宋_GB2312" w:hAnsi="楷体" w:eastAsia="仿宋_GB2312"/>
          <w:sz w:val="32"/>
          <w:szCs w:val="32"/>
        </w:rPr>
      </w:pPr>
      <w:r>
        <w:rPr>
          <w:rFonts w:hint="eastAsia" w:ascii="仿宋_GB2312" w:hAnsi="楷体" w:eastAsia="仿宋_GB2312"/>
          <w:sz w:val="32"/>
          <w:szCs w:val="32"/>
        </w:rPr>
        <w:t>项目立项得分</w:t>
      </w:r>
      <w:r>
        <w:rPr>
          <w:rFonts w:hint="eastAsia" w:ascii="仿宋_GB2312" w:hAnsi="楷体" w:eastAsia="仿宋_GB2312"/>
          <w:sz w:val="32"/>
          <w:szCs w:val="32"/>
          <w:lang w:val="en-US" w:eastAsia="zh-CN"/>
        </w:rPr>
        <w:t>15</w:t>
      </w:r>
      <w:r>
        <w:rPr>
          <w:rFonts w:hint="eastAsia" w:ascii="仿宋_GB2312" w:hAnsi="楷体" w:eastAsia="仿宋_GB2312"/>
          <w:sz w:val="32"/>
          <w:szCs w:val="32"/>
        </w:rPr>
        <w:t>分</w:t>
      </w:r>
      <w:r>
        <w:rPr>
          <w:rFonts w:ascii="仿宋_GB2312" w:hAnsi="楷体" w:eastAsia="仿宋_GB2312"/>
          <w:sz w:val="32"/>
          <w:szCs w:val="32"/>
        </w:rPr>
        <w:t>(</w:t>
      </w:r>
      <w:r>
        <w:rPr>
          <w:rFonts w:hint="eastAsia" w:ascii="仿宋_GB2312" w:hAnsi="楷体" w:eastAsia="仿宋_GB2312"/>
          <w:sz w:val="32"/>
          <w:szCs w:val="32"/>
        </w:rPr>
        <w:t>分值</w:t>
      </w:r>
      <w:r>
        <w:rPr>
          <w:rFonts w:hint="eastAsia" w:ascii="仿宋_GB2312" w:hAnsi="楷体" w:eastAsia="仿宋_GB2312"/>
          <w:sz w:val="32"/>
          <w:szCs w:val="32"/>
          <w:lang w:val="en-US" w:eastAsia="zh-CN"/>
        </w:rPr>
        <w:t>15</w:t>
      </w:r>
      <w:r>
        <w:rPr>
          <w:rFonts w:hint="eastAsia" w:ascii="仿宋_GB2312" w:hAnsi="楷体" w:eastAsia="仿宋_GB2312"/>
          <w:sz w:val="32"/>
          <w:szCs w:val="32"/>
        </w:rPr>
        <w:t>分</w:t>
      </w:r>
      <w:r>
        <w:rPr>
          <w:rFonts w:ascii="仿宋_GB2312" w:hAnsi="楷体" w:eastAsia="仿宋_GB2312"/>
          <w:sz w:val="32"/>
          <w:szCs w:val="32"/>
        </w:rPr>
        <w:t xml:space="preserve">) </w:t>
      </w:r>
    </w:p>
    <w:p>
      <w:pPr>
        <w:spacing w:line="360" w:lineRule="auto"/>
        <w:ind w:firstLine="640" w:firstLineChars="200"/>
        <w:contextualSpacing/>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1</w:t>
      </w:r>
      <w:r>
        <w:rPr>
          <w:rFonts w:hint="eastAsia" w:ascii="仿宋_GB2312" w:hAnsi="楷体" w:eastAsia="仿宋_GB2312"/>
          <w:sz w:val="32"/>
          <w:szCs w:val="32"/>
        </w:rPr>
        <w:t>）绩效目标合理性指标分值</w:t>
      </w:r>
      <w:r>
        <w:rPr>
          <w:rFonts w:hint="eastAsia" w:ascii="仿宋_GB2312" w:hAnsi="楷体" w:eastAsia="仿宋_GB2312"/>
          <w:sz w:val="32"/>
          <w:szCs w:val="32"/>
          <w:lang w:val="en-US" w:eastAsia="zh-CN"/>
        </w:rPr>
        <w:t>5</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w:t>
      </w:r>
      <w:r>
        <w:rPr>
          <w:rFonts w:hint="eastAsia" w:ascii="仿宋_GB2312" w:hAnsi="楷体" w:eastAsia="仿宋_GB2312"/>
          <w:sz w:val="32"/>
          <w:szCs w:val="32"/>
          <w:lang w:eastAsia="zh-CN"/>
        </w:rPr>
        <w:t>获鹿镇</w:t>
      </w:r>
      <w:r>
        <w:rPr>
          <w:rFonts w:hint="eastAsia" w:ascii="仿宋_GB2312" w:hAnsi="楷体" w:eastAsia="仿宋_GB2312"/>
          <w:sz w:val="32"/>
          <w:szCs w:val="32"/>
        </w:rPr>
        <w:t>绩效目标能与项目年度任务数相对应的，能与预算确定的资金量相匹配，</w:t>
      </w:r>
    </w:p>
    <w:p>
      <w:pPr>
        <w:spacing w:line="360" w:lineRule="auto"/>
        <w:ind w:firstLine="640" w:firstLineChars="200"/>
        <w:contextualSpacing/>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2</w:t>
      </w:r>
      <w:r>
        <w:rPr>
          <w:rFonts w:hint="eastAsia" w:ascii="仿宋_GB2312" w:hAnsi="楷体" w:eastAsia="仿宋_GB2312"/>
          <w:sz w:val="32"/>
          <w:szCs w:val="32"/>
        </w:rPr>
        <w:t>）绩效指标明确性指标分值</w:t>
      </w:r>
      <w:r>
        <w:rPr>
          <w:rFonts w:hint="eastAsia" w:ascii="仿宋_GB2312" w:hAnsi="楷体" w:eastAsia="仿宋_GB2312"/>
          <w:sz w:val="32"/>
          <w:szCs w:val="32"/>
          <w:lang w:val="en-US" w:eastAsia="zh-CN"/>
        </w:rPr>
        <w:t>5</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分：能将项目绩效目标细化分解为具体的绩效指标，项目绩效指标清晰、可衡量，得满分。</w:t>
      </w:r>
    </w:p>
    <w:p>
      <w:pPr>
        <w:ind w:firstLine="640" w:firstLineChars="200"/>
        <w:rPr>
          <w:rFonts w:hint="eastAsia"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3</w:t>
      </w:r>
      <w:r>
        <w:rPr>
          <w:rFonts w:hint="eastAsia" w:ascii="仿宋_GB2312" w:hAnsi="楷体" w:eastAsia="仿宋_GB2312"/>
          <w:sz w:val="32"/>
          <w:szCs w:val="32"/>
        </w:rPr>
        <w:t>）项目立项规范性指标分值</w:t>
      </w:r>
      <w:r>
        <w:rPr>
          <w:rFonts w:hint="eastAsia" w:ascii="仿宋_GB2312" w:hAnsi="楷体" w:eastAsia="仿宋_GB2312"/>
          <w:sz w:val="32"/>
          <w:szCs w:val="32"/>
          <w:lang w:val="en-US" w:eastAsia="zh-CN"/>
        </w:rPr>
        <w:t>5</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分：项目立项程序规范，所提交的材料、文件符合相关要求，得满分。</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2.资金落实情况分析。</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资金落实得分15分（分值15分）</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 xml:space="preserve">（1）资金到位率指标分值5分，得分5分：2019年项目资金计划投45000元，其中区级实际到位为45000元。资金到位率100%，得满分。  </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（2）资金到位及时率指标分值5分，得分5分：项目资金及时足额下达，得5分。</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（3）资金使用率指标分值5分，得分5分：截止2019年底，项目实施单位实际使用资金总额45000元，实际到位资金总额45000元，用于发放排水泵站养护劳务费，资金使用率为100%，得5分。</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spacing w:line="360" w:lineRule="auto"/>
        <w:ind w:firstLine="640"/>
        <w:contextualSpacing/>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1.业务管理情况分析。</w:t>
      </w:r>
    </w:p>
    <w:p>
      <w:pPr>
        <w:spacing w:line="360" w:lineRule="auto"/>
        <w:ind w:firstLine="640"/>
        <w:contextualSpacing/>
        <w:rPr>
          <w:rFonts w:ascii="仿宋_GB2312" w:hAnsi="楷体" w:eastAsia="仿宋_GB2312"/>
          <w:sz w:val="32"/>
          <w:szCs w:val="32"/>
        </w:rPr>
      </w:pPr>
      <w:r>
        <w:rPr>
          <w:rFonts w:hint="eastAsia" w:ascii="仿宋_GB2312" w:hAnsi="楷体" w:eastAsia="仿宋_GB2312"/>
          <w:sz w:val="32"/>
          <w:szCs w:val="32"/>
        </w:rPr>
        <w:t>业务管理得分</w:t>
      </w:r>
      <w:r>
        <w:rPr>
          <w:rFonts w:hint="eastAsia" w:ascii="仿宋_GB2312" w:hAnsi="楷体" w:eastAsia="仿宋_GB2312"/>
          <w:sz w:val="32"/>
          <w:szCs w:val="32"/>
          <w:lang w:val="en-US" w:eastAsia="zh-CN"/>
        </w:rPr>
        <w:t>13</w:t>
      </w:r>
      <w:r>
        <w:rPr>
          <w:rFonts w:hint="eastAsia" w:ascii="仿宋_GB2312" w:hAnsi="楷体" w:eastAsia="仿宋_GB2312"/>
          <w:sz w:val="32"/>
          <w:szCs w:val="32"/>
        </w:rPr>
        <w:t>分</w:t>
      </w:r>
      <w:r>
        <w:rPr>
          <w:rFonts w:ascii="仿宋_GB2312" w:hAnsi="楷体" w:eastAsia="仿宋_GB2312"/>
          <w:sz w:val="32"/>
          <w:szCs w:val="32"/>
        </w:rPr>
        <w:t>(</w:t>
      </w:r>
      <w:r>
        <w:rPr>
          <w:rFonts w:hint="eastAsia" w:ascii="仿宋_GB2312" w:hAnsi="楷体" w:eastAsia="仿宋_GB2312"/>
          <w:sz w:val="32"/>
          <w:szCs w:val="32"/>
          <w:lang w:eastAsia="zh-CN"/>
        </w:rPr>
        <w:t>分值</w:t>
      </w:r>
      <w:r>
        <w:rPr>
          <w:rFonts w:hint="eastAsia" w:ascii="仿宋_GB2312" w:hAnsi="楷体" w:eastAsia="仿宋_GB2312"/>
          <w:sz w:val="32"/>
          <w:szCs w:val="32"/>
          <w:lang w:val="en-US" w:eastAsia="zh-CN"/>
        </w:rPr>
        <w:t>15</w:t>
      </w:r>
      <w:r>
        <w:rPr>
          <w:rFonts w:hint="eastAsia" w:ascii="仿宋_GB2312" w:hAnsi="楷体" w:eastAsia="仿宋_GB2312"/>
          <w:sz w:val="32"/>
          <w:szCs w:val="32"/>
        </w:rPr>
        <w:t>分</w:t>
      </w:r>
      <w:r>
        <w:rPr>
          <w:rFonts w:ascii="仿宋_GB2312" w:hAnsi="楷体" w:eastAsia="仿宋_GB2312"/>
          <w:sz w:val="32"/>
          <w:szCs w:val="32"/>
        </w:rPr>
        <w:t>)</w:t>
      </w:r>
      <w:r>
        <w:rPr>
          <w:rFonts w:hint="eastAsia" w:ascii="仿宋_GB2312" w:hAnsi="楷体" w:eastAsia="仿宋_GB2312"/>
          <w:sz w:val="32"/>
          <w:szCs w:val="32"/>
        </w:rPr>
        <w:t>。</w:t>
      </w:r>
    </w:p>
    <w:p>
      <w:pPr>
        <w:ind w:firstLine="640"/>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1</w:t>
      </w:r>
      <w:r>
        <w:rPr>
          <w:rFonts w:hint="eastAsia" w:ascii="仿宋_GB2312" w:hAnsi="楷体" w:eastAsia="仿宋_GB2312"/>
          <w:sz w:val="32"/>
          <w:szCs w:val="32"/>
        </w:rPr>
        <w:t>）组织建设指标分值</w:t>
      </w:r>
      <w:r>
        <w:rPr>
          <w:rFonts w:hint="eastAsia" w:ascii="仿宋_GB2312" w:hAnsi="楷体" w:eastAsia="仿宋_GB2312"/>
          <w:sz w:val="32"/>
          <w:szCs w:val="32"/>
          <w:lang w:val="en-US" w:eastAsia="zh-CN"/>
        </w:rPr>
        <w:t>8</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8</w:t>
      </w:r>
      <w:r>
        <w:rPr>
          <w:rFonts w:hint="eastAsia" w:ascii="仿宋_GB2312" w:hAnsi="楷体" w:eastAsia="仿宋_GB2312"/>
          <w:sz w:val="32"/>
          <w:szCs w:val="32"/>
        </w:rPr>
        <w:t>分。</w:t>
      </w:r>
      <w:r>
        <w:rPr>
          <w:rFonts w:hint="eastAsia" w:ascii="仿宋_GB2312" w:hAnsi="楷体" w:eastAsia="仿宋_GB2312"/>
          <w:sz w:val="32"/>
          <w:szCs w:val="32"/>
          <w:lang w:eastAsia="zh-CN"/>
        </w:rPr>
        <w:t>获鹿镇农业办对我镇被占地户资金发放</w:t>
      </w:r>
      <w:r>
        <w:rPr>
          <w:rFonts w:hint="eastAsia" w:ascii="仿宋_GB2312" w:hAnsi="楷体" w:eastAsia="仿宋_GB2312"/>
          <w:sz w:val="32"/>
          <w:szCs w:val="32"/>
        </w:rPr>
        <w:t>情况进行审核，满分。</w:t>
      </w:r>
    </w:p>
    <w:p>
      <w:pPr>
        <w:ind w:firstLine="640"/>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2</w:t>
      </w:r>
      <w:r>
        <w:rPr>
          <w:rFonts w:hint="eastAsia" w:ascii="仿宋_GB2312" w:hAnsi="楷体" w:eastAsia="仿宋_GB2312"/>
          <w:sz w:val="32"/>
          <w:szCs w:val="32"/>
        </w:rPr>
        <w:t>）监督管理指标分值</w:t>
      </w:r>
      <w:r>
        <w:rPr>
          <w:rFonts w:hint="eastAsia" w:ascii="仿宋_GB2312" w:hAnsi="楷体" w:eastAsia="仿宋_GB2312"/>
          <w:sz w:val="32"/>
          <w:szCs w:val="32"/>
          <w:lang w:val="en-US" w:eastAsia="zh-CN"/>
        </w:rPr>
        <w:t>7</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w:t>
      </w:r>
      <w:r>
        <w:rPr>
          <w:rFonts w:hint="eastAsia" w:ascii="仿宋_GB2312" w:hAnsi="楷体" w:eastAsia="仿宋_GB2312"/>
          <w:sz w:val="32"/>
          <w:szCs w:val="32"/>
          <w:lang w:eastAsia="zh-CN"/>
        </w:rPr>
        <w:t>获鹿镇农办对资金使用情况进行考核</w:t>
      </w:r>
      <w:r>
        <w:rPr>
          <w:rFonts w:hint="eastAsia" w:ascii="仿宋_GB2312" w:hAnsi="楷体" w:eastAsia="仿宋_GB2312"/>
          <w:sz w:val="32"/>
          <w:szCs w:val="32"/>
        </w:rPr>
        <w:t>，得分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分；但未定期对项目资金进行专项审计，得</w:t>
      </w:r>
      <w:r>
        <w:rPr>
          <w:rFonts w:ascii="仿宋_GB2312" w:hAnsi="楷体" w:eastAsia="仿宋_GB2312"/>
          <w:sz w:val="32"/>
          <w:szCs w:val="32"/>
        </w:rPr>
        <w:t>0</w:t>
      </w:r>
      <w:r>
        <w:rPr>
          <w:rFonts w:hint="eastAsia" w:ascii="仿宋_GB2312" w:hAnsi="楷体" w:eastAsia="仿宋_GB2312"/>
          <w:sz w:val="32"/>
          <w:szCs w:val="32"/>
        </w:rPr>
        <w:t>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2.财务管理。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财务管理得分15分（分值15分）</w:t>
      </w:r>
    </w:p>
    <w:p>
      <w:pPr>
        <w:spacing w:line="360" w:lineRule="auto"/>
        <w:ind w:firstLine="640" w:firstLineChars="200"/>
        <w:contextualSpacing/>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1</w:t>
      </w:r>
      <w:r>
        <w:rPr>
          <w:rFonts w:hint="eastAsia" w:ascii="仿宋_GB2312" w:hAnsi="楷体" w:eastAsia="仿宋_GB2312"/>
          <w:sz w:val="32"/>
          <w:szCs w:val="32"/>
        </w:rPr>
        <w:t>）财务管理制度健全性指标分值</w:t>
      </w:r>
      <w:r>
        <w:rPr>
          <w:rFonts w:hint="eastAsia" w:ascii="仿宋_GB2312" w:hAnsi="楷体" w:eastAsia="仿宋_GB2312"/>
          <w:sz w:val="32"/>
          <w:szCs w:val="32"/>
          <w:lang w:val="en-US" w:eastAsia="zh-CN"/>
        </w:rPr>
        <w:t>4</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4</w:t>
      </w:r>
      <w:r>
        <w:rPr>
          <w:rFonts w:hint="eastAsia" w:ascii="仿宋_GB2312" w:hAnsi="楷体" w:eastAsia="仿宋_GB2312"/>
          <w:sz w:val="32"/>
          <w:szCs w:val="32"/>
        </w:rPr>
        <w:t>分。</w:t>
      </w:r>
      <w:r>
        <w:rPr>
          <w:rFonts w:hint="eastAsia" w:ascii="仿宋_GB2312" w:hAnsi="楷体" w:eastAsia="仿宋_GB2312"/>
          <w:sz w:val="32"/>
          <w:szCs w:val="32"/>
          <w:lang w:eastAsia="zh-CN"/>
        </w:rPr>
        <w:t>获鹿镇建立农业办、</w:t>
      </w:r>
      <w:r>
        <w:rPr>
          <w:rFonts w:hint="eastAsia" w:ascii="仿宋_GB2312" w:hAnsi="楷体" w:eastAsia="仿宋_GB2312"/>
          <w:sz w:val="32"/>
          <w:szCs w:val="32"/>
        </w:rPr>
        <w:t>财政之间的联通联动机制，对资金</w:t>
      </w:r>
      <w:r>
        <w:rPr>
          <w:rFonts w:hint="eastAsia" w:ascii="仿宋_GB2312" w:hAnsi="楷体" w:eastAsia="仿宋_GB2312"/>
          <w:sz w:val="32"/>
          <w:szCs w:val="32"/>
          <w:lang w:eastAsia="zh-CN"/>
        </w:rPr>
        <w:t>使用</w:t>
      </w:r>
      <w:r>
        <w:rPr>
          <w:rFonts w:hint="eastAsia" w:ascii="仿宋_GB2312" w:hAnsi="楷体" w:eastAsia="仿宋_GB2312"/>
          <w:sz w:val="32"/>
          <w:szCs w:val="32"/>
        </w:rPr>
        <w:t>实现全程监管。</w:t>
      </w:r>
    </w:p>
    <w:p>
      <w:pPr>
        <w:spacing w:line="360" w:lineRule="auto"/>
        <w:ind w:firstLine="640" w:firstLineChars="200"/>
        <w:contextualSpacing/>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2</w:t>
      </w:r>
      <w:r>
        <w:rPr>
          <w:rFonts w:hint="eastAsia" w:ascii="仿宋_GB2312" w:hAnsi="楷体" w:eastAsia="仿宋_GB2312"/>
          <w:sz w:val="32"/>
          <w:szCs w:val="32"/>
        </w:rPr>
        <w:t>）资金使用合规性指标分值</w:t>
      </w:r>
      <w:r>
        <w:rPr>
          <w:rFonts w:hint="eastAsia" w:ascii="仿宋_GB2312" w:hAnsi="楷体" w:eastAsia="仿宋_GB2312"/>
          <w:sz w:val="32"/>
          <w:szCs w:val="32"/>
          <w:lang w:val="en-US" w:eastAsia="zh-CN"/>
        </w:rPr>
        <w:t>6</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6</w:t>
      </w:r>
      <w:r>
        <w:rPr>
          <w:rFonts w:hint="eastAsia" w:ascii="仿宋_GB2312" w:hAnsi="楷体" w:eastAsia="仿宋_GB2312"/>
          <w:sz w:val="32"/>
          <w:szCs w:val="32"/>
        </w:rPr>
        <w:t>分。项目资金严格按照</w:t>
      </w:r>
      <w:r>
        <w:rPr>
          <w:rFonts w:hint="eastAsia" w:ascii="仿宋_GB2312" w:hAnsi="楷体" w:eastAsia="仿宋_GB2312"/>
          <w:sz w:val="32"/>
          <w:szCs w:val="32"/>
          <w:lang w:eastAsia="zh-CN"/>
        </w:rPr>
        <w:t>用工劳务费数据实发放</w:t>
      </w:r>
      <w:r>
        <w:rPr>
          <w:rFonts w:hint="eastAsia" w:ascii="仿宋_GB2312" w:hAnsi="楷体" w:eastAsia="仿宋_GB2312"/>
          <w:sz w:val="32"/>
          <w:szCs w:val="32"/>
        </w:rPr>
        <w:t>，资金拨付手续完整。</w:t>
      </w:r>
    </w:p>
    <w:p>
      <w:pPr>
        <w:spacing w:line="360" w:lineRule="auto"/>
        <w:ind w:firstLine="640" w:firstLineChars="200"/>
        <w:contextualSpacing/>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3</w:t>
      </w:r>
      <w:r>
        <w:rPr>
          <w:rFonts w:hint="eastAsia" w:ascii="仿宋_GB2312" w:hAnsi="楷体" w:eastAsia="仿宋_GB2312"/>
          <w:sz w:val="32"/>
          <w:szCs w:val="32"/>
        </w:rPr>
        <w:t>）资金安全性指标分值</w:t>
      </w:r>
      <w:r>
        <w:rPr>
          <w:rFonts w:hint="eastAsia" w:ascii="仿宋_GB2312" w:hAnsi="楷体" w:eastAsia="仿宋_GB2312"/>
          <w:sz w:val="32"/>
          <w:szCs w:val="32"/>
          <w:lang w:val="en-US" w:eastAsia="zh-CN"/>
        </w:rPr>
        <w:t>5</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分。项目资金实际支出专款专用并实行社会化发放，实</w:t>
      </w:r>
      <w:r>
        <w:rPr>
          <w:rFonts w:hint="eastAsia" w:ascii="仿宋_GB2312" w:hAnsi="楷体" w:eastAsia="仿宋_GB2312"/>
          <w:sz w:val="32"/>
          <w:szCs w:val="32"/>
          <w:lang w:eastAsia="zh-CN"/>
        </w:rPr>
        <w:t>现发放</w:t>
      </w:r>
      <w:r>
        <w:rPr>
          <w:rFonts w:hint="eastAsia" w:ascii="仿宋_GB2312" w:hAnsi="楷体" w:eastAsia="仿宋_GB2312"/>
          <w:sz w:val="32"/>
          <w:szCs w:val="32"/>
        </w:rPr>
        <w:t>对象一</w:t>
      </w:r>
      <w:r>
        <w:rPr>
          <w:rFonts w:hint="eastAsia" w:ascii="仿宋_GB2312" w:hAnsi="楷体" w:eastAsia="仿宋_GB2312"/>
          <w:sz w:val="32"/>
          <w:szCs w:val="32"/>
          <w:lang w:eastAsia="zh-CN"/>
        </w:rPr>
        <w:t>户</w:t>
      </w:r>
      <w:r>
        <w:rPr>
          <w:rFonts w:hint="eastAsia" w:ascii="仿宋_GB2312" w:hAnsi="楷体" w:eastAsia="仿宋_GB2312"/>
          <w:sz w:val="32"/>
          <w:szCs w:val="32"/>
        </w:rPr>
        <w:t>一卡，资金发放直接到卡。</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outlineLvl w:val="9"/>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项目产出得分20分（分值20分）</w:t>
      </w:r>
    </w:p>
    <w:p>
      <w:pPr>
        <w:keepNext w:val="0"/>
        <w:keepLines w:val="0"/>
        <w:pageBreakBefore w:val="0"/>
        <w:widowControl w:val="0"/>
        <w:numPr>
          <w:ilvl w:val="0"/>
          <w:numId w:val="5"/>
        </w:numPr>
        <w:kinsoku/>
        <w:wordWrap/>
        <w:overflowPunct/>
        <w:topLinePunct w:val="0"/>
        <w:autoSpaceDE/>
        <w:autoSpaceDN/>
        <w:bidi w:val="0"/>
        <w:adjustRightInd/>
        <w:snapToGrid/>
        <w:ind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项目实际完成率分值10分，得分10分。项目实际资金专项使用率100%</w:t>
      </w:r>
    </w:p>
    <w:p>
      <w:pPr>
        <w:keepNext w:val="0"/>
        <w:keepLines w:val="0"/>
        <w:pageBreakBefore w:val="0"/>
        <w:widowControl w:val="0"/>
        <w:numPr>
          <w:ilvl w:val="0"/>
          <w:numId w:val="5"/>
        </w:numPr>
        <w:kinsoku/>
        <w:wordWrap/>
        <w:overflowPunct/>
        <w:topLinePunct w:val="0"/>
        <w:autoSpaceDE/>
        <w:autoSpaceDN/>
        <w:bidi w:val="0"/>
        <w:adjustRightInd/>
        <w:snapToGrid/>
        <w:ind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项目资金使用及时率分值5分，得分5分。按照每次养护项目质量达标率分值5分，得分5分。</w:t>
      </w:r>
    </w:p>
    <w:p>
      <w:pPr>
        <w:numPr>
          <w:ilvl w:val="0"/>
          <w:numId w:val="2"/>
        </w:numPr>
        <w:ind w:left="481" w:leftChars="0" w:firstLine="0" w:firstLineChars="0"/>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项目效果</w:t>
      </w:r>
    </w:p>
    <w:p>
      <w:pPr>
        <w:numPr>
          <w:ilvl w:val="0"/>
          <w:numId w:val="0"/>
        </w:numPr>
        <w:ind w:left="481" w:leftChars="0"/>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项目效益得分18分（分值20分）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（1）社会效益指标分值10分，得分10分。结合问卷调查显示通过项目的实施，满分。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（2）社会公众或服务对象满意度指标分值10分，得分8分。对项目实施而受到影响的部门（单位）、群体或个人，进行满意度调查，采取问卷的方式，调查结果显示，服务对象满意度较高，满意度为95%，得分8分。</w:t>
      </w:r>
    </w:p>
    <w:p>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根据项目执行情况和项目绩效情况，给出总得分，</w:t>
      </w:r>
      <w:r>
        <w:rPr>
          <w:rFonts w:hint="eastAsia" w:ascii="仿宋_GB2312" w:eastAsia="仿宋_GB2312"/>
          <w:sz w:val="32"/>
          <w:szCs w:val="32"/>
        </w:rPr>
        <w:t>指标体系设定满分100分，</w:t>
      </w:r>
      <w:r>
        <w:rPr>
          <w:rFonts w:hint="eastAsia" w:ascii="仿宋_GB2312" w:eastAsia="仿宋_GB2312"/>
          <w:b w:val="0"/>
          <w:bCs w:val="0"/>
          <w:sz w:val="32"/>
          <w:szCs w:val="32"/>
          <w:lang w:val="en-US" w:eastAsia="zh-CN"/>
        </w:rPr>
        <w:t>得出综合评价结论和项目综合绩效评价等级。项目综合绩效评价分为4个等级：</w:t>
      </w:r>
      <w:r>
        <w:rPr>
          <w:rFonts w:hint="eastAsia" w:ascii="仿宋_GB2312" w:eastAsia="仿宋_GB2312"/>
          <w:sz w:val="32"/>
          <w:szCs w:val="32"/>
        </w:rPr>
        <w:t>得分</w:t>
      </w:r>
      <w:r>
        <w:rPr>
          <w:rFonts w:hint="default" w:ascii="Arial" w:hAnsi="Arial" w:eastAsia="仿宋_GB2312" w:cs="Arial"/>
          <w:sz w:val="32"/>
          <w:szCs w:val="32"/>
        </w:rPr>
        <w:t>≥</w:t>
      </w:r>
      <w:r>
        <w:rPr>
          <w:rFonts w:hint="eastAsia" w:ascii="仿宋_GB2312" w:eastAsia="仿宋_GB2312"/>
          <w:sz w:val="32"/>
          <w:szCs w:val="32"/>
        </w:rPr>
        <w:t>85分为优秀；75</w:t>
      </w:r>
      <w:r>
        <w:rPr>
          <w:rFonts w:hint="default" w:ascii="Arial" w:hAnsi="Arial" w:eastAsia="仿宋_GB2312" w:cs="Arial"/>
          <w:sz w:val="32"/>
          <w:szCs w:val="32"/>
        </w:rPr>
        <w:t>≤</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8</w:t>
      </w:r>
      <w:r>
        <w:rPr>
          <w:rFonts w:hint="eastAsia" w:ascii="仿宋_GB2312" w:eastAsia="仿宋_GB2312"/>
          <w:sz w:val="32"/>
          <w:szCs w:val="32"/>
          <w:lang w:val="en-US" w:eastAsia="zh-CN"/>
        </w:rPr>
        <w:t>5</w:t>
      </w:r>
      <w:r>
        <w:rPr>
          <w:rFonts w:hint="eastAsia" w:ascii="仿宋_GB2312" w:eastAsia="仿宋_GB2312"/>
          <w:sz w:val="32"/>
          <w:szCs w:val="32"/>
        </w:rPr>
        <w:t>分为良好；60</w:t>
      </w:r>
      <w:r>
        <w:rPr>
          <w:rFonts w:hint="default" w:ascii="Arial" w:hAnsi="Arial" w:eastAsia="仿宋_GB2312" w:cs="Arial"/>
          <w:sz w:val="32"/>
          <w:szCs w:val="32"/>
        </w:rPr>
        <w:t>≤</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7</w:t>
      </w:r>
      <w:r>
        <w:rPr>
          <w:rFonts w:hint="eastAsia" w:ascii="仿宋_GB2312" w:eastAsia="仿宋_GB2312"/>
          <w:sz w:val="32"/>
          <w:szCs w:val="32"/>
          <w:lang w:val="en-US" w:eastAsia="zh-CN"/>
        </w:rPr>
        <w:t>5</w:t>
      </w:r>
      <w:r>
        <w:rPr>
          <w:rFonts w:hint="eastAsia" w:ascii="仿宋_GB2312" w:eastAsia="仿宋_GB2312"/>
          <w:sz w:val="32"/>
          <w:szCs w:val="32"/>
        </w:rPr>
        <w:t>分为一般；</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60分为较</w:t>
      </w:r>
      <w:bookmarkStart w:id="0" w:name="_GoBack"/>
      <w:r>
        <w:rPr>
          <w:rFonts w:hint="eastAsia" w:ascii="仿宋_GB2312" w:eastAsia="仿宋_GB2312"/>
          <w:sz w:val="32"/>
          <w:szCs w:val="32"/>
        </w:rPr>
        <w:t>差。</w:t>
      </w:r>
      <w:r>
        <w:rPr>
          <w:rFonts w:hint="eastAsia" w:ascii="仿宋_GB2312" w:eastAsia="仿宋_GB2312"/>
          <w:sz w:val="32"/>
          <w:szCs w:val="32"/>
          <w:lang w:eastAsia="zh-CN"/>
        </w:rPr>
        <w:t>获鹿镇排水泵站管护项目最终得分</w:t>
      </w:r>
      <w:r>
        <w:rPr>
          <w:rFonts w:hint="eastAsia" w:ascii="仿宋_GB2312" w:eastAsia="仿宋_GB2312"/>
          <w:sz w:val="32"/>
          <w:szCs w:val="32"/>
          <w:lang w:val="en-US" w:eastAsia="zh-CN"/>
        </w:rPr>
        <w:t>96分，等级为优秀。</w:t>
      </w:r>
    </w:p>
    <w:bookmarkEnd w:id="0"/>
    <w:p>
      <w:pPr>
        <w:numPr>
          <w:ilvl w:val="0"/>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numPr>
          <w:ilvl w:val="0"/>
          <w:numId w:val="0"/>
        </w:numPr>
        <w:rPr>
          <w:rFonts w:hint="eastAsia" w:ascii="楷体_GB2312" w:hAnsi="楷体_GB2312" w:eastAsia="楷体_GB2312"/>
          <w:b w:val="0"/>
          <w:bCs w:val="0"/>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楷体_GB2312" w:hAnsi="楷体_GB2312" w:eastAsia="楷体_GB2312"/>
          <w:b w:val="0"/>
          <w:bCs w:val="0"/>
          <w:sz w:val="32"/>
          <w:szCs w:val="32"/>
          <w:lang w:val="en-US" w:eastAsia="zh-CN"/>
        </w:rPr>
        <w:t>（一）项目存在的主要问题</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outlineLvl w:val="9"/>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无</w:t>
      </w:r>
    </w:p>
    <w:p>
      <w:pPr>
        <w:numPr>
          <w:ilvl w:val="0"/>
          <w:numId w:val="6"/>
        </w:numPr>
        <w:ind w:left="480" w:leftChars="0" w:firstLine="0" w:firstLineChars="0"/>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针对问题提出具体的改进措施或建议</w:t>
      </w:r>
    </w:p>
    <w:p>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textAlignment w:val="auto"/>
        <w:outlineLvl w:val="9"/>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无</w:t>
      </w:r>
    </w:p>
    <w:p>
      <w:pPr>
        <w:numPr>
          <w:ilvl w:val="0"/>
          <w:numId w:val="7"/>
        </w:numPr>
        <w:adjustRightInd w:val="0"/>
        <w:snapToGrid w:val="0"/>
        <w:spacing w:line="360" w:lineRule="auto"/>
        <w:ind w:firstLine="640" w:firstLineChars="200"/>
        <w:rPr>
          <w:rFonts w:hint="eastAsia" w:ascii="黑体" w:eastAsia="黑体"/>
          <w:b w:val="0"/>
          <w:bCs w:val="0"/>
          <w:sz w:val="32"/>
          <w:szCs w:val="32"/>
        </w:rPr>
      </w:pPr>
      <w:r>
        <w:rPr>
          <w:rFonts w:hint="eastAsia" w:ascii="黑体" w:eastAsia="黑体"/>
          <w:b w:val="0"/>
          <w:bCs w:val="0"/>
          <w:sz w:val="32"/>
          <w:szCs w:val="32"/>
        </w:rPr>
        <w:t>评价工作组人员名单及签字</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eastAsia="zh-CN"/>
        </w:rPr>
        <w:t>王会斌，主管农业副镇长</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eastAsia="zh-CN"/>
        </w:rPr>
        <w:t>张东，镇农业办主任</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textAlignment w:val="auto"/>
        <w:outlineLvl w:val="9"/>
        <w:rPr>
          <w:rFonts w:hint="eastAsia" w:ascii="仿宋_GB2312" w:eastAsia="仿宋_GB2312"/>
          <w:sz w:val="32"/>
          <w:szCs w:val="32"/>
          <w:lang w:val="en-US" w:eastAsia="zh-CN"/>
        </w:rPr>
      </w:pPr>
      <w:r>
        <w:rPr>
          <w:rFonts w:hint="eastAsia" w:ascii="仿宋_GB2312" w:hAnsi="仿宋_GB2312" w:eastAsia="仿宋_GB2312" w:cs="仿宋_GB2312"/>
          <w:b w:val="0"/>
          <w:bCs w:val="0"/>
          <w:sz w:val="32"/>
          <w:szCs w:val="32"/>
          <w:lang w:eastAsia="zh-CN"/>
        </w:rPr>
        <w:t>姚亚伟，镇财政所长</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r>
        <w:rPr>
          <w:rFonts w:hint="eastAsia" w:ascii="仿宋_GB2312" w:hAnsi="宋体" w:eastAsia="仿宋_GB2312"/>
          <w:sz w:val="32"/>
          <w:szCs w:val="32"/>
          <w:lang w:val="en-US" w:eastAsia="zh-CN"/>
        </w:rPr>
        <w:t>附件：</w:t>
      </w:r>
      <w:r>
        <w:rPr>
          <w:rFonts w:hint="default" w:ascii="仿宋_GB2312" w:hAnsi="宋体" w:eastAsia="仿宋_GB2312"/>
          <w:sz w:val="32"/>
          <w:szCs w:val="32"/>
          <w:lang w:val="en-US" w:eastAsia="zh-CN"/>
        </w:rPr>
        <w:t>项目支出绩效评价共性指标体系框架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r>
        <w:rPr>
          <w:rFonts w:hint="eastAsia" w:ascii="黑体" w:hAnsi="黑体" w:eastAsia="黑体" w:cs="黑体"/>
          <w:sz w:val="32"/>
          <w:szCs w:val="32"/>
          <w:lang w:val="en-US" w:eastAsia="zh-CN"/>
        </w:rPr>
        <w:t>附件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both"/>
        <w:textAlignment w:val="auto"/>
        <w:outlineLvl w:val="9"/>
        <w:rPr>
          <w:rFonts w:hint="eastAsia" w:ascii="宋体" w:hAnsi="宋体" w:eastAsia="宋体"/>
          <w:b/>
          <w:i w:val="0"/>
          <w:snapToGrid/>
          <w:color w:val="000000"/>
          <w:sz w:val="32"/>
          <w:u w:val="none"/>
          <w:shd w:val="clear" w:color="auto" w:fill="FFFFFF"/>
          <w:lang w:val="en-US" w:eastAsia="zh-CN"/>
        </w:rPr>
      </w:pPr>
      <w:r>
        <w:rPr>
          <w:rFonts w:hint="eastAsia" w:ascii="宋体" w:hAnsi="宋体"/>
          <w:b/>
          <w:i w:val="0"/>
          <w:snapToGrid/>
          <w:color w:val="000000"/>
          <w:sz w:val="32"/>
          <w:u w:val="none"/>
          <w:shd w:val="clear" w:color="auto" w:fill="FFFFFF"/>
          <w:lang w:val="en-US" w:eastAsia="zh-CN"/>
        </w:rPr>
        <w:t xml:space="preserve">      </w:t>
      </w:r>
      <w:r>
        <w:rPr>
          <w:rFonts w:hint="default" w:ascii="宋体" w:hAnsi="宋体" w:eastAsia="宋体"/>
          <w:b/>
          <w:i w:val="0"/>
          <w:snapToGrid/>
          <w:color w:val="000000"/>
          <w:sz w:val="32"/>
          <w:u w:val="none"/>
          <w:shd w:val="clear" w:color="auto" w:fill="FFFFFF"/>
          <w:lang w:eastAsia="zh-CN"/>
        </w:rPr>
        <w:t>项目支出绩效评价共性指标体系框架</w:t>
      </w:r>
    </w:p>
    <w:tbl>
      <w:tblPr>
        <w:tblStyle w:val="4"/>
        <w:tblW w:w="864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42"/>
        <w:gridCol w:w="778"/>
        <w:gridCol w:w="818"/>
        <w:gridCol w:w="2414"/>
        <w:gridCol w:w="38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①项目是否按照规定的程序申请设立；</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②所提交的文件、材料是否符合相关要求；</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③事前是否已经过必要的可行性研究、专家论证、风险评估、集体决策等。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①是否符合国家相关法律法规、国民经济发展规划和党委政府决策；</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②是否与项目实施单位或委托单位职责密切相关；</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③项目是否为促进事业发展所必需；</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④项目预期产出效益和效果是否符合正常的业绩水平。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①是否将项目绩效目标细化分解为具体的绩效指标；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②是否通过清晰、可衡量的指标值予以体现；</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③是否与项目年度任务数或计划数相对应；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④是否与预算确定的项目投资额或资金量相匹配。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资金到位率=（实际到位资金/计划投入资金）×100%。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实际到位资金：一定时期（本年度或项目期）内实际落实到具体项目的资金。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计划投入资金：一定时期（本年度或项目期）内计划投入到具体项目的资金。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到位及时率=（及时到位资金/应到位资金）×100%。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及时到位资金：截至规定时点实际落实到具体项目的资金。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应到位资金：按照合同或项目进度要求截至规定时点应落实到具体项目的资金。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①是否已制定或具有相应的业务管理制度；</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②业务管理制度是否合法、合规、完整。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①是否遵守相关法律法规和业务管理规定；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②项目调整及支出调整手续是否完备；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③项目合同书、验收报告、技术鉴定等资料是否齐全并及时归档；</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④项目实施的人员条件、场地设备、信息支撑等是否落实到位。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①是否已制定或具有相应的项目质量要求或标准；</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②是否采取了相应的项目质量检查、验收等必需的控制措施或手段。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①是否已制定或具有相应的项目资金管理办法；</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②项目资金管理办法是否符合相关财务会计制度的规定。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①是否符合国家财经法规和财务管理制度以及有关专项资金管理办法的规定；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②资金的拨付是否有完整的审批程序和手续；</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③项目的重大开支是否经过评估认证；</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④是否符合项目预算批复或合同规定的用途；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⑤是否存在截留、挤占、挪用、虚列支出等情况。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①是否已制定或具有相应的监控机制；</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②是否采取了相应的财务检查等必要的监控措施或手段。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实际完成率=（实际产出数/计划产出数）×100%。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实际产出数：一定时期（本年度或项目期）内项目实际产出的产品或提供的服务数量。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计划产出数：项目绩效目标确定的在一定时期（本年度或项目期）内计划产出的产品或提供的服务数量。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完成及时率=[（计划完成时间-实际完成时间）/计划完成时间]×100%。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实际完成时间：项目实施单位完成该项目实际所耗用的时间。</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计划完成时间：按照项目实施计划或相关规定完成该项目所需的时间。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质量达标率=（质量达标产出数/实际产出数）×100%。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质量达标产出数：一定时期（本年度或项目期）内实际达到既定质量标准的产品或服务数量。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既定质量标准是指项目实施单位设立绩效目标时依据计划标准、行业标准、历史标准或其他标准而设定的绩效指标值。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成本节约率=[（计划成本-实际成本）/计划成本]×100%。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实际成本：项目实施单位如期、保质、保量完成既定工作目标实际所耗费的支出。</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计划成本：项目实施单位为完成工作目标计划安排的支出，一般以项目预算为参考。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此四项指标为设置项目支出绩效评价指标时必须考虑的共性要素，可根据项目实际并结合绩效目标设立情况有选择的进行设置，并将其细化为相应的个性化指标。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社会公众或服务对象是指因该项目实施而受到影响的部门（单位）、群体或个人。一般采取社会调查的方式。</w:t>
            </w: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华文楷体">
    <w:altName w:val="宋体"/>
    <w:panose1 w:val="02010600040101010101"/>
    <w:charset w:val="86"/>
    <w:family w:val="auto"/>
    <w:pitch w:val="default"/>
    <w:sig w:usb0="00000000" w:usb1="00000000" w:usb2="00000000" w:usb3="00000000" w:csb0="0004009F" w:csb1="DFD7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3AD511F"/>
    <w:multiLevelType w:val="singleLevel"/>
    <w:tmpl w:val="B3AD511F"/>
    <w:lvl w:ilvl="0" w:tentative="0">
      <w:start w:val="2"/>
      <w:numFmt w:val="chineseCounting"/>
      <w:suff w:val="nothing"/>
      <w:lvlText w:val="（%1）"/>
      <w:lvlJc w:val="left"/>
      <w:pPr>
        <w:ind w:left="481" w:leftChars="0" w:firstLine="0" w:firstLineChars="0"/>
      </w:pPr>
      <w:rPr>
        <w:rFonts w:hint="eastAsia"/>
      </w:rPr>
    </w:lvl>
  </w:abstractNum>
  <w:abstractNum w:abstractNumId="1">
    <w:nsid w:val="C05C8829"/>
    <w:multiLevelType w:val="singleLevel"/>
    <w:tmpl w:val="C05C8829"/>
    <w:lvl w:ilvl="0" w:tentative="0">
      <w:start w:val="2"/>
      <w:numFmt w:val="decimal"/>
      <w:lvlText w:val="%1."/>
      <w:lvlJc w:val="left"/>
      <w:pPr>
        <w:tabs>
          <w:tab w:val="left" w:pos="312"/>
        </w:tabs>
        <w:ind w:left="800" w:leftChars="0" w:firstLine="0" w:firstLineChars="0"/>
      </w:pPr>
    </w:lvl>
  </w:abstractNum>
  <w:abstractNum w:abstractNumId="2">
    <w:nsid w:val="C4956B9C"/>
    <w:multiLevelType w:val="singleLevel"/>
    <w:tmpl w:val="C4956B9C"/>
    <w:lvl w:ilvl="0" w:tentative="0">
      <w:start w:val="1"/>
      <w:numFmt w:val="decimal"/>
      <w:suff w:val="nothing"/>
      <w:lvlText w:val="（%1）"/>
      <w:lvlJc w:val="left"/>
    </w:lvl>
  </w:abstractNum>
  <w:abstractNum w:abstractNumId="3">
    <w:nsid w:val="F9C70CC5"/>
    <w:multiLevelType w:val="singleLevel"/>
    <w:tmpl w:val="F9C70CC5"/>
    <w:lvl w:ilvl="0" w:tentative="0">
      <w:start w:val="6"/>
      <w:numFmt w:val="chineseCounting"/>
      <w:suff w:val="nothing"/>
      <w:lvlText w:val="%1、"/>
      <w:lvlJc w:val="left"/>
      <w:rPr>
        <w:rFonts w:hint="eastAsia"/>
      </w:rPr>
    </w:lvl>
  </w:abstractNum>
  <w:abstractNum w:abstractNumId="4">
    <w:nsid w:val="3229C35A"/>
    <w:multiLevelType w:val="singleLevel"/>
    <w:tmpl w:val="3229C35A"/>
    <w:lvl w:ilvl="0" w:tentative="0">
      <w:start w:val="2"/>
      <w:numFmt w:val="chineseCounting"/>
      <w:suff w:val="nothing"/>
      <w:lvlText w:val="（%1）"/>
      <w:lvlJc w:val="left"/>
      <w:pPr>
        <w:ind w:left="480" w:leftChars="0" w:firstLine="0" w:firstLineChars="0"/>
      </w:pPr>
      <w:rPr>
        <w:rFonts w:hint="eastAsia"/>
      </w:rPr>
    </w:lvl>
  </w:abstractNum>
  <w:abstractNum w:abstractNumId="5">
    <w:nsid w:val="6CC05E52"/>
    <w:multiLevelType w:val="singleLevel"/>
    <w:tmpl w:val="6CC05E52"/>
    <w:lvl w:ilvl="0" w:tentative="0">
      <w:start w:val="1"/>
      <w:numFmt w:val="decimal"/>
      <w:suff w:val="nothing"/>
      <w:lvlText w:val="（%1）"/>
      <w:lvlJc w:val="left"/>
    </w:lvl>
  </w:abstractNum>
  <w:abstractNum w:abstractNumId="6">
    <w:nsid w:val="77311A35"/>
    <w:multiLevelType w:val="singleLevel"/>
    <w:tmpl w:val="77311A35"/>
    <w:lvl w:ilvl="0" w:tentative="0">
      <w:start w:val="1"/>
      <w:numFmt w:val="decimal"/>
      <w:lvlText w:val="%1."/>
      <w:lvlJc w:val="left"/>
      <w:pPr>
        <w:tabs>
          <w:tab w:val="left" w:pos="312"/>
        </w:tabs>
      </w:pPr>
    </w:lvl>
  </w:abstractNum>
  <w:num w:numId="1">
    <w:abstractNumId w:val="1"/>
  </w:num>
  <w:num w:numId="2">
    <w:abstractNumId w:val="0"/>
  </w:num>
  <w:num w:numId="3">
    <w:abstractNumId w:val="6"/>
  </w:num>
  <w:num w:numId="4">
    <w:abstractNumId w:val="5"/>
  </w:num>
  <w:num w:numId="5">
    <w:abstractNumId w:val="2"/>
  </w:num>
  <w:num w:numId="6">
    <w:abstractNumId w:val="4"/>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282112E"/>
    <w:rsid w:val="081B495E"/>
    <w:rsid w:val="0C1A293E"/>
    <w:rsid w:val="1088012D"/>
    <w:rsid w:val="23AC1731"/>
    <w:rsid w:val="25FE0487"/>
    <w:rsid w:val="262C62AF"/>
    <w:rsid w:val="2A2941B7"/>
    <w:rsid w:val="2AE90B4E"/>
    <w:rsid w:val="32C95640"/>
    <w:rsid w:val="360E7CDE"/>
    <w:rsid w:val="3C636A9B"/>
    <w:rsid w:val="3D773E54"/>
    <w:rsid w:val="40450C44"/>
    <w:rsid w:val="425523F3"/>
    <w:rsid w:val="54BC2432"/>
    <w:rsid w:val="5CD717B9"/>
    <w:rsid w:val="60DB2987"/>
    <w:rsid w:val="62647470"/>
    <w:rsid w:val="638D213A"/>
    <w:rsid w:val="66A27D75"/>
    <w:rsid w:val="69AC67E8"/>
    <w:rsid w:val="6D314FC3"/>
    <w:rsid w:val="6F090462"/>
    <w:rsid w:val="6F536C43"/>
    <w:rsid w:val="72E21CE9"/>
    <w:rsid w:val="72F62DB2"/>
    <w:rsid w:val="757D56A8"/>
    <w:rsid w:val="75A7122A"/>
    <w:rsid w:val="76471238"/>
    <w:rsid w:val="780D2A06"/>
    <w:rsid w:val="78103DAA"/>
    <w:rsid w:val="7F7C6F3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5">
    <w:name w:val="Default Paragraph Font"/>
    <w:link w:val="6"/>
    <w:semiHidden/>
    <w:qFormat/>
    <w:uiPriority w:val="0"/>
  </w:style>
  <w:style w:type="table" w:default="1" w:styleId="4">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6">
    <w:name w:val="默认段落字体 Para Char Char Char Char Char Char Char"/>
    <w:basedOn w:val="1"/>
    <w:link w:val="5"/>
    <w:qFormat/>
    <w:uiPriority w:val="0"/>
  </w:style>
  <w:style w:type="character" w:styleId="7">
    <w:name w:val="page number"/>
    <w:basedOn w:val="5"/>
    <w:qFormat/>
    <w:uiPriority w:val="0"/>
  </w:style>
  <w:style w:type="paragraph" w:customStyle="1" w:styleId="8">
    <w:name w:val="List Paragraph"/>
    <w:basedOn w:val="1"/>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20</TotalTime>
  <ScaleCrop>false</ScaleCrop>
  <LinksUpToDate>false</LinksUpToDate>
  <CharactersWithSpaces>0</CharactersWithSpaces>
  <Application>WPS Office_11.1.0.8976_F1E327BC-269C-435d-A152-05C5408002CA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dcterms:modified xsi:type="dcterms:W3CDTF">2020-01-09T03:20:52Z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2052-11.1.0.8976</vt:lpwstr>
  </property>
</Properties>
</file>