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城乡居民养老保险项目绩效评价报告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根据《石家庄市鹿泉区区级部门预算绩效管理办法》（鹿财字[2019]65号），遵循“科学性、规范性、客观性和公正性”的原则，对城乡居民基本养老保险项目实施了绩效评价，形成本评价报告。</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一、项目基本情况</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（一）项目概况</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鹿泉区地处河北省西部太行山东麓，面积603.09平方公里，山区、平原和地区各占三分之一，辖9镇3乡1个高新技术开发区，208个行政村。2009年12月我区被国家批准为新型农村社会养老保险首批试点县（市），历经政策调整现为城乡居民基本养老保险，十年来我区根据国家政策和上级的要求，精心组织扎实工作，较好的完成了上级交给的各项任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工作开展后，增设了参保登记科、待遇支付科、稽核科、档案科和基金管理科，并设有80平米的业务大厅，配备了电脑、打印机、复印机、办公电话、传真机和空调设备，建有独立的档案室、空调等“九防”设施全部到位。</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（二）项目预期绩效目标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1、项目绩效目标下达情况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2019年，市局下达我区的目标任务是：当年扩面任务为162人，符合待遇领取条件人员养老金发放率100%。</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2、项目绩效目标完成情况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2019年，全区城乡居民养老保险当年扩面任务为2879人，符合待遇领取条件人员养老金发放率100%。项目绩效目标完成率100%。</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二、绩效评价工作情况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（一）项目绩效总体情况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根据工作安排，成立评价工作小组，拟定本次绩效评价工作方案，准备绩效评价资料。初步评价结论征求分管领导、各科室科长意见后，评价工作组撰写绩效评价报告。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bookmarkStart w:id="0" w:name="_Toc463787676"/>
      <w:bookmarkEnd w:id="0"/>
      <w:r>
        <w:rPr>
          <w:rFonts w:hint="eastAsia" w:ascii="仿宋_GB2312" w:hAnsi="仿宋_GB2312" w:eastAsia="仿宋_GB2312" w:cs="仿宋_GB2312"/>
          <w:sz w:val="32"/>
          <w:szCs w:val="32"/>
          <w:highlight w:val="none"/>
          <w:lang w:val="en-US" w:eastAsia="zh-CN"/>
        </w:rPr>
        <w:t>城乡居民基本养老保险资金的使用，达到了既定目标，经济社会效益显著，主要表现如下：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维护了社会的和谐稳定。通过实施城居保工作，年满60周岁的城乡居民可以按时领取养老金，让老年城乡居民实实在在地享受到了城居保的优惠政策，有力促进了基本公共服务的均等化；大大减轻了城乡子女的经济负担，消除农村家庭因为赡养老人的问题而产生的家庭矛盾和纠纷，营造更加融洽的敬老爱幼氛围，促进农村经济发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2、城居保制度覆盖面迅速扩大，城乡居民参保意愿逐年增强。全区开展城居保工作的乡镇共有13个，覆盖全区所有村（社区）。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（二）绩效评价指标体系、评价方法和结论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本次绩效评价指标采用共性指标与个性指标相结合的方式，使用项目投入（12分）、项目过程（23分）、项目产出（35分）和项目效果（30分）4个指标，</w:t>
      </w:r>
      <w:bookmarkStart w:id="1" w:name="_Toc457757116"/>
      <w:bookmarkEnd w:id="1"/>
      <w:r>
        <w:rPr>
          <w:rFonts w:hint="eastAsia" w:ascii="仿宋_GB2312" w:hAnsi="仿宋_GB2312" w:eastAsia="仿宋_GB2312" w:cs="仿宋_GB2312"/>
          <w:sz w:val="32"/>
          <w:szCs w:val="32"/>
          <w:highlight w:val="none"/>
          <w:lang w:val="en-US" w:eastAsia="zh-CN"/>
        </w:rPr>
        <w:t>评价工作组通过走访座谈、实地查阅和调查问卷等方式对城乡居民基本养老保险资金实施评价，得分为99分，评价等级为优。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三、项目执行及绩效实现情况</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（一）项目投入情况（满分12分，实得12分）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1、项目立项（满分6分，实得6分）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（1）绩效目标合理性（满分3分，实得3分）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为保证城乡居民养老保险目标绩效考核工作有序开展，我单位制定了城乡居民保《实施方案》、《实施细则》、《经办规程》、《各科室岗位职责》、《财务管理制度》、《内部控制制度》和《稽核制度》，并严格落实执行。</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（2）绩效目标明确性（满分3分，实得3分）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绩效目标具体、清晰、可衡量，绩效目标任务数与年度预算投资补贴额相匹配。</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2、资金落实（满分6分，实得6分）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（1）资金到位率（满分3分，实得3分）</w:t>
      </w:r>
    </w:p>
    <w:p>
      <w:pPr>
        <w:numPr>
          <w:ilvl w:val="0"/>
          <w:numId w:val="0"/>
        </w:numPr>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2019年中央、省、市、区四级财政补贴资金9486.91万元，其中基础养老金补贴9079.39万元，缴费补贴407.52万元，所有专项资金都已拨入财政专户，并已计入个人账户。</w:t>
      </w:r>
    </w:p>
    <w:p>
      <w:pPr>
        <w:numPr>
          <w:ilvl w:val="0"/>
          <w:numId w:val="0"/>
        </w:numPr>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省、区级财政代办员补贴资金85.12万元，城乡居民保专项经费20万元，</w:t>
      </w:r>
      <w:r>
        <w:rPr>
          <w:rFonts w:hint="eastAsia" w:ascii="仿宋_GB2312" w:hAnsi="仿宋_GB2312" w:eastAsia="仿宋_GB2312" w:cs="仿宋_GB2312"/>
          <w:sz w:val="32"/>
          <w:szCs w:val="32"/>
          <w:lang w:val="en-US" w:eastAsia="zh-CN"/>
        </w:rPr>
        <w:t>军队退役人员公益岗位工资2.47万元均已拨入单位经费授权账户，各项资金</w:t>
      </w:r>
      <w:r>
        <w:rPr>
          <w:rFonts w:hint="eastAsia" w:ascii="仿宋_GB2312" w:hAnsi="仿宋_GB2312" w:eastAsia="仿宋_GB2312" w:cs="仿宋_GB2312"/>
          <w:sz w:val="32"/>
          <w:szCs w:val="32"/>
          <w:highlight w:val="none"/>
          <w:lang w:val="en-US" w:eastAsia="zh-CN"/>
        </w:rPr>
        <w:t>补贴到位率100%。</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资金到位及时性（满分3分，实得3分）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各级财政补贴资金下达后，我区财政及时将资金拨付到专用账户，无拖延滞后现象。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（二）项目过程情况（满分23分，实得23分）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1、项目管理情况（满分11分，实得11分）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（1）制度建设及执行有效性（满分3分，实得3分）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我单位依据国家社会保险有关法律法规和经办规程开展城乡居民保各项业务。结合实际制定详细的内部控制实施细则，在单位内部公开并严格执行，切实加强内控管理。 </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（2）宣传培训（满分3分，实得3分）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抓住中秋及夏（秋）收农民工返乡的有利时机，设置咨询台、悬挂横幅、散发宣传单、微信公众号、走村入户等多种形式，以及“12333全国统一咨询日”活动，深入宣传城乡居民保政策，特别是城居保扶贫和基础养老金提标政策，引导城乡居民早缴费、选择较高档次缴费，营造舆论氛围，提高群众知晓度和满意度。我单位通过以会代训、专题培训等多种形式，分层次对乡镇业务经办人员进行了业务培训。</w:t>
      </w:r>
      <w:r>
        <w:rPr>
          <w:rFonts w:hint="eastAsia" w:ascii="仿宋_GB2312" w:hAnsi="仿宋_GB2312" w:eastAsia="仿宋_GB2312" w:cs="仿宋_GB2312"/>
          <w:sz w:val="32"/>
          <w:szCs w:val="32"/>
          <w:lang w:val="en-US" w:eastAsia="zh-CN"/>
        </w:rPr>
        <w:t>强化乡镇人力资源社会保障平台建设，加大村级代办员队伍建设力度，提供相应的劳务报酬，确保基层人员的稳定。</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（3）动态管理（满分2分，实得2分）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照城乡居民保有关政策规定，能够及时为参保人办理参保和待遇领取手续。待遇审批、复核手续完备、资料齐全。待遇支付审批程序健全完善，待遇支付每月实行社会化发放。对于统一要求上报的材料及每月的报表，指定专人负责，认真、细致比对、核算，确保材料齐全、数据真实、准确，经负责人签字后按时上报。</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（4）系统操作管理（满分3分，实得3分）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照省统一的城乡居民基本养老保险系统操作流程和管理制度，规范城乡居民保业务系统操作管理。明确了业务经办人员、审批人员的职责和权限，全部参保人员通过信息系统进行参保登记、缴费、建立个人账户、支付养老金等。没有出现因操作不规范导致批量业务差错且影响较大的问题。坚持业务系统和外网隔离，业务系统与外部互联网实现物理隔离。对已调离的经办人员，及时申报系统用户名注销。</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2、财务管理情况（满分12分，实得12分）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（1）账户管理（满分3分，实得3分）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执行财务收支两条线管理。按照规定开设收入户、支出户和财政专户。每月定期将收入户保费及利息及时划转到财政专户，没有违规存储基金；基金专款专用，单独记账、核算，财务管理严格，支出户支出依据合规。</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（2）资金使用规范（满分3分，实得3分）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资金使用严格规范，不存在支出依据不合规、虚列项目支出以及截留、挤占、挪用资金等情况；不存在将个人账户储存额用于非个人账户养老金支出等违法违规问题。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（3）资金申请和审批程序（满分3分，实得3分）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每月的资金划拨都有完整的申请、审核、审批手续，资金拨付及时，资金申请审批程序符合管理办法规定。</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（4）会计核算（满分3分，实得3分）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照省级基金财务管理文件和相关会计规范操作及省城乡居民基本养老保险财务管理系统实务操作指南，建立会计账簿，设置会计科目进行会计核算。按照规定取得和填制原始凭证、记账凭证，更正会计记录有依据，按月核对凭证、账簿、报表，做到账证、账账、账表相符。</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（三）项目产出情况（满分35分，实得35分）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（1）当年任务完成情况（满分7.5分，实得7.5分）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截止2019年底，全区城乡居民养老保险当年缴费人数120479人，共收缴保费3776.38万元；养老金发放人数70844人，共发放养老金10231.36万元，符合待遇领取条件人员养老金发放率100%。为全区312人发放代办员补贴资金84.88万元，</w:t>
      </w:r>
      <w:r>
        <w:rPr>
          <w:rFonts w:hint="eastAsia" w:ascii="仿宋_GB2312" w:hAnsi="仿宋_GB2312" w:eastAsia="仿宋_GB2312" w:cs="仿宋_GB2312"/>
          <w:sz w:val="32"/>
          <w:szCs w:val="32"/>
          <w:lang w:val="en-US" w:eastAsia="zh-CN"/>
        </w:rPr>
        <w:t>军队退役人员2人发放公益岗位工资2.47万元，所有资金全部发放到位。</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（2）按时发放养老金情况（满分7.5分，实得7.5分）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信息系统按月生成《城乡居民基本养老保险基金支付审批表》，通过合作银行进行社会化发放，每月养老金发放率均为100%。</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（3）重复领取养老金情况（满分5分，实得5分）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严格按照经办规程要求，审核待遇发放资格，通过与职工、事业单位退休人员发放数据进行比对，对于不符合城乡居民保领取条件的坚决予以取消，不存在重复或不符合发放的人员。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（4）资格认证工作（满分5分，实得5分）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2019年，我区根据上级精神取消集中资格认证工作，在全区推广“人脸识别智能化认证”模式，使得领取待遇人员足不出户即能完成认证，确定待遇领取人员资格，对行动不便及疑似冒领人员采取上门入户认证，确保基金安全运行。</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（5）待遇核查比对（满分5分，实得5分）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建立并严格执行信息比对制度，按月做好重复领取待遇核查比对工作，按照规定核对重复领取数据，对核查结果及时处理；按月将城居保享受待遇人员与职工养老保险进行人员信息比对。</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（6）档案管理（满分5分，实得5分）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按照“谁经办，谁收集，谁整理”的原则，坚持平时立卷，对照档案达标考核细则逐项整改，认真梳理档案管理中存在的问题，强化日常管理，确保归档材料真实、完整，确保业务档案管理规范化、科学化。</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（四）项目效果情况（满分30分，实得29分）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（1）群众对政策满意度（满分10分，实得10分）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自2009年城乡居民基本养老保险政策实施以来，特别是中央及省政府提高城乡居民基础养老金最低标准和个人缴费档次调整机制后，通过多种形式的政策宣传，社会反响良好。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（2）群众对工作满意度（满分10分，实得9分）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秉持办事热心、服务贴心、办事细心的工作思路，对待办事群众热情接待，耐心询问，详细解答，使群众满意而归，群众对城乡居民保工作的满意度达90%以上。</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（3）可持续性影响（满分10分，实得10分）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区农保处为城乡居民保经办单设机构，工作专项经费全部纳入地方财政预算。2019年度专项预算资金20万元，用于宣传费、资格认证、业务票据的购买和印制、办公耗材及维修、业务培训、信息系统维护、档案的归集和管理等支出，按规定财政资金专款专用。</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四、项目综合评价结论和评价等级</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2019年度我区城乡居民基本养老保险资金绩效评价为99分，自开展此项工作以来，严格按要求完成了上级交给的任务，但还有很多不足之处，需要进一步提高和完善，我们一定扎扎实实地做好每一项工作，每个经办环节认真总结经验，查找不足，发现新问题，提出新举措，把党的惠民政策落到实处。</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五、存在的问题及改进措施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（一）项目存在的主要问题</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城乡居民基本养老保险与民政、残联、计生等部门数据信息不能共享，无法及时掌握参保人员的准确信息。</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（二）改进措施及建议</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建立城乡居民基本养老保险与民政、残联、计生等部门的信息大数据共享平台，及时掌握参保人员的准确信息，便于业务操作。</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评价工作组人员</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长：王  智  农保处主任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副组长：李  朋  农保处副主任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朱玉平  农保处副主任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员：张卫东  农保处待遇支付科科长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刘  佳  农保处参保登记科科长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高若洋  农保处稽核认证科科长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周翠荣  农保处档案科科长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赵亚瑞  农保处基金管理科科长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firstLine="1920" w:firstLineChars="6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朱  红  农保处被征地农民养老保险科科长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tLeast"/>
        <w:ind w:right="0" w:rightChars="0" w:firstLine="1920" w:firstLineChars="600"/>
        <w:jc w:val="both"/>
        <w:textAlignment w:val="auto"/>
        <w:outlineLvl w:val="9"/>
        <w:rPr>
          <w:rFonts w:hint="eastAsia" w:ascii="仿宋" w:hAnsi="仿宋" w:eastAsia="仿宋" w:cs="仿宋"/>
          <w:b w:val="0"/>
          <w:bCs w:val="0"/>
          <w:sz w:val="32"/>
          <w:szCs w:val="32"/>
          <w:lang w:val="en-US" w:eastAsia="zh-CN"/>
        </w:rPr>
      </w:pPr>
    </w:p>
    <w:p>
      <w:pPr>
        <w:rPr>
          <w:rFonts w:hint="eastAsia" w:ascii="仿宋" w:hAnsi="仿宋" w:eastAsia="仿宋" w:cs="仿宋"/>
          <w:b w:val="0"/>
          <w:bCs w:val="0"/>
          <w:sz w:val="32"/>
          <w:szCs w:val="32"/>
          <w:lang w:val="en-US" w:eastAsia="zh-CN"/>
        </w:rPr>
      </w:pPr>
    </w:p>
    <w:p>
      <w:pPr>
        <w:rPr>
          <w:rFonts w:hint="default" w:ascii="仿宋" w:hAnsi="仿宋" w:eastAsia="仿宋" w:cs="仿宋"/>
          <w:b w:val="0"/>
          <w:bCs w:val="0"/>
          <w:sz w:val="32"/>
          <w:szCs w:val="32"/>
          <w:lang w:val="en-US" w:eastAsia="zh-CN"/>
        </w:rPr>
      </w:pPr>
    </w:p>
    <w:p>
      <w:pPr>
        <w:jc w:val="righ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石家庄市鹿泉区农村社会养老保险事业管理处</w:t>
      </w:r>
    </w:p>
    <w:p>
      <w:pPr>
        <w:wordWrap w:val="0"/>
        <w:jc w:val="right"/>
        <w:rPr>
          <w:rFonts w:hint="default" w:ascii="仿宋" w:hAnsi="仿宋" w:eastAsia="仿宋" w:cs="仿宋"/>
          <w:b w:val="0"/>
          <w:bCs w:val="0"/>
          <w:sz w:val="32"/>
          <w:szCs w:val="32"/>
          <w:lang w:val="en-US" w:eastAsia="zh-CN"/>
        </w:rPr>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pPr>
      <w:r>
        <w:rPr>
          <w:rFonts w:hint="eastAsia" w:ascii="仿宋" w:hAnsi="仿宋" w:eastAsia="仿宋" w:cs="仿宋"/>
          <w:b w:val="0"/>
          <w:bCs w:val="0"/>
          <w:sz w:val="32"/>
          <w:szCs w:val="32"/>
          <w:lang w:val="en-US" w:eastAsia="zh-CN"/>
        </w:rPr>
        <w:t xml:space="preserve">2020年1月4日        </w:t>
      </w:r>
      <w:bookmarkStart w:id="2" w:name="_GoBack"/>
      <w:bookmarkEnd w:id="2"/>
    </w:p>
    <w:p>
      <w:pPr>
        <w:keepNext w:val="0"/>
        <w:keepLines w:val="0"/>
        <w:pageBreakBefore w:val="0"/>
        <w:kinsoku/>
        <w:wordWrap/>
        <w:overflowPunct/>
        <w:topLinePunct w:val="0"/>
        <w:autoSpaceDE/>
        <w:bidi w:val="0"/>
        <w:spacing w:line="360" w:lineRule="atLeast"/>
        <w:rPr>
          <w:rFonts w:hint="eastAsia" w:ascii="仿宋" w:hAnsi="仿宋" w:eastAsia="仿宋" w:cs="仿宋"/>
          <w:b w:val="0"/>
          <w:bCs w:val="0"/>
          <w:sz w:val="32"/>
          <w:szCs w:val="32"/>
        </w:rPr>
      </w:pPr>
    </w:p>
    <w:sectPr>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9"/>
      </w:rPr>
    </w:pPr>
    <w:r>
      <w:fldChar w:fldCharType="begin"/>
    </w:r>
    <w:r>
      <w:rPr>
        <w:rStyle w:val="9"/>
      </w:rPr>
      <w:instrText xml:space="preserve">PAGE  </w:instrText>
    </w:r>
    <w:r>
      <w:fldChar w:fldCharType="separate"/>
    </w:r>
    <w:r>
      <w:rPr>
        <w:rStyle w:val="9"/>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A9B44"/>
    <w:multiLevelType w:val="singleLevel"/>
    <w:tmpl w:val="00EA9B44"/>
    <w:lvl w:ilvl="0" w:tentative="0">
      <w:start w:val="6"/>
      <w:numFmt w:val="chineseCounting"/>
      <w:suff w:val="nothing"/>
      <w:lvlText w:val="%1、"/>
      <w:lvlJc w:val="left"/>
      <w:rPr>
        <w:rFonts w:hint="eastAsia"/>
      </w:rPr>
    </w:lvl>
  </w:abstractNum>
  <w:abstractNum w:abstractNumId="1">
    <w:nsid w:val="6AE5C78B"/>
    <w:multiLevelType w:val="singleLevel"/>
    <w:tmpl w:val="6AE5C78B"/>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DB92460"/>
    <w:rsid w:val="0F473AB3"/>
    <w:rsid w:val="0FCB05D0"/>
    <w:rsid w:val="1041606D"/>
    <w:rsid w:val="12296D55"/>
    <w:rsid w:val="179B47F6"/>
    <w:rsid w:val="185343D5"/>
    <w:rsid w:val="1B734C88"/>
    <w:rsid w:val="1CE1640F"/>
    <w:rsid w:val="213C1EEA"/>
    <w:rsid w:val="25222854"/>
    <w:rsid w:val="2A2941B7"/>
    <w:rsid w:val="2CE01D89"/>
    <w:rsid w:val="37B068C3"/>
    <w:rsid w:val="3A6D5E17"/>
    <w:rsid w:val="46B86FF6"/>
    <w:rsid w:val="4BDD39C1"/>
    <w:rsid w:val="50EC0192"/>
    <w:rsid w:val="570A01B0"/>
    <w:rsid w:val="57162A70"/>
    <w:rsid w:val="5719203E"/>
    <w:rsid w:val="5A09042D"/>
    <w:rsid w:val="5B9C2D34"/>
    <w:rsid w:val="699742CA"/>
    <w:rsid w:val="6B9F03FA"/>
    <w:rsid w:val="74C26843"/>
    <w:rsid w:val="78FD39C9"/>
    <w:rsid w:val="793031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7">
    <w:name w:val="默认段落字体 Para Char Char Char Char Char Char Char"/>
    <w:basedOn w:val="1"/>
    <w:link w:val="6"/>
    <w:qFormat/>
    <w:uiPriority w:val="0"/>
  </w:style>
  <w:style w:type="character" w:styleId="8">
    <w:name w:val="Strong"/>
    <w:basedOn w:val="6"/>
    <w:qFormat/>
    <w:uiPriority w:val="0"/>
    <w:rPr>
      <w:b/>
    </w:rPr>
  </w:style>
  <w:style w:type="character" w:styleId="9">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38</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2020-01-04T06:59:00Z</cp:lastPrinted>
  <dcterms:modified xsi:type="dcterms:W3CDTF">2020-01-07T01:51:06Z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