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宋体"/>
          <w:b/>
          <w:bCs/>
          <w:sz w:val="36"/>
          <w:szCs w:val="32"/>
          <w:lang w:eastAsia="zh-CN"/>
        </w:rPr>
      </w:pPr>
      <w:r>
        <w:rPr>
          <w:rFonts w:hint="default" w:ascii="宋体"/>
          <w:b/>
          <w:bCs/>
          <w:sz w:val="36"/>
          <w:szCs w:val="32"/>
          <w:lang w:val="en-US" w:eastAsia="zh-CN"/>
        </w:rPr>
        <w:t>“</w:t>
      </w:r>
      <w:r>
        <w:rPr>
          <w:rFonts w:hint="eastAsia" w:ascii="宋体"/>
          <w:b/>
          <w:bCs/>
          <w:sz w:val="36"/>
          <w:szCs w:val="32"/>
          <w:lang w:val="en-US" w:eastAsia="zh-CN"/>
        </w:rPr>
        <w:t>进百校</w:t>
      </w:r>
      <w:r>
        <w:rPr>
          <w:rFonts w:hint="default" w:ascii="宋体"/>
          <w:b/>
          <w:bCs/>
          <w:sz w:val="36"/>
          <w:szCs w:val="32"/>
          <w:lang w:val="en-US" w:eastAsia="zh-CN"/>
        </w:rPr>
        <w:t>”</w:t>
      </w:r>
      <w:r>
        <w:rPr>
          <w:rFonts w:hint="eastAsia" w:ascii="宋体"/>
          <w:b/>
          <w:bCs/>
          <w:sz w:val="36"/>
          <w:szCs w:val="32"/>
          <w:lang w:val="en-US" w:eastAsia="zh-CN"/>
        </w:rPr>
        <w:t>宣讲活动及鹿泉附属观摩活动经费</w:t>
      </w:r>
      <w:r>
        <w:rPr>
          <w:rFonts w:hint="eastAsia" w:ascii="宋体"/>
          <w:b/>
          <w:bCs/>
          <w:sz w:val="36"/>
          <w:szCs w:val="32"/>
          <w:lang w:eastAsia="zh-CN"/>
        </w:rPr>
        <w:t>项目</w:t>
      </w: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rPr>
        <w:t>绩效评价报告</w:t>
      </w:r>
      <w:bookmarkStart w:id="0" w:name="_GoBack"/>
      <w:bookmarkEnd w:id="0"/>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default" w:ascii="仿宋_GB2312" w:eastAsia="仿宋_GB2312"/>
          <w:sz w:val="32"/>
          <w:szCs w:val="32"/>
          <w:lang w:val="en-US" w:eastAsia="zh-CN"/>
        </w:rPr>
        <w:t>“</w:t>
      </w:r>
      <w:r>
        <w:rPr>
          <w:rFonts w:hint="eastAsia" w:ascii="仿宋_GB2312" w:eastAsia="仿宋_GB2312"/>
          <w:sz w:val="32"/>
          <w:szCs w:val="32"/>
          <w:lang w:val="en-US" w:eastAsia="zh-CN"/>
        </w:rPr>
        <w:t>进百校</w:t>
      </w:r>
      <w:r>
        <w:rPr>
          <w:rFonts w:hint="default" w:ascii="仿宋_GB2312" w:eastAsia="仿宋_GB2312"/>
          <w:sz w:val="32"/>
          <w:szCs w:val="32"/>
          <w:lang w:val="en-US" w:eastAsia="zh-CN"/>
        </w:rPr>
        <w:t>”</w:t>
      </w:r>
      <w:r>
        <w:rPr>
          <w:rFonts w:hint="eastAsia" w:ascii="仿宋_GB2312" w:eastAsia="仿宋_GB2312"/>
          <w:sz w:val="32"/>
          <w:szCs w:val="32"/>
          <w:lang w:val="en-US" w:eastAsia="zh-CN"/>
        </w:rPr>
        <w:t>宣讲活动及鹿泉附属观摩活动经费</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设立人才基金项目实施单位为石家庄市鹿泉区人力资源和社会保障局。为</w:t>
      </w:r>
      <w:r>
        <w:rPr>
          <w:rFonts w:hint="eastAsia" w:ascii="仿宋_GB2312" w:eastAsia="仿宋_GB2312"/>
          <w:sz w:val="32"/>
          <w:szCs w:val="32"/>
          <w:lang w:val="en-US" w:eastAsia="zh-CN"/>
        </w:rPr>
        <w:t>深化人才机制改革，吸引更多人才来我区创业和工作。</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2.此项目主要实施内容是通过人才招聘会，补贴培训费，</w:t>
      </w:r>
      <w:r>
        <w:rPr>
          <w:rFonts w:hint="eastAsia" w:ascii="仿宋_GB2312" w:eastAsia="仿宋_GB2312"/>
          <w:sz w:val="32"/>
          <w:szCs w:val="32"/>
        </w:rPr>
        <w:t>邀约</w:t>
      </w:r>
      <w:r>
        <w:rPr>
          <w:rFonts w:hint="eastAsia" w:ascii="仿宋_GB2312" w:eastAsia="仿宋_GB2312"/>
          <w:sz w:val="32"/>
          <w:szCs w:val="32"/>
          <w:lang w:eastAsia="zh-CN"/>
        </w:rPr>
        <w:t>参加</w:t>
      </w:r>
      <w:r>
        <w:rPr>
          <w:rFonts w:hint="eastAsia" w:ascii="仿宋_GB2312" w:eastAsia="仿宋_GB2312"/>
          <w:sz w:val="32"/>
          <w:szCs w:val="32"/>
        </w:rPr>
        <w:t>“双一流”高校</w:t>
      </w:r>
      <w:r>
        <w:rPr>
          <w:rFonts w:hint="eastAsia" w:ascii="仿宋_GB2312" w:hAnsi="仿宋" w:eastAsia="仿宋_GB2312"/>
          <w:sz w:val="32"/>
          <w:szCs w:val="32"/>
        </w:rPr>
        <w:t>“石家庄市高层次人才交流洽谈会”</w:t>
      </w:r>
      <w:r>
        <w:rPr>
          <w:rFonts w:hint="eastAsia" w:ascii="仿宋_GB2312" w:hAnsi="仿宋" w:eastAsia="仿宋_GB2312"/>
          <w:sz w:val="32"/>
          <w:szCs w:val="32"/>
          <w:lang w:eastAsia="zh-CN"/>
        </w:rPr>
        <w:t>，</w:t>
      </w:r>
      <w:r>
        <w:rPr>
          <w:rFonts w:hint="eastAsia" w:ascii="仿宋_GB2312" w:eastAsia="仿宋_GB2312"/>
          <w:sz w:val="32"/>
          <w:szCs w:val="32"/>
        </w:rPr>
        <w:t>为有效借力石家庄市高层次人才交流洽谈会的有利时机，更好的向“双一流”高校毕业生宣传推介我区经济社会发展、人文自然环境、引才留才政策和企业发展概况，并通过他们向全国各大高校、各大城市宣传推介鹿泉引才留才用才环境</w:t>
      </w:r>
      <w:r>
        <w:rPr>
          <w:rFonts w:hint="eastAsia" w:ascii="仿宋_GB2312" w:eastAsia="仿宋_GB2312"/>
          <w:sz w:val="32"/>
          <w:szCs w:val="32"/>
          <w:lang w:eastAsia="zh-CN"/>
        </w:rPr>
        <w:t>。</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3.项目资金数量为5.85万元，大写：伍万捌仟伍佰元整，主要资金结构为“进百校”宣传活动经费及鹿泉附属观摩活动经费。资金来源为财政。</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为</w:t>
      </w:r>
      <w:r>
        <w:rPr>
          <w:rFonts w:hint="eastAsia" w:ascii="仿宋_GB2312" w:eastAsia="仿宋_GB2312"/>
          <w:sz w:val="32"/>
          <w:szCs w:val="32"/>
        </w:rPr>
        <w:t>更好的向“双一流”高校毕业生宣传推介我区经济社会发展、人文自然环境、引才留才政策和企业发展概况，并通过他们向全国各大高校、各大城市宣传推介鹿泉引才留才用才环境</w:t>
      </w:r>
      <w:r>
        <w:rPr>
          <w:rFonts w:hint="eastAsia" w:ascii="仿宋_GB2312" w:eastAsia="仿宋_GB2312"/>
          <w:sz w:val="32"/>
          <w:szCs w:val="32"/>
          <w:lang w:eastAsia="zh-CN"/>
        </w:rPr>
        <w:t>。阶段性绩效目标和指标为</w:t>
      </w:r>
      <w:r>
        <w:rPr>
          <w:rFonts w:hint="eastAsia" w:ascii="仿宋_GB2312" w:hAnsi="仿宋" w:eastAsia="仿宋_GB2312"/>
          <w:sz w:val="32"/>
          <w:szCs w:val="32"/>
        </w:rPr>
        <w:t>完成市委市政府下达给我区邀约200人的任务目标</w:t>
      </w:r>
      <w:r>
        <w:rPr>
          <w:rFonts w:hint="eastAsia" w:ascii="仿宋_GB2312" w:hAnsi="仿宋" w:eastAsia="仿宋_GB2312"/>
          <w:sz w:val="32"/>
          <w:szCs w:val="32"/>
          <w:lang w:eastAsia="zh-CN"/>
        </w:rPr>
        <w:t>。</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此</w:t>
      </w:r>
      <w:r>
        <w:rPr>
          <w:rFonts w:hint="eastAsia" w:ascii="仿宋_GB2312" w:eastAsia="仿宋_GB2312"/>
          <w:sz w:val="32"/>
          <w:szCs w:val="32"/>
        </w:rPr>
        <w:t>项目</w:t>
      </w:r>
      <w:r>
        <w:rPr>
          <w:rFonts w:hint="eastAsia" w:ascii="仿宋_GB2312" w:eastAsia="仿宋_GB2312"/>
          <w:sz w:val="32"/>
          <w:szCs w:val="32"/>
          <w:lang w:eastAsia="zh-CN"/>
        </w:rPr>
        <w:t>评价</w:t>
      </w:r>
      <w:r>
        <w:rPr>
          <w:rFonts w:hint="eastAsia" w:ascii="仿宋_GB2312" w:eastAsia="仿宋_GB2312"/>
          <w:sz w:val="32"/>
          <w:szCs w:val="32"/>
        </w:rPr>
        <w:t>资料</w:t>
      </w:r>
      <w:r>
        <w:rPr>
          <w:rFonts w:hint="eastAsia" w:ascii="仿宋_GB2312" w:eastAsia="仿宋_GB2312"/>
          <w:sz w:val="32"/>
          <w:szCs w:val="32"/>
          <w:lang w:eastAsia="zh-CN"/>
        </w:rPr>
        <w:t>来源于“进百校”发放宣传页数量、学生咨询情况、邀约人次等</w:t>
      </w:r>
      <w:r>
        <w:rPr>
          <w:rFonts w:hint="eastAsia" w:ascii="仿宋_GB2312" w:eastAsia="仿宋_GB2312"/>
          <w:sz w:val="32"/>
          <w:szCs w:val="32"/>
        </w:rPr>
        <w:t>、评</w:t>
      </w:r>
      <w:r>
        <w:rPr>
          <w:rFonts w:hint="eastAsia" w:ascii="仿宋_GB2312" w:eastAsia="仿宋_GB2312"/>
          <w:sz w:val="32"/>
          <w:szCs w:val="32"/>
          <w:lang w:eastAsia="zh-CN"/>
        </w:rPr>
        <w:t>价</w:t>
      </w:r>
      <w:r>
        <w:rPr>
          <w:rFonts w:hint="eastAsia" w:ascii="仿宋_GB2312" w:eastAsia="仿宋_GB2312"/>
          <w:sz w:val="32"/>
          <w:szCs w:val="32"/>
        </w:rPr>
        <w:t>过程</w:t>
      </w:r>
      <w:r>
        <w:rPr>
          <w:rFonts w:hint="eastAsia" w:ascii="仿宋_GB2312" w:eastAsia="仿宋_GB2312"/>
          <w:sz w:val="32"/>
          <w:szCs w:val="32"/>
          <w:lang w:eastAsia="zh-CN"/>
        </w:rPr>
        <w:t>贯穿整个“进百校”宣讲活动及鹿泉附属观摩活动，评价</w:t>
      </w:r>
      <w:r>
        <w:rPr>
          <w:rFonts w:hint="eastAsia" w:ascii="仿宋_GB2312" w:eastAsia="仿宋_GB2312"/>
          <w:sz w:val="32"/>
          <w:szCs w:val="32"/>
        </w:rPr>
        <w:t>工作</w:t>
      </w:r>
      <w:r>
        <w:rPr>
          <w:rFonts w:hint="eastAsia" w:ascii="仿宋_GB2312" w:eastAsia="仿宋_GB2312"/>
          <w:sz w:val="32"/>
          <w:szCs w:val="32"/>
          <w:lang w:eastAsia="zh-CN"/>
        </w:rPr>
        <w:t>由区人社局管理组织</w:t>
      </w:r>
      <w:r>
        <w:rPr>
          <w:rFonts w:hint="eastAsia" w:ascii="仿宋_GB2312" w:eastAsia="仿宋_GB2312"/>
          <w:sz w:val="32"/>
          <w:szCs w:val="32"/>
        </w:rPr>
        <w:t>。</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numId w:val="0"/>
        </w:numPr>
        <w:ind w:left="0" w:leftChars="0" w:right="0" w:rightChars="0"/>
        <w:jc w:val="both"/>
        <w:rPr>
          <w:rFonts w:hint="default"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绩效评价贯穿于整个</w:t>
      </w:r>
      <w:r>
        <w:rPr>
          <w:rFonts w:hint="eastAsia" w:ascii="仿宋_GB2312" w:eastAsia="仿宋_GB2312"/>
          <w:sz w:val="32"/>
          <w:szCs w:val="32"/>
          <w:lang w:eastAsia="zh-CN"/>
        </w:rPr>
        <w:t>“进百校”宣讲活动及鹿泉附属观摩活动，通过发放宣传页数量、学生咨询情况、邀约人次、“进百校”宣讲活动次数、鹿泉附属观摩活动次数等多方面进行评价。</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在开展预算绩效评价工作时，针对具体绩效评价对象的特点，设计具体的绩效评价指标体系。个性指标包括：宣传资料发放数、学生咨询人数、邀约人数、</w:t>
      </w:r>
      <w:r>
        <w:rPr>
          <w:rFonts w:hint="eastAsia" w:ascii="仿宋_GB2312" w:eastAsia="仿宋_GB2312"/>
          <w:sz w:val="32"/>
          <w:szCs w:val="32"/>
          <w:lang w:eastAsia="zh-CN"/>
        </w:rPr>
        <w:t>“进百校”宣讲活动次数、鹿泉附属观摩活动次数</w:t>
      </w:r>
      <w:r>
        <w:rPr>
          <w:rFonts w:hint="eastAsia" w:ascii="仿宋_GB2312" w:eastAsia="仿宋_GB2312"/>
          <w:b w:val="0"/>
          <w:bCs w:val="0"/>
          <w:sz w:val="32"/>
          <w:szCs w:val="32"/>
          <w:lang w:val="en-US" w:eastAsia="zh-CN"/>
        </w:rPr>
        <w:t>等。</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立项情况分析。此项目</w:t>
      </w:r>
      <w:r>
        <w:rPr>
          <w:rFonts w:hint="default" w:ascii="仿宋_GB2312" w:eastAsia="仿宋_GB2312"/>
          <w:b w:val="0"/>
          <w:bCs w:val="0"/>
          <w:sz w:val="32"/>
          <w:szCs w:val="32"/>
          <w:lang w:val="en-US" w:eastAsia="zh-CN"/>
        </w:rPr>
        <w:t>立项规范</w:t>
      </w:r>
      <w:r>
        <w:rPr>
          <w:rFonts w:hint="eastAsia" w:ascii="仿宋_GB2312" w:eastAsia="仿宋_GB2312"/>
          <w:b w:val="0"/>
          <w:bCs w:val="0"/>
          <w:sz w:val="32"/>
          <w:szCs w:val="32"/>
          <w:lang w:val="en-US" w:eastAsia="zh-CN"/>
        </w:rPr>
        <w:t>、绩效目标合理和绩效指标明确，根据指标体系评分标准计算分值为100分。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2.资金落实情况分析。资金到位率100%、到位及时率100%，根据指标体系评分标准计算分值为100分。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1.业务管理情况分析。此项目管理制度健全、制度执行有效、项目质量可控，根据指标体系评分标准计算分值为100分。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2.财务管理。此项目具有管理制度健全性、资金使用合规性、财务监控有效性，根据指标体系评分标准计算分值为100分。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此项目产出指标：宣传资料发放数≥1000份为优；学生咨询人数≥500人为优；邀约人数≥200人为优；</w:t>
      </w:r>
      <w:r>
        <w:rPr>
          <w:rFonts w:hint="eastAsia" w:ascii="仿宋_GB2312" w:eastAsia="仿宋_GB2312"/>
          <w:sz w:val="32"/>
          <w:szCs w:val="32"/>
          <w:lang w:eastAsia="zh-CN"/>
        </w:rPr>
        <w:t>“进百校”宣讲活动及鹿泉附属观摩活动次数</w:t>
      </w:r>
      <w:r>
        <w:rPr>
          <w:rFonts w:hint="eastAsia" w:ascii="仿宋_GB2312" w:eastAsia="仿宋_GB2312"/>
          <w:b w:val="0"/>
          <w:bCs w:val="0"/>
          <w:sz w:val="32"/>
          <w:szCs w:val="32"/>
          <w:lang w:val="en-US" w:eastAsia="zh-CN"/>
        </w:rPr>
        <w:t>≥5次为优等情况进行分析后，根据指标体系评分标准计算分值为100分。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此项目的效果指标为</w:t>
      </w:r>
      <w:r>
        <w:rPr>
          <w:rFonts w:hint="eastAsia" w:ascii="仿宋_GB2312" w:eastAsia="仿宋_GB2312"/>
          <w:sz w:val="32"/>
          <w:szCs w:val="32"/>
        </w:rPr>
        <w:t>“双一流”高校</w:t>
      </w:r>
      <w:r>
        <w:rPr>
          <w:rFonts w:hint="eastAsia" w:ascii="仿宋_GB2312" w:eastAsia="仿宋_GB2312"/>
          <w:sz w:val="32"/>
          <w:szCs w:val="32"/>
          <w:lang w:eastAsia="zh-CN"/>
        </w:rPr>
        <w:t>生参与人数</w:t>
      </w:r>
      <w:r>
        <w:rPr>
          <w:rFonts w:hint="eastAsia" w:ascii="仿宋_GB2312" w:eastAsia="仿宋_GB2312"/>
          <w:b w:val="0"/>
          <w:bCs w:val="0"/>
          <w:sz w:val="32"/>
          <w:szCs w:val="32"/>
          <w:lang w:val="en-US" w:eastAsia="zh-CN"/>
        </w:rPr>
        <w:t>≥200人为优；</w:t>
      </w:r>
      <w:r>
        <w:rPr>
          <w:rFonts w:hint="eastAsia" w:ascii="仿宋_GB2312" w:eastAsia="仿宋_GB2312"/>
          <w:sz w:val="32"/>
          <w:szCs w:val="32"/>
        </w:rPr>
        <w:t>“双一流”高校</w:t>
      </w:r>
      <w:r>
        <w:rPr>
          <w:rFonts w:hint="eastAsia" w:ascii="仿宋_GB2312" w:eastAsia="仿宋_GB2312"/>
          <w:sz w:val="32"/>
          <w:szCs w:val="32"/>
          <w:lang w:eastAsia="zh-CN"/>
        </w:rPr>
        <w:t>生对鹿泉</w:t>
      </w:r>
      <w:r>
        <w:rPr>
          <w:rFonts w:hint="eastAsia" w:ascii="仿宋_GB2312" w:eastAsia="仿宋_GB2312"/>
          <w:sz w:val="32"/>
          <w:szCs w:val="32"/>
        </w:rPr>
        <w:t>引才留才</w:t>
      </w:r>
      <w:r>
        <w:rPr>
          <w:rFonts w:hint="eastAsia" w:ascii="仿宋_GB2312" w:eastAsia="仿宋_GB2312"/>
          <w:sz w:val="32"/>
          <w:szCs w:val="32"/>
          <w:lang w:eastAsia="zh-CN"/>
        </w:rPr>
        <w:t>政策知晓率</w:t>
      </w:r>
      <w:r>
        <w:rPr>
          <w:rFonts w:hint="eastAsia" w:ascii="仿宋_GB2312" w:eastAsia="仿宋_GB2312"/>
          <w:b w:val="0"/>
          <w:bCs w:val="0"/>
          <w:sz w:val="32"/>
          <w:szCs w:val="32"/>
          <w:lang w:val="en-US" w:eastAsia="zh-CN"/>
        </w:rPr>
        <w:t>≥80%等指标体系评分标准计算分值，根据指标体系评分标准计算分值为100分。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lang w:eastAsia="zh-CN"/>
        </w:rPr>
      </w:pPr>
      <w:r>
        <w:rPr>
          <w:rFonts w:hint="eastAsia" w:ascii="仿宋_GB2312" w:eastAsia="仿宋_GB2312"/>
          <w:b w:val="0"/>
          <w:bCs w:val="0"/>
          <w:sz w:val="32"/>
          <w:szCs w:val="32"/>
          <w:lang w:val="en-US" w:eastAsia="zh-CN"/>
        </w:rPr>
        <w:t>根据项目执行情况和项目绩效情况，此项目总得分为100分，由此得出此项目达到了预期效果，广泛宣传了我区的区位优势，提升了我区影响力、知名度，大幅提升了我区企业人才需求信息的社会覆盖面和影响力。项目综合绩效评价为</w:t>
      </w:r>
      <w:r>
        <w:rPr>
          <w:rFonts w:hint="eastAsia" w:ascii="仿宋_GB2312" w:eastAsia="仿宋_GB2312"/>
          <w:sz w:val="32"/>
          <w:szCs w:val="32"/>
        </w:rPr>
        <w:t>优秀</w:t>
      </w:r>
      <w:r>
        <w:rPr>
          <w:rFonts w:hint="eastAsia" w:ascii="仿宋_GB2312" w:eastAsia="仿宋_GB2312"/>
          <w:sz w:val="32"/>
          <w:szCs w:val="32"/>
          <w:lang w:eastAsia="zh-CN"/>
        </w:rPr>
        <w:t>。</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rPr>
          <w:rFonts w:hint="eastAsia" w:ascii="楷体_GB2312" w:hAnsi="楷体_GB2312" w:eastAsia="仿宋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此项目</w:t>
      </w:r>
      <w:r>
        <w:rPr>
          <w:rFonts w:hint="eastAsia" w:ascii="仿宋_GB2312" w:eastAsia="仿宋_GB2312"/>
          <w:sz w:val="32"/>
          <w:szCs w:val="32"/>
        </w:rPr>
        <w:t>对鹿泉经济社会发展进行了深入了解，对鹿泉产生了浓厚兴趣，</w:t>
      </w:r>
      <w:r>
        <w:rPr>
          <w:rFonts w:hint="eastAsia" w:ascii="仿宋_GB2312" w:eastAsia="仿宋_GB2312"/>
          <w:sz w:val="32"/>
          <w:szCs w:val="32"/>
          <w:lang w:eastAsia="zh-CN"/>
        </w:rPr>
        <w:t>但宣讲力度还不够大、宣讲次数还不够多，</w:t>
      </w:r>
      <w:r>
        <w:rPr>
          <w:rFonts w:hint="eastAsia" w:ascii="仿宋_GB2312" w:eastAsia="仿宋_GB2312"/>
          <w:b w:val="0"/>
          <w:bCs w:val="0"/>
          <w:sz w:val="32"/>
          <w:szCs w:val="32"/>
          <w:lang w:val="en-US" w:eastAsia="zh-CN"/>
        </w:rPr>
        <w:t>区人社局将针对以上问题，认真反思，总结完善。</w:t>
      </w:r>
    </w:p>
    <w:p>
      <w:pPr>
        <w:numPr>
          <w:numId w:val="0"/>
        </w:numPr>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numPr>
          <w:numId w:val="0"/>
        </w:numPr>
        <w:ind w:left="0" w:leftChars="0" w:firstLine="640" w:firstLineChars="200"/>
        <w:rPr>
          <w:rFonts w:hint="eastAsia" w:ascii="楷体_GB2312" w:hAnsi="楷体_GB2312" w:eastAsia="仿宋_GB2312"/>
          <w:b w:val="0"/>
          <w:bCs w:val="0"/>
          <w:sz w:val="32"/>
          <w:szCs w:val="32"/>
          <w:lang w:val="en-US" w:eastAsia="zh-CN"/>
        </w:rPr>
      </w:pPr>
      <w:r>
        <w:rPr>
          <w:rFonts w:hint="eastAsia" w:ascii="仿宋_GB2312" w:eastAsia="仿宋_GB2312"/>
          <w:b w:val="0"/>
          <w:bCs w:val="0"/>
          <w:sz w:val="32"/>
          <w:szCs w:val="32"/>
          <w:lang w:val="en-US" w:eastAsia="zh-CN"/>
        </w:rPr>
        <w:t>区人社局将针对以上问题将采取以下改进措施：一是加大</w:t>
      </w:r>
      <w:r>
        <w:rPr>
          <w:rFonts w:hint="eastAsia" w:ascii="仿宋_GB2312" w:eastAsia="仿宋_GB2312"/>
          <w:sz w:val="32"/>
          <w:szCs w:val="32"/>
          <w:lang w:eastAsia="zh-CN"/>
        </w:rPr>
        <w:t>进百校”宣讲活动及鹿泉附属观摩活动宣传力度及活动次数；二是组织更多鹿泉企业参与宣讲活动；三是向更多“双一流”院校推介鹿泉政策。</w:t>
      </w:r>
    </w:p>
    <w:tbl>
      <w:tblPr>
        <w:tblStyle w:val="5"/>
        <w:tblpPr w:leftFromText="180" w:rightFromText="180" w:vertAnchor="text" w:horzAnchor="page" w:tblpX="2242" w:tblpY="74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3915"/>
        <w:gridCol w:w="930"/>
        <w:gridCol w:w="1665"/>
        <w:gridCol w:w="8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1075"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3915"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工作单位</w:t>
            </w:r>
          </w:p>
        </w:tc>
        <w:tc>
          <w:tcPr>
            <w:tcW w:w="930"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c>
          <w:tcPr>
            <w:tcW w:w="1665"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职称</w:t>
            </w:r>
          </w:p>
        </w:tc>
        <w:tc>
          <w:tcPr>
            <w:tcW w:w="819"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trPr>
        <w:tc>
          <w:tcPr>
            <w:tcW w:w="1075" w:type="dxa"/>
          </w:tcPr>
          <w:p>
            <w:pPr>
              <w:rPr>
                <w:rFonts w:hint="eastAsia"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李彦文</w:t>
            </w:r>
          </w:p>
        </w:tc>
        <w:tc>
          <w:tcPr>
            <w:tcW w:w="3915" w:type="dxa"/>
          </w:tcPr>
          <w:p>
            <w:pPr>
              <w:rPr>
                <w:rFonts w:hint="eastAsia"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鹿泉区人力资源和社会保障局</w:t>
            </w:r>
          </w:p>
        </w:tc>
        <w:tc>
          <w:tcPr>
            <w:tcW w:w="930" w:type="dxa"/>
          </w:tcPr>
          <w:p>
            <w:pPr>
              <w:rPr>
                <w:rFonts w:hint="eastAsia"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科长</w:t>
            </w:r>
          </w:p>
        </w:tc>
        <w:tc>
          <w:tcPr>
            <w:tcW w:w="1665" w:type="dxa"/>
          </w:tcPr>
          <w:p>
            <w:pPr>
              <w:rPr>
                <w:rFonts w:hint="eastAsia"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高级经济师</w:t>
            </w:r>
          </w:p>
        </w:tc>
        <w:tc>
          <w:tcPr>
            <w:tcW w:w="819" w:type="dxa"/>
          </w:tcPr>
          <w:p>
            <w:pPr>
              <w:rPr>
                <w:rFonts w:hint="eastAsia" w:ascii="仿宋_GB2312" w:eastAsia="仿宋_GB2312"/>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atLeast"/>
        </w:trPr>
        <w:tc>
          <w:tcPr>
            <w:tcW w:w="1075" w:type="dxa"/>
          </w:tcPr>
          <w:p>
            <w:pPr>
              <w:rPr>
                <w:rFonts w:hint="eastAsia"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李园园</w:t>
            </w:r>
          </w:p>
        </w:tc>
        <w:tc>
          <w:tcPr>
            <w:tcW w:w="3915" w:type="dxa"/>
          </w:tcPr>
          <w:p>
            <w:pPr>
              <w:rPr>
                <w:rFonts w:hint="eastAsia"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鹿泉区人力资源和社会保障局</w:t>
            </w:r>
          </w:p>
        </w:tc>
        <w:tc>
          <w:tcPr>
            <w:tcW w:w="930" w:type="dxa"/>
          </w:tcPr>
          <w:p>
            <w:pPr>
              <w:rPr>
                <w:rFonts w:hint="eastAsia"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科员</w:t>
            </w:r>
          </w:p>
        </w:tc>
        <w:tc>
          <w:tcPr>
            <w:tcW w:w="1665" w:type="dxa"/>
          </w:tcPr>
          <w:p>
            <w:pPr>
              <w:rPr>
                <w:rFonts w:hint="eastAsia"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经济师</w:t>
            </w:r>
          </w:p>
        </w:tc>
        <w:tc>
          <w:tcPr>
            <w:tcW w:w="819" w:type="dxa"/>
          </w:tcPr>
          <w:p>
            <w:pPr>
              <w:rPr>
                <w:rFonts w:hint="eastAsia" w:ascii="仿宋_GB2312" w:eastAsia="仿宋_GB2312"/>
                <w:sz w:val="32"/>
                <w:szCs w:val="32"/>
                <w:vertAlign w:val="baseline"/>
                <w:lang w:val="en-US" w:eastAsia="zh-CN"/>
              </w:rPr>
            </w:pPr>
          </w:p>
        </w:tc>
      </w:tr>
    </w:tbl>
    <w:p>
      <w:pPr>
        <w:numPr>
          <w:ilvl w:val="0"/>
          <w:numId w:val="2"/>
        </w:num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rPr>
        <w:t>评价工作组人员名单及签字</w:t>
      </w:r>
    </w:p>
    <w:p>
      <w:pPr>
        <w:numPr>
          <w:numId w:val="0"/>
        </w:numPr>
        <w:adjustRightInd w:val="0"/>
        <w:snapToGrid w:val="0"/>
        <w:spacing w:line="360" w:lineRule="auto"/>
        <w:rPr>
          <w:rFonts w:hint="eastAsia" w:ascii="仿宋_GB2312" w:eastAsia="仿宋_GB2312"/>
          <w:sz w:val="32"/>
          <w:szCs w:val="32"/>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396B79B"/>
    <w:multiLevelType w:val="singleLevel"/>
    <w:tmpl w:val="9396B79B"/>
    <w:lvl w:ilvl="0" w:tentative="0">
      <w:start w:val="2"/>
      <w:numFmt w:val="chineseCounting"/>
      <w:suff w:val="nothing"/>
      <w:lvlText w:val="（%1）"/>
      <w:lvlJc w:val="left"/>
      <w:pPr>
        <w:ind w:left="481" w:leftChars="0" w:firstLine="0" w:firstLineChars="0"/>
      </w:pPr>
      <w:rPr>
        <w:rFonts w:hint="eastAsia"/>
      </w:rPr>
    </w:lvl>
  </w:abstractNum>
  <w:abstractNum w:abstractNumId="1">
    <w:nsid w:val="237B1A08"/>
    <w:multiLevelType w:val="singleLevel"/>
    <w:tmpl w:val="237B1A08"/>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85475B3"/>
    <w:rsid w:val="1D044164"/>
    <w:rsid w:val="2A2941B7"/>
    <w:rsid w:val="340E6E1C"/>
    <w:rsid w:val="73EB773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2020-01-06T06:52:20Z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