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设立人才基金项目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设立人才基金项目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设立人才基金项目实施单位为石家庄市鹿泉区人力资源和社会保障局。根据区政府</w:t>
      </w:r>
      <w:r>
        <w:rPr>
          <w:rFonts w:hint="eastAsia" w:ascii="仿宋_GB2312" w:eastAsia="仿宋_GB2312"/>
          <w:sz w:val="32"/>
          <w:szCs w:val="32"/>
          <w:lang w:val="en-US" w:eastAsia="zh-CN"/>
        </w:rPr>
        <w:t>2018年重点工作责任分解和二届人代会二次会议上政府工作报告，深化人才机制改革，落实人才奖励政策，由此设立人才基金。</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2.此项目主要通过人才招聘会，补贴培训费，举办培训班，奖励高层次人才的方式，吸引更多人才来我区创业和工作。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项目资金数量为1000万元，大写：壹仟万</w:t>
      </w:r>
      <w:bookmarkStart w:id="0" w:name="_GoBack"/>
      <w:bookmarkEnd w:id="0"/>
      <w:r>
        <w:rPr>
          <w:rFonts w:hint="eastAsia" w:ascii="仿宋_GB2312" w:eastAsia="仿宋_GB2312"/>
          <w:sz w:val="32"/>
          <w:szCs w:val="32"/>
          <w:lang w:val="en-US" w:eastAsia="zh-CN"/>
        </w:rPr>
        <w:t>元整。资金主要用于奖励高层次人才、组织和参加招聘会及其他人力资源工作。</w:t>
      </w:r>
    </w:p>
    <w:p>
      <w:pPr>
        <w:adjustRightInd w:val="0"/>
        <w:snapToGrid w:val="0"/>
        <w:spacing w:line="360" w:lineRule="auto"/>
        <w:ind w:firstLine="640" w:firstLineChars="200"/>
        <w:rPr>
          <w:rFonts w:hint="eastAsia" w:ascii="楷体_GB2312" w:hAnsi="楷体_GB2312" w:eastAsia="楷体_GB2312" w:cs="楷体_GB2312"/>
          <w:b/>
          <w:bCs/>
          <w:color w:val="auto"/>
          <w:sz w:val="32"/>
          <w:szCs w:val="32"/>
          <w:lang w:eastAsia="zh-CN"/>
        </w:rPr>
      </w:pPr>
      <w:r>
        <w:rPr>
          <w:rFonts w:hint="eastAsia" w:ascii="楷体_GB2312" w:hAnsi="楷体_GB2312" w:eastAsia="楷体_GB2312" w:cs="楷体_GB2312"/>
          <w:b w:val="0"/>
          <w:bCs w:val="0"/>
          <w:color w:val="auto"/>
          <w:sz w:val="32"/>
          <w:szCs w:val="32"/>
          <w:lang w:val="en-US" w:eastAsia="zh-CN"/>
        </w:rPr>
        <w:t>（</w:t>
      </w:r>
      <w:r>
        <w:rPr>
          <w:rFonts w:hint="eastAsia" w:ascii="楷体_GB2312" w:hAnsi="楷体_GB2312" w:eastAsia="楷体_GB2312" w:cs="楷体_GB2312"/>
          <w:b w:val="0"/>
          <w:bCs w:val="0"/>
          <w:color w:val="auto"/>
          <w:sz w:val="32"/>
          <w:szCs w:val="32"/>
        </w:rPr>
        <w:t>二）项目</w:t>
      </w:r>
      <w:r>
        <w:rPr>
          <w:rFonts w:hint="eastAsia" w:ascii="楷体_GB2312" w:hAnsi="楷体_GB2312" w:eastAsia="楷体_GB2312" w:cs="楷体_GB2312"/>
          <w:b w:val="0"/>
          <w:bCs w:val="0"/>
          <w:color w:val="auto"/>
          <w:sz w:val="32"/>
          <w:szCs w:val="32"/>
          <w:lang w:eastAsia="zh-CN"/>
        </w:rPr>
        <w:t>预期</w:t>
      </w:r>
      <w:r>
        <w:rPr>
          <w:rFonts w:hint="eastAsia" w:ascii="楷体_GB2312" w:hAnsi="楷体_GB2312" w:eastAsia="楷体_GB2312" w:cs="楷体_GB2312"/>
          <w:b w:val="0"/>
          <w:bCs w:val="0"/>
          <w:color w:val="auto"/>
          <w:sz w:val="32"/>
          <w:szCs w:val="32"/>
        </w:rPr>
        <w:t>绩效目标</w:t>
      </w:r>
    </w:p>
    <w:p>
      <w:pPr>
        <w:adjustRightInd w:val="0"/>
        <w:snapToGrid w:val="0"/>
        <w:spacing w:line="360" w:lineRule="auto"/>
        <w:ind w:firstLine="640" w:firstLineChars="200"/>
        <w:rPr>
          <w:rFonts w:hint="eastAsia" w:ascii="仿宋_GB2312" w:eastAsia="仿宋_GB2312"/>
          <w:color w:val="0000FF"/>
          <w:sz w:val="32"/>
          <w:szCs w:val="32"/>
          <w:lang w:eastAsia="zh-CN"/>
        </w:rPr>
      </w:pPr>
      <w:r>
        <w:rPr>
          <w:rFonts w:hint="eastAsia" w:ascii="仿宋_GB2312" w:eastAsia="仿宋_GB2312"/>
          <w:sz w:val="32"/>
          <w:szCs w:val="32"/>
          <w:lang w:val="en-US" w:eastAsia="zh-CN"/>
        </w:rPr>
        <w:t>项目预期绩效总目标为深化人才机制改革、落实人才奖励政策、</w:t>
      </w:r>
      <w:r>
        <w:rPr>
          <w:rFonts w:hint="eastAsia" w:ascii="仿宋_GB2312" w:eastAsia="仿宋_GB2312"/>
          <w:sz w:val="32"/>
          <w:szCs w:val="32"/>
        </w:rPr>
        <w:t>推介我区经济社会发展</w:t>
      </w:r>
      <w:r>
        <w:rPr>
          <w:rFonts w:hint="eastAsia" w:ascii="仿宋_GB2312" w:eastAsia="仿宋_GB2312"/>
          <w:sz w:val="32"/>
          <w:szCs w:val="32"/>
          <w:lang w:eastAsia="zh-CN"/>
        </w:rPr>
        <w:t>概况、</w:t>
      </w:r>
      <w:r>
        <w:rPr>
          <w:rFonts w:hint="eastAsia" w:ascii="仿宋_GB2312" w:eastAsia="仿宋_GB2312"/>
          <w:sz w:val="32"/>
          <w:szCs w:val="32"/>
        </w:rPr>
        <w:t>并通过他们向全国各大高校、各大城市宣传推介鹿泉引才留才用才环</w:t>
      </w:r>
      <w:r>
        <w:rPr>
          <w:rFonts w:hint="eastAsia" w:ascii="仿宋_GB2312" w:eastAsia="仿宋_GB2312"/>
          <w:color w:val="auto"/>
          <w:sz w:val="32"/>
          <w:szCs w:val="32"/>
        </w:rPr>
        <w:t>境</w:t>
      </w:r>
      <w:r>
        <w:rPr>
          <w:rFonts w:hint="eastAsia" w:ascii="仿宋_GB2312" w:eastAsia="仿宋_GB2312"/>
          <w:color w:val="auto"/>
          <w:sz w:val="32"/>
          <w:szCs w:val="32"/>
          <w:lang w:eastAsia="zh-CN"/>
        </w:rPr>
        <w:t>。阶段性（当年）的绩效目标和指标为落实</w:t>
      </w:r>
      <w:r>
        <w:rPr>
          <w:rFonts w:hint="eastAsia" w:ascii="仿宋_GB2312" w:eastAsia="仿宋_GB2312"/>
          <w:color w:val="auto"/>
          <w:sz w:val="32"/>
          <w:szCs w:val="32"/>
          <w:lang w:val="en-US" w:eastAsia="zh-CN"/>
        </w:rPr>
        <w:t>2018年度高层次人才奖励情况、组织和参加招聘会活动数等情况。</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color w:val="0000FF"/>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color w:val="auto"/>
          <w:sz w:val="32"/>
          <w:szCs w:val="32"/>
          <w:lang w:val="en-US" w:eastAsia="zh-CN"/>
        </w:rPr>
        <w:t>（一）绩效评价的组织工作</w:t>
      </w:r>
    </w:p>
    <w:p>
      <w:pPr>
        <w:numPr>
          <w:ilvl w:val="0"/>
          <w:numId w:val="0"/>
        </w:numPr>
        <w:rPr>
          <w:rFonts w:hint="eastAsia" w:ascii="仿宋_GB2312" w:eastAsia="仿宋_GB2312"/>
          <w:color w:val="0000FF"/>
          <w:sz w:val="32"/>
          <w:szCs w:val="32"/>
        </w:rPr>
      </w:pPr>
      <w:r>
        <w:rPr>
          <w:rFonts w:hint="eastAsia" w:ascii="仿宋_GB2312" w:eastAsia="仿宋_GB2312"/>
          <w:color w:val="0000FF"/>
          <w:sz w:val="32"/>
          <w:szCs w:val="32"/>
          <w:lang w:val="en-US" w:eastAsia="zh-CN"/>
        </w:rPr>
        <w:t xml:space="preserve">    </w:t>
      </w:r>
      <w:r>
        <w:rPr>
          <w:rFonts w:hint="eastAsia" w:ascii="仿宋_GB2312" w:eastAsia="仿宋_GB2312"/>
          <w:sz w:val="32"/>
          <w:szCs w:val="32"/>
          <w:lang w:val="en-US" w:eastAsia="zh-CN"/>
        </w:rPr>
        <w:t>此</w:t>
      </w:r>
      <w:r>
        <w:rPr>
          <w:rFonts w:hint="eastAsia" w:ascii="仿宋_GB2312" w:eastAsia="仿宋_GB2312"/>
          <w:sz w:val="32"/>
          <w:szCs w:val="32"/>
        </w:rPr>
        <w:t>项目</w:t>
      </w:r>
      <w:r>
        <w:rPr>
          <w:rFonts w:hint="eastAsia" w:ascii="仿宋_GB2312" w:eastAsia="仿宋_GB2312"/>
          <w:sz w:val="32"/>
          <w:szCs w:val="32"/>
          <w:lang w:eastAsia="zh-CN"/>
        </w:rPr>
        <w:t>评价</w:t>
      </w:r>
      <w:r>
        <w:rPr>
          <w:rFonts w:hint="eastAsia" w:ascii="仿宋_GB2312" w:eastAsia="仿宋_GB2312"/>
          <w:sz w:val="32"/>
          <w:szCs w:val="32"/>
        </w:rPr>
        <w:t>资料</w:t>
      </w:r>
      <w:r>
        <w:rPr>
          <w:rFonts w:hint="eastAsia" w:ascii="仿宋_GB2312" w:eastAsia="仿宋_GB2312"/>
          <w:sz w:val="32"/>
          <w:szCs w:val="32"/>
          <w:lang w:eastAsia="zh-CN"/>
        </w:rPr>
        <w:t>来源于招聘会发放宣传页数量、学生咨询情况、组织及参加招聘会数量、</w:t>
      </w:r>
      <w:r>
        <w:rPr>
          <w:rFonts w:hint="eastAsia" w:ascii="仿宋_GB2312" w:eastAsia="仿宋_GB2312"/>
          <w:sz w:val="32"/>
          <w:szCs w:val="32"/>
          <w:lang w:val="en-US" w:eastAsia="zh-CN"/>
        </w:rPr>
        <w:t>高层次人才奖励申请接收数量、人才素质提升培训次数</w:t>
      </w:r>
      <w:r>
        <w:rPr>
          <w:rFonts w:hint="eastAsia" w:ascii="仿宋_GB2312" w:eastAsia="仿宋_GB2312"/>
          <w:sz w:val="32"/>
          <w:szCs w:val="32"/>
          <w:lang w:eastAsia="zh-CN"/>
        </w:rPr>
        <w:t>等，由鹿泉区人社局人才中心工作人员依据统计数进行绩效评价工作。</w:t>
      </w:r>
    </w:p>
    <w:p>
      <w:pPr>
        <w:numPr>
          <w:ilvl w:val="0"/>
          <w:numId w:val="0"/>
        </w:numPr>
        <w:ind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（二）绩效评价的方法和过程</w:t>
      </w:r>
    </w:p>
    <w:p>
      <w:pPr>
        <w:numPr>
          <w:ilvl w:val="0"/>
          <w:numId w:val="0"/>
        </w:numPr>
        <w:ind w:leftChars="0" w:right="0" w:rightChars="0" w:firstLine="640" w:firstLineChars="200"/>
        <w:jc w:val="both"/>
        <w:rPr>
          <w:rFonts w:hint="eastAsia" w:ascii="仿宋_GB2312" w:eastAsia="仿宋_GB2312"/>
          <w:sz w:val="32"/>
          <w:szCs w:val="32"/>
          <w:lang w:eastAsia="zh-CN"/>
        </w:rPr>
      </w:pPr>
      <w:r>
        <w:rPr>
          <w:rFonts w:hint="eastAsia" w:ascii="仿宋_GB2312" w:eastAsia="仿宋_GB2312"/>
          <w:sz w:val="32"/>
          <w:szCs w:val="32"/>
          <w:lang w:val="en-US" w:eastAsia="zh-CN"/>
        </w:rPr>
        <w:t>此项目以吸引更多人才来我区创业和工作为评价目标，通过高层次人才奖励申请接收数量、开展和参加各类人才招聘会场次、人才素质提升培训次数等</w:t>
      </w:r>
      <w:r>
        <w:rPr>
          <w:rFonts w:hint="eastAsia" w:ascii="仿宋_GB2312" w:eastAsia="仿宋_GB2312"/>
          <w:sz w:val="32"/>
          <w:szCs w:val="32"/>
          <w:lang w:eastAsia="zh-CN"/>
        </w:rPr>
        <w:t>进行绩效评价。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在开展预算绩效评价工作时，建立了设计具体的绩效评价指标体系。针对具体绩效评价对象的特点，</w:t>
      </w:r>
      <w:r>
        <w:rPr>
          <w:rFonts w:hint="eastAsia" w:ascii="仿宋_GB2312" w:eastAsia="仿宋_GB2312"/>
          <w:sz w:val="32"/>
          <w:szCs w:val="32"/>
          <w:lang w:val="en-US" w:eastAsia="zh-CN"/>
        </w:rPr>
        <w:t>设置了高层次人才奖励申请接收数量、开展和参加各类人才招聘会场次、人才素质提升培训次数等个性指标。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立项情况分析。此项目</w:t>
      </w:r>
      <w:r>
        <w:rPr>
          <w:rFonts w:hint="default" w:ascii="仿宋_GB2312" w:eastAsia="仿宋_GB2312"/>
          <w:b w:val="0"/>
          <w:bCs w:val="0"/>
          <w:sz w:val="32"/>
          <w:szCs w:val="32"/>
          <w:lang w:val="en-US" w:eastAsia="zh-CN"/>
        </w:rPr>
        <w:t>立项规范</w:t>
      </w:r>
      <w:r>
        <w:rPr>
          <w:rFonts w:hint="eastAsia" w:ascii="仿宋_GB2312" w:eastAsia="仿宋_GB2312"/>
          <w:b w:val="0"/>
          <w:bCs w:val="0"/>
          <w:sz w:val="32"/>
          <w:szCs w:val="32"/>
          <w:lang w:val="en-US" w:eastAsia="zh-CN"/>
        </w:rPr>
        <w:t>、绩效目标合理和绩效指标明确，根据指标体系评分标准计算分值为100分。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2.资金落实情况分析。资金到位率100%、到位及时率100%，根据指标体系评分标准计算分值为100分。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1.业务管理情况分析。此项目管理制度健全、制度执行有效、项目质量可控，根据指标体系评分标准计算分值为100分。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2.财务管理。此项目具有管理制度健全性、资金使用合规性、财务监控有效性，根据指标体系评分标准计算分值为100分。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此项目产出指标：一是高层次人才奖励申请接收数量，</w:t>
      </w:r>
      <w:r>
        <w:rPr>
          <w:rFonts w:hint="default" w:ascii="Arial" w:hAnsi="Arial" w:eastAsia="仿宋_GB2312" w:cs="Arial"/>
          <w:sz w:val="32"/>
          <w:szCs w:val="32"/>
        </w:rPr>
        <w:t>≥</w:t>
      </w:r>
      <w:r>
        <w:rPr>
          <w:rFonts w:hint="eastAsia" w:ascii="Arial" w:hAnsi="Arial" w:eastAsia="仿宋_GB2312" w:cs="Arial"/>
          <w:sz w:val="32"/>
          <w:szCs w:val="32"/>
          <w:lang w:val="en-US" w:eastAsia="zh-CN"/>
        </w:rPr>
        <w:t>100人为优，</w:t>
      </w:r>
      <w:r>
        <w:rPr>
          <w:rFonts w:hint="eastAsia" w:ascii="仿宋_GB2312" w:eastAsia="仿宋_GB2312"/>
          <w:b w:val="0"/>
          <w:bCs w:val="0"/>
          <w:sz w:val="32"/>
          <w:szCs w:val="32"/>
          <w:lang w:val="en-US" w:eastAsia="zh-CN"/>
        </w:rPr>
        <w:t>根据指标体系评分标准计算分值为100分；二是开展和参加各类人才招聘会场次，</w:t>
      </w:r>
      <w:r>
        <w:rPr>
          <w:rFonts w:hint="default" w:ascii="Arial" w:hAnsi="Arial" w:eastAsia="仿宋_GB2312" w:cs="Arial"/>
          <w:sz w:val="32"/>
          <w:szCs w:val="32"/>
        </w:rPr>
        <w:t>≥</w:t>
      </w:r>
      <w:r>
        <w:rPr>
          <w:rFonts w:hint="eastAsia" w:ascii="Arial" w:hAnsi="Arial" w:eastAsia="仿宋_GB2312" w:cs="Arial"/>
          <w:sz w:val="32"/>
          <w:szCs w:val="32"/>
          <w:lang w:val="en-US" w:eastAsia="zh-CN"/>
        </w:rPr>
        <w:t>5场</w:t>
      </w:r>
      <w:r>
        <w:rPr>
          <w:rFonts w:hint="eastAsia" w:ascii="仿宋_GB2312" w:eastAsia="仿宋_GB2312"/>
          <w:b w:val="0"/>
          <w:bCs w:val="0"/>
          <w:sz w:val="32"/>
          <w:szCs w:val="32"/>
          <w:lang w:val="en-US" w:eastAsia="zh-CN"/>
        </w:rPr>
        <w:t>为优，根据指标体系评分标准计算分值为100分；人才素质提升培训次数</w:t>
      </w:r>
      <w:r>
        <w:rPr>
          <w:rFonts w:hint="default" w:ascii="Arial" w:hAnsi="Arial" w:eastAsia="仿宋_GB2312" w:cs="Arial"/>
          <w:sz w:val="32"/>
          <w:szCs w:val="32"/>
        </w:rPr>
        <w:t>≥</w:t>
      </w:r>
      <w:r>
        <w:rPr>
          <w:rFonts w:hint="eastAsia" w:ascii="Arial" w:hAnsi="Arial" w:eastAsia="仿宋_GB2312" w:cs="Arial"/>
          <w:sz w:val="32"/>
          <w:szCs w:val="32"/>
          <w:lang w:val="en-US" w:eastAsia="zh-CN"/>
        </w:rPr>
        <w:t>10次为优，入驻区企业招聘平台企业数量，</w:t>
      </w:r>
      <w:r>
        <w:rPr>
          <w:rFonts w:hint="default" w:ascii="Arial" w:hAnsi="Arial" w:eastAsia="仿宋_GB2312" w:cs="Arial"/>
          <w:sz w:val="32"/>
          <w:szCs w:val="32"/>
        </w:rPr>
        <w:t>≥</w:t>
      </w:r>
      <w:r>
        <w:rPr>
          <w:rFonts w:hint="eastAsia" w:ascii="Arial" w:hAnsi="Arial" w:eastAsia="仿宋_GB2312" w:cs="Arial"/>
          <w:sz w:val="32"/>
          <w:szCs w:val="32"/>
          <w:lang w:val="en-US" w:eastAsia="zh-CN"/>
        </w:rPr>
        <w:t>100家为优，</w:t>
      </w:r>
      <w:r>
        <w:rPr>
          <w:rFonts w:hint="eastAsia" w:ascii="仿宋_GB2312" w:eastAsia="仿宋_GB2312"/>
          <w:b w:val="0"/>
          <w:bCs w:val="0"/>
          <w:sz w:val="32"/>
          <w:szCs w:val="32"/>
          <w:lang w:val="en-US" w:eastAsia="zh-CN"/>
        </w:rPr>
        <w:t>根据指标体系评分标准计算分值为100分。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此项目效果指标：一是高层次人才增长率，</w:t>
      </w:r>
      <w:r>
        <w:rPr>
          <w:rFonts w:hint="default" w:ascii="Arial" w:hAnsi="Arial" w:eastAsia="仿宋_GB2312" w:cs="Arial"/>
          <w:sz w:val="32"/>
          <w:szCs w:val="32"/>
        </w:rPr>
        <w:t>≥</w:t>
      </w:r>
      <w:r>
        <w:rPr>
          <w:rFonts w:hint="eastAsia" w:ascii="Arial" w:hAnsi="Arial" w:eastAsia="仿宋_GB2312" w:cs="Arial"/>
          <w:sz w:val="32"/>
          <w:szCs w:val="32"/>
          <w:lang w:val="en-US" w:eastAsia="zh-CN"/>
        </w:rPr>
        <w:t>10%为优；二是高层次人才奖励资金发放率，</w:t>
      </w:r>
      <w:r>
        <w:rPr>
          <w:rFonts w:hint="default" w:ascii="Arial" w:hAnsi="Arial" w:eastAsia="仿宋_GB2312" w:cs="Arial"/>
          <w:sz w:val="32"/>
          <w:szCs w:val="32"/>
        </w:rPr>
        <w:t>≥</w:t>
      </w:r>
      <w:r>
        <w:rPr>
          <w:rFonts w:hint="eastAsia" w:ascii="Arial" w:hAnsi="Arial" w:eastAsia="仿宋_GB2312" w:cs="Arial"/>
          <w:sz w:val="32"/>
          <w:szCs w:val="32"/>
          <w:lang w:val="en-US" w:eastAsia="zh-CN"/>
        </w:rPr>
        <w:t>100%为优；人才参与培训率，</w:t>
      </w:r>
      <w:r>
        <w:rPr>
          <w:rFonts w:hint="default" w:ascii="Arial" w:hAnsi="Arial" w:eastAsia="仿宋_GB2312" w:cs="Arial"/>
          <w:sz w:val="32"/>
          <w:szCs w:val="32"/>
        </w:rPr>
        <w:t>≥</w:t>
      </w:r>
      <w:r>
        <w:rPr>
          <w:rFonts w:hint="eastAsia" w:ascii="Arial" w:hAnsi="Arial" w:eastAsia="仿宋_GB2312" w:cs="Arial"/>
          <w:sz w:val="32"/>
          <w:szCs w:val="32"/>
          <w:lang w:val="en-US" w:eastAsia="zh-CN"/>
        </w:rPr>
        <w:t>50%为优；平台网站首页显示周数，</w:t>
      </w:r>
      <w:r>
        <w:rPr>
          <w:rFonts w:hint="default" w:ascii="Arial" w:hAnsi="Arial" w:eastAsia="仿宋_GB2312" w:cs="Arial"/>
          <w:sz w:val="32"/>
          <w:szCs w:val="32"/>
        </w:rPr>
        <w:t>≥</w:t>
      </w:r>
      <w:r>
        <w:rPr>
          <w:rFonts w:hint="eastAsia" w:ascii="Arial" w:hAnsi="Arial" w:eastAsia="仿宋_GB2312" w:cs="Arial"/>
          <w:sz w:val="32"/>
          <w:szCs w:val="32"/>
          <w:lang w:val="en-US" w:eastAsia="zh-CN"/>
        </w:rPr>
        <w:t>12周为优</w:t>
      </w:r>
      <w:r>
        <w:rPr>
          <w:rFonts w:hint="eastAsia" w:ascii="仿宋_GB2312" w:eastAsia="仿宋_GB2312"/>
          <w:b w:val="0"/>
          <w:bCs w:val="0"/>
          <w:sz w:val="32"/>
          <w:szCs w:val="32"/>
          <w:lang w:val="en-US" w:eastAsia="zh-CN"/>
        </w:rPr>
        <w:t>等情况进行分析后，根据指标体系评分标准计算分值为100分。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根据项目执行情况和项目绩效情况，此项目总得分为100分，由此得出此项目达到了预期效果，广泛宣传了我区的区位优势，提升了我区影响力、知名度，从而更多人才来我区创业和工作。项目综合绩效评价为</w:t>
      </w:r>
      <w:r>
        <w:rPr>
          <w:rFonts w:hint="eastAsia" w:ascii="仿宋_GB2312" w:eastAsia="仿宋_GB2312"/>
          <w:sz w:val="32"/>
          <w:szCs w:val="32"/>
        </w:rPr>
        <w:t>优秀</w:t>
      </w:r>
      <w:r>
        <w:rPr>
          <w:rFonts w:hint="eastAsia" w:ascii="仿宋_GB2312" w:eastAsia="仿宋_GB2312"/>
          <w:sz w:val="32"/>
          <w:szCs w:val="32"/>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此项目旨在吸引更多人才来我区创业和工作，虽项目目标已经完成，但还存在政策宣传力度不强，服务不够完善的问题，区人社局将针对以上问题，认真反思，总结完善。</w:t>
      </w:r>
    </w:p>
    <w:p>
      <w:pPr>
        <w:numPr>
          <w:ilvl w:val="0"/>
          <w:numId w:val="1"/>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针对以上问题，人社局将完善相关人才有关优惠政策，营造良好政策环境，学习其他地区的先进经验，开拓思路，多方位多渠道招才引智。</w:t>
      </w:r>
    </w:p>
    <w:tbl>
      <w:tblPr>
        <w:tblStyle w:val="5"/>
        <w:tblpPr w:leftFromText="180" w:rightFromText="180" w:vertAnchor="text" w:horzAnchor="page" w:tblpX="2197" w:tblpY="21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1"/>
        <w:gridCol w:w="2739"/>
        <w:gridCol w:w="1830"/>
        <w:gridCol w:w="1182"/>
        <w:gridCol w:w="1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1471"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739"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工作单位</w:t>
            </w:r>
          </w:p>
        </w:tc>
        <w:tc>
          <w:tcPr>
            <w:tcW w:w="1830"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c>
          <w:tcPr>
            <w:tcW w:w="1182"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职称</w:t>
            </w:r>
          </w:p>
        </w:tc>
        <w:tc>
          <w:tcPr>
            <w:tcW w:w="1182" w:type="dxa"/>
          </w:tcPr>
          <w:p>
            <w:pPr>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李彦文</w:t>
            </w:r>
          </w:p>
        </w:tc>
        <w:tc>
          <w:tcPr>
            <w:tcW w:w="2739"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鹿泉区人力资源和社会保障局</w:t>
            </w:r>
          </w:p>
        </w:tc>
        <w:tc>
          <w:tcPr>
            <w:tcW w:w="1830"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人才中心科长</w:t>
            </w:r>
          </w:p>
        </w:tc>
        <w:tc>
          <w:tcPr>
            <w:tcW w:w="1182"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高级经济师</w:t>
            </w:r>
          </w:p>
        </w:tc>
        <w:tc>
          <w:tcPr>
            <w:tcW w:w="1182" w:type="dxa"/>
          </w:tcPr>
          <w:p>
            <w:pPr>
              <w:rPr>
                <w:rFonts w:hint="eastAsia" w:ascii="仿宋_GB2312" w:eastAsia="仿宋_GB2312"/>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71"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李园园</w:t>
            </w:r>
          </w:p>
        </w:tc>
        <w:tc>
          <w:tcPr>
            <w:tcW w:w="2739"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鹿泉区人力资源和社会保障局</w:t>
            </w:r>
          </w:p>
        </w:tc>
        <w:tc>
          <w:tcPr>
            <w:tcW w:w="1830"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c>
          <w:tcPr>
            <w:tcW w:w="1182" w:type="dxa"/>
          </w:tcPr>
          <w:p>
            <w:pP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经济师</w:t>
            </w:r>
          </w:p>
        </w:tc>
        <w:tc>
          <w:tcPr>
            <w:tcW w:w="1182" w:type="dxa"/>
          </w:tcPr>
          <w:p>
            <w:pPr>
              <w:rPr>
                <w:rFonts w:hint="eastAsia" w:ascii="仿宋_GB2312" w:eastAsia="仿宋_GB2312"/>
                <w:sz w:val="32"/>
                <w:szCs w:val="32"/>
                <w:vertAlign w:val="baseline"/>
                <w:lang w:val="en-US" w:eastAsia="zh-CN"/>
              </w:rPr>
            </w:pPr>
          </w:p>
        </w:tc>
      </w:tr>
    </w:tbl>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3713B"/>
    <w:multiLevelType w:val="singleLevel"/>
    <w:tmpl w:val="07E3713B"/>
    <w:lvl w:ilvl="0" w:tentative="0">
      <w:start w:val="2"/>
      <w:numFmt w:val="chineseCounting"/>
      <w:suff w:val="nothing"/>
      <w:lvlText w:val="（%1）"/>
      <w:lvlJc w:val="left"/>
      <w:pPr>
        <w:ind w:left="48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F16CBA"/>
    <w:rsid w:val="0D2071EB"/>
    <w:rsid w:val="13084250"/>
    <w:rsid w:val="1D62798E"/>
    <w:rsid w:val="27A64F0D"/>
    <w:rsid w:val="27B47D8D"/>
    <w:rsid w:val="2A2941B7"/>
    <w:rsid w:val="2E1F28EF"/>
    <w:rsid w:val="340E6E1C"/>
    <w:rsid w:val="77004364"/>
    <w:rsid w:val="7E0E78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lq</cp:lastModifiedBy>
  <dcterms:modified xsi:type="dcterms:W3CDTF">2020-01-06T07:43:31Z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